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0F6FB" w14:textId="77777777" w:rsidR="00063E15" w:rsidRPr="00CB477E" w:rsidRDefault="00063E15" w:rsidP="008314D1">
      <w:pPr>
        <w:pStyle w:val="Title"/>
        <w:pBdr>
          <w:bottom w:val="double" w:sz="6" w:space="0" w:color="auto"/>
        </w:pBdr>
      </w:pPr>
      <w:r w:rsidRPr="00CB477E">
        <w:t>М И Н И С Т Е Р С Т В О   Н А   Ф И Н А Н С И Т Е</w:t>
      </w:r>
    </w:p>
    <w:p w14:paraId="5FBFC49D" w14:textId="77777777" w:rsidR="005F7245" w:rsidRPr="00CB477E" w:rsidRDefault="005F7245" w:rsidP="00063E15">
      <w:pPr>
        <w:rPr>
          <w:sz w:val="16"/>
          <w:szCs w:val="16"/>
        </w:rPr>
      </w:pPr>
    </w:p>
    <w:p w14:paraId="5AE6952C" w14:textId="77777777" w:rsidR="0019151C" w:rsidRPr="00CB477E" w:rsidRDefault="0019151C" w:rsidP="0019151C"/>
    <w:p w14:paraId="5AF5A687" w14:textId="77777777" w:rsidR="00E10331" w:rsidRPr="00CB477E" w:rsidRDefault="00E10331" w:rsidP="0019151C"/>
    <w:p w14:paraId="1D027850" w14:textId="77777777" w:rsidR="00E9260C" w:rsidRPr="00CB477E" w:rsidRDefault="00E9260C" w:rsidP="009B536C">
      <w:pPr>
        <w:pStyle w:val="Heading1"/>
        <w:rPr>
          <w:sz w:val="24"/>
        </w:rPr>
      </w:pPr>
      <w:r w:rsidRPr="00CB477E">
        <w:rPr>
          <w:sz w:val="24"/>
        </w:rPr>
        <w:t>ИНФОРМАЦИЯ</w:t>
      </w:r>
    </w:p>
    <w:p w14:paraId="02CE64CA" w14:textId="77777777" w:rsidR="00E9260C" w:rsidRPr="00CB477E" w:rsidRDefault="00E9260C" w:rsidP="009B536C">
      <w:pPr>
        <w:jc w:val="center"/>
        <w:rPr>
          <w:b/>
          <w:bCs/>
        </w:rPr>
      </w:pPr>
      <w:r w:rsidRPr="00CB477E">
        <w:rPr>
          <w:b/>
          <w:bCs/>
        </w:rPr>
        <w:t xml:space="preserve">ЗА </w:t>
      </w:r>
      <w:r w:rsidR="004E7BF8" w:rsidRPr="00CB477E">
        <w:rPr>
          <w:b/>
          <w:bCs/>
        </w:rPr>
        <w:t xml:space="preserve">КАСОВОТО </w:t>
      </w:r>
      <w:r w:rsidRPr="00CB477E">
        <w:rPr>
          <w:b/>
          <w:bCs/>
        </w:rPr>
        <w:t xml:space="preserve">ИЗПЪЛНЕНИЕ НА </w:t>
      </w:r>
      <w:r w:rsidR="004E7BF8" w:rsidRPr="00CB477E">
        <w:rPr>
          <w:b/>
          <w:bCs/>
        </w:rPr>
        <w:t>ДЪРЖАВНИЯ</w:t>
      </w:r>
      <w:r w:rsidRPr="00CB477E">
        <w:rPr>
          <w:b/>
          <w:bCs/>
        </w:rPr>
        <w:t xml:space="preserve"> БЮДЖЕТ</w:t>
      </w:r>
      <w:r w:rsidR="004E7BF8" w:rsidRPr="00CB477E">
        <w:rPr>
          <w:b/>
          <w:bCs/>
        </w:rPr>
        <w:t xml:space="preserve"> И НА ОСНОВНИТЕ ПОКАЗАТЕЛИ НА КОНСОЛИДИРАНАТА ФИСКАЛНА ПРОГРАМА </w:t>
      </w:r>
    </w:p>
    <w:p w14:paraId="42FD570D" w14:textId="75E61B4E" w:rsidR="003F47AB" w:rsidRPr="00CB477E" w:rsidRDefault="003F47AB" w:rsidP="003F47AB">
      <w:pPr>
        <w:jc w:val="center"/>
        <w:rPr>
          <w:b/>
          <w:bCs/>
        </w:rPr>
      </w:pPr>
      <w:r w:rsidRPr="00CB477E">
        <w:rPr>
          <w:b/>
          <w:bCs/>
        </w:rPr>
        <w:t xml:space="preserve">ЗА </w:t>
      </w:r>
      <w:r w:rsidR="00CB477E" w:rsidRPr="00CB477E">
        <w:rPr>
          <w:b/>
          <w:bCs/>
        </w:rPr>
        <w:t xml:space="preserve">ДЕВЕТМЕСЕЧИЕТО </w:t>
      </w:r>
      <w:r w:rsidRPr="00CB477E">
        <w:rPr>
          <w:b/>
          <w:bCs/>
        </w:rPr>
        <w:t>НА 20</w:t>
      </w:r>
      <w:r w:rsidR="006D5D56" w:rsidRPr="00CB477E">
        <w:rPr>
          <w:b/>
          <w:bCs/>
        </w:rPr>
        <w:t>2</w:t>
      </w:r>
      <w:r w:rsidR="009A36B2" w:rsidRPr="00CB477E">
        <w:rPr>
          <w:b/>
          <w:bCs/>
        </w:rPr>
        <w:t>4</w:t>
      </w:r>
      <w:r w:rsidRPr="00CB477E">
        <w:rPr>
          <w:b/>
          <w:bCs/>
        </w:rPr>
        <w:t xml:space="preserve"> ГОДИНА</w:t>
      </w:r>
    </w:p>
    <w:p w14:paraId="0C015403" w14:textId="77777777" w:rsidR="00430A35" w:rsidRPr="0008732B" w:rsidRDefault="00430A35" w:rsidP="003A06C5">
      <w:pPr>
        <w:rPr>
          <w:b/>
          <w:bCs/>
        </w:rPr>
      </w:pPr>
    </w:p>
    <w:p w14:paraId="2A00A9BE" w14:textId="77777777" w:rsidR="00E10331" w:rsidRPr="0008732B" w:rsidRDefault="00E10331" w:rsidP="003A06C5">
      <w:pPr>
        <w:rPr>
          <w:b/>
          <w:bCs/>
        </w:rPr>
      </w:pPr>
    </w:p>
    <w:p w14:paraId="767CAFC4" w14:textId="77777777" w:rsidR="00E10331" w:rsidRPr="0008732B" w:rsidRDefault="00E10331" w:rsidP="003A06C5">
      <w:pPr>
        <w:rPr>
          <w:b/>
          <w:bCs/>
        </w:rPr>
      </w:pPr>
    </w:p>
    <w:p w14:paraId="286FF8ED" w14:textId="77777777" w:rsidR="006466C6" w:rsidRPr="0008732B" w:rsidRDefault="006466C6" w:rsidP="006466C6">
      <w:pPr>
        <w:keepNext/>
        <w:keepLines/>
        <w:spacing w:before="40"/>
        <w:jc w:val="both"/>
        <w:outlineLvl w:val="2"/>
        <w:rPr>
          <w:b/>
          <w:lang w:eastAsia="bg-BG"/>
        </w:rPr>
      </w:pPr>
      <w:bookmarkStart w:id="0" w:name="_Toc109903428"/>
      <w:r w:rsidRPr="0008732B">
        <w:rPr>
          <w:b/>
          <w:lang w:eastAsia="bg-BG"/>
        </w:rPr>
        <w:t>Развитие на икономическата среда</w:t>
      </w:r>
    </w:p>
    <w:bookmarkEnd w:id="0"/>
    <w:p w14:paraId="0056EC38" w14:textId="4A94585E" w:rsidR="0008732B" w:rsidRPr="00A03706" w:rsidRDefault="0008732B" w:rsidP="00C1618B">
      <w:pPr>
        <w:spacing w:before="120"/>
        <w:jc w:val="both"/>
        <w:rPr>
          <w:color w:val="FF0000"/>
        </w:rPr>
      </w:pPr>
      <w:r w:rsidRPr="006D6919">
        <w:rPr>
          <w:color w:val="000000" w:themeColor="text1"/>
        </w:rPr>
        <w:t>За първото полугодие на 202</w:t>
      </w:r>
      <w:r w:rsidRPr="006D6919">
        <w:rPr>
          <w:color w:val="000000" w:themeColor="text1"/>
          <w:lang w:val="en-US"/>
        </w:rPr>
        <w:t>4</w:t>
      </w:r>
      <w:r w:rsidRPr="006D6919">
        <w:rPr>
          <w:color w:val="000000" w:themeColor="text1"/>
        </w:rPr>
        <w:t xml:space="preserve"> г. растежът на брутния вътрешен продукт на страната достигна </w:t>
      </w:r>
      <w:r w:rsidRPr="006D6919">
        <w:rPr>
          <w:color w:val="000000" w:themeColor="text1"/>
          <w:lang w:val="en-US"/>
        </w:rPr>
        <w:t>2</w:t>
      </w:r>
      <w:r w:rsidRPr="006D6919">
        <w:rPr>
          <w:color w:val="000000" w:themeColor="text1"/>
        </w:rPr>
        <w:t>,</w:t>
      </w:r>
      <w:r w:rsidRPr="006D6919">
        <w:rPr>
          <w:color w:val="000000" w:themeColor="text1"/>
          <w:lang w:val="en-US"/>
        </w:rPr>
        <w:t>1</w:t>
      </w:r>
      <w:r w:rsidR="00667588">
        <w:rPr>
          <w:color w:val="000000" w:themeColor="text1"/>
          <w:lang w:val="en-US"/>
        </w:rPr>
        <w:t> </w:t>
      </w:r>
      <w:r w:rsidRPr="006D6919">
        <w:rPr>
          <w:color w:val="000000" w:themeColor="text1"/>
        </w:rPr>
        <w:t>% и бе движен изцяло от вътрешното търсене</w:t>
      </w:r>
      <w:r w:rsidRPr="00A03706">
        <w:t>. Потреблението на домакинствата се повиши с 4,9</w:t>
      </w:r>
      <w:r>
        <w:rPr>
          <w:lang w:val="en-US"/>
        </w:rPr>
        <w:t xml:space="preserve"> </w:t>
      </w:r>
      <w:r w:rsidRPr="00A03706">
        <w:t>%</w:t>
      </w:r>
      <w:r w:rsidR="009543C0">
        <w:t>,</w:t>
      </w:r>
      <w:r w:rsidRPr="00A03706">
        <w:t xml:space="preserve"> подкрепено от реално нарастване на разполагаемия доход и подобрение на доверието на потребителите. Публичното потребление отчете повишение от 2</w:t>
      </w:r>
      <w:r w:rsidR="00D35C7E">
        <w:rPr>
          <w:lang w:val="en-US"/>
        </w:rPr>
        <w:t xml:space="preserve"> </w:t>
      </w:r>
      <w:r w:rsidRPr="00A03706">
        <w:t>%. Инвестициите в основен капитал спаднаха с 4</w:t>
      </w:r>
      <w:r>
        <w:rPr>
          <w:lang w:val="en-US"/>
        </w:rPr>
        <w:t xml:space="preserve"> </w:t>
      </w:r>
      <w:r w:rsidRPr="00A03706">
        <w:t>% поради намаление на публичните капиталови разходи. Износът на стоки и услуги спадна с 1,7</w:t>
      </w:r>
      <w:r>
        <w:rPr>
          <w:lang w:val="en-US"/>
        </w:rPr>
        <w:t xml:space="preserve"> </w:t>
      </w:r>
      <w:r w:rsidRPr="00A03706">
        <w:t>%</w:t>
      </w:r>
      <w:r w:rsidR="009543C0">
        <w:t>,</w:t>
      </w:r>
      <w:r w:rsidRPr="00A03706">
        <w:t xml:space="preserve"> докато вносът се повиши с 0,7</w:t>
      </w:r>
      <w:r>
        <w:rPr>
          <w:lang w:val="en-US"/>
        </w:rPr>
        <w:t xml:space="preserve"> </w:t>
      </w:r>
      <w:r w:rsidRPr="00A03706">
        <w:t>%. В резултат, нетният износ имаше отрицателен принос към растежа на БВП.</w:t>
      </w:r>
    </w:p>
    <w:p w14:paraId="21B0C356" w14:textId="77777777" w:rsidR="0008732B" w:rsidRPr="00B31107" w:rsidRDefault="0008732B" w:rsidP="00C1618B">
      <w:pPr>
        <w:spacing w:before="120"/>
        <w:jc w:val="both"/>
      </w:pPr>
      <w:r w:rsidRPr="00B31107">
        <w:t>Динамиката на краткосрочните индикатори през юли и август предполага леко ускорение на растежа през трето тримесечие. За периода юли-август спадът на промишленото производство се забави до 1,8</w:t>
      </w:r>
      <w:r>
        <w:rPr>
          <w:lang w:val="en-US"/>
        </w:rPr>
        <w:t xml:space="preserve"> </w:t>
      </w:r>
      <w:r w:rsidRPr="00B31107">
        <w:t>%, а при растежа на строителната продукция и оборота в търговията на дребно бе отчетено ускорение спрямо второ тримесечие.</w:t>
      </w:r>
    </w:p>
    <w:p w14:paraId="15428D6B" w14:textId="5D7F0786" w:rsidR="0008732B" w:rsidRDefault="0008732B" w:rsidP="00C1618B">
      <w:pPr>
        <w:spacing w:before="120"/>
        <w:jc w:val="both"/>
        <w:rPr>
          <w:color w:val="000000"/>
        </w:rPr>
      </w:pPr>
      <w:r>
        <w:rPr>
          <w:color w:val="000000"/>
        </w:rPr>
        <w:t>През първата половина на 2024 г. броят на заетите в икономиката се повиши с 1,2 % и достигна 3583 хиляди души. Растежът на заетостта се дължеше изцяло на секторите на строителството (4,5 %) и услугите (2,4 %), докато заетостта в аграрния сектор и промишлеността намаля на годишна база (съответно с 1,1 и 1,7</w:t>
      </w:r>
      <w:r w:rsidR="004E46AA">
        <w:rPr>
          <w:color w:val="000000"/>
        </w:rPr>
        <w:t xml:space="preserve"> </w:t>
      </w:r>
      <w:r>
        <w:rPr>
          <w:color w:val="000000"/>
        </w:rPr>
        <w:t>%). Част от промишлените отрасли изпитват затруднения с външното търсене, което води и до оптимизирането на съществуващите работни места.</w:t>
      </w:r>
    </w:p>
    <w:p w14:paraId="3537F533" w14:textId="0D514F1D" w:rsidR="0008732B" w:rsidRDefault="0008732B" w:rsidP="00C1618B">
      <w:pPr>
        <w:spacing w:before="120"/>
        <w:jc w:val="both"/>
        <w:rPr>
          <w:color w:val="000000"/>
        </w:rPr>
      </w:pPr>
      <w:r>
        <w:rPr>
          <w:color w:val="000000"/>
        </w:rPr>
        <w:t>Въпреки положителната динамика на заетостта в страната, нивото на безработица се запази близко до това, наблюдавано през 2023 г. Според данните от Наблюдението на работната сила коефициентът на безработица за възрастовата група 15-64 г. средно за първата половина на 2024</w:t>
      </w:r>
      <w:r>
        <w:rPr>
          <w:color w:val="000000"/>
          <w:lang w:val="en-US"/>
        </w:rPr>
        <w:t> </w:t>
      </w:r>
      <w:r>
        <w:rPr>
          <w:color w:val="000000"/>
        </w:rPr>
        <w:t xml:space="preserve">г. бе 4,7 % (при 4,6 % за първата половина на 2023 г.). През второто тримесечие на настоящата година обаче коефициентът на безработица вече е по-нисък спрямо регистрирания през същото тримесечие на предходната година. Същото може и да се очаква и за месеците юли-септември, тъй като според данните на Агенция по заетостта броят на регистрираните безработни през летните месеци на годината постепенно спада (макар и минимално) под техния брой за аналогичните месеци на 2023 г. </w:t>
      </w:r>
    </w:p>
    <w:p w14:paraId="3EC66943" w14:textId="7BE1A39E" w:rsidR="0008732B" w:rsidRDefault="0008732B" w:rsidP="00C1618B">
      <w:pPr>
        <w:spacing w:before="120"/>
        <w:jc w:val="both"/>
        <w:rPr>
          <w:sz w:val="22"/>
          <w:szCs w:val="22"/>
        </w:rPr>
      </w:pPr>
      <w:r>
        <w:t xml:space="preserve">През първото полугодие на 2024 г. реалната производителност на труда нарасна с 0,9 % на годишна база, а номиналният растеж на компенсацията на един нает беше 13,5 %. </w:t>
      </w:r>
      <w:r w:rsidR="00C30EF8">
        <w:t>Н</w:t>
      </w:r>
      <w:r>
        <w:t>оминалния</w:t>
      </w:r>
      <w:r w:rsidR="00C30EF8">
        <w:t>т</w:t>
      </w:r>
      <w:r>
        <w:t xml:space="preserve"> растеж на компенсацията на един нает бе повлияна от промишлеността (22,6 %), където растежът беше най-висок, докато в услугите той остана относително нисък (10,8</w:t>
      </w:r>
      <w:r w:rsidR="00FF7CCD">
        <w:rPr>
          <w:lang w:val="en-US"/>
        </w:rPr>
        <w:t> </w:t>
      </w:r>
      <w:r>
        <w:t>%). През разглеждания период доходите от труд в страната продължиха да нарастват с двуцифрен темп поради взетото решение през април за увеличаване на възнаграждението на служителите в бюджетните организации от началото на годината и заложеното увеличение на минималната работна заплата. Данните за средната работна заплата показват, че през първото полугодие на 2024 г. нейният растеж в обществения сектор (19,7 %) е надхвърлил този в частния сектор (16,2 %). Общо за икономиката, средната работна заплата се е повишила със 17,1% в номинално изражение, като реалният растеж възлезе на 13,6</w:t>
      </w:r>
      <w:r>
        <w:rPr>
          <w:lang w:val="en-US"/>
        </w:rPr>
        <w:t> </w:t>
      </w:r>
      <w:r>
        <w:t xml:space="preserve">% (дефлиран с ХИПЦ).  </w:t>
      </w:r>
    </w:p>
    <w:p w14:paraId="75B4EDEE" w14:textId="11FFAE65" w:rsidR="0008732B" w:rsidRPr="00D46FA8" w:rsidRDefault="0008732B" w:rsidP="00E22A38">
      <w:pPr>
        <w:spacing w:before="120"/>
        <w:jc w:val="both"/>
        <w:rPr>
          <w:bCs/>
        </w:rPr>
      </w:pPr>
      <w:r>
        <w:rPr>
          <w:bCs/>
        </w:rPr>
        <w:t xml:space="preserve">Процесът на </w:t>
      </w:r>
      <w:proofErr w:type="spellStart"/>
      <w:r>
        <w:rPr>
          <w:bCs/>
        </w:rPr>
        <w:t>дезинфлация</w:t>
      </w:r>
      <w:proofErr w:type="spellEnd"/>
      <w:r>
        <w:rPr>
          <w:bCs/>
        </w:rPr>
        <w:t xml:space="preserve"> в страната </w:t>
      </w:r>
      <w:r w:rsidRPr="00D46FA8">
        <w:rPr>
          <w:bCs/>
        </w:rPr>
        <w:t xml:space="preserve">се запази до </w:t>
      </w:r>
      <w:r>
        <w:rPr>
          <w:bCs/>
        </w:rPr>
        <w:t>третото тримесечие на</w:t>
      </w:r>
      <w:r w:rsidRPr="00D46FA8">
        <w:rPr>
          <w:bCs/>
        </w:rPr>
        <w:t xml:space="preserve"> 2024 г.</w:t>
      </w:r>
      <w:r>
        <w:rPr>
          <w:bCs/>
        </w:rPr>
        <w:t>, като г</w:t>
      </w:r>
      <w:r w:rsidRPr="00D46FA8">
        <w:rPr>
          <w:bCs/>
        </w:rPr>
        <w:t>одишния</w:t>
      </w:r>
      <w:r>
        <w:rPr>
          <w:bCs/>
        </w:rPr>
        <w:t>т</w:t>
      </w:r>
      <w:r w:rsidRPr="00D46FA8">
        <w:rPr>
          <w:bCs/>
        </w:rPr>
        <w:t xml:space="preserve"> темп на инфлация </w:t>
      </w:r>
      <w:r>
        <w:rPr>
          <w:bCs/>
        </w:rPr>
        <w:t>според ХИПЦ се забави до 1,5 %</w:t>
      </w:r>
      <w:r w:rsidRPr="00D46FA8">
        <w:rPr>
          <w:bCs/>
        </w:rPr>
        <w:t xml:space="preserve"> - най-ниската стойност </w:t>
      </w:r>
      <w:r>
        <w:rPr>
          <w:bCs/>
        </w:rPr>
        <w:t xml:space="preserve">в периода след </w:t>
      </w:r>
      <w:r>
        <w:rPr>
          <w:bCs/>
          <w:lang w:val="en-GB"/>
        </w:rPr>
        <w:t xml:space="preserve">COVID </w:t>
      </w:r>
      <w:r>
        <w:rPr>
          <w:bCs/>
        </w:rPr>
        <w:t>пандемията</w:t>
      </w:r>
      <w:r w:rsidRPr="00D46FA8">
        <w:rPr>
          <w:bCs/>
        </w:rPr>
        <w:t xml:space="preserve">. </w:t>
      </w:r>
      <w:r>
        <w:rPr>
          <w:bCs/>
        </w:rPr>
        <w:t>З</w:t>
      </w:r>
      <w:r w:rsidRPr="00026CA0">
        <w:rPr>
          <w:bCs/>
        </w:rPr>
        <w:t xml:space="preserve">абавяне на поскъпването бе </w:t>
      </w:r>
      <w:r>
        <w:rPr>
          <w:bCs/>
        </w:rPr>
        <w:t>наблюдавано</w:t>
      </w:r>
      <w:r w:rsidRPr="00026CA0">
        <w:rPr>
          <w:bCs/>
        </w:rPr>
        <w:t xml:space="preserve"> при вси</w:t>
      </w:r>
      <w:r>
        <w:rPr>
          <w:bCs/>
        </w:rPr>
        <w:t>чки основни компоненти на индекса, а енергийните стоки имаха отрицателен принос (- 0.69 пр.</w:t>
      </w:r>
      <w:r w:rsidR="006E6AB5">
        <w:rPr>
          <w:bCs/>
        </w:rPr>
        <w:t xml:space="preserve"> </w:t>
      </w:r>
      <w:r>
        <w:rPr>
          <w:bCs/>
        </w:rPr>
        <w:t xml:space="preserve">п.) </w:t>
      </w:r>
      <w:r w:rsidRPr="00D46FA8">
        <w:rPr>
          <w:bCs/>
        </w:rPr>
        <w:t xml:space="preserve">Сред факторите за това развитие </w:t>
      </w:r>
      <w:r>
        <w:rPr>
          <w:bCs/>
        </w:rPr>
        <w:t>продължава да бъде низходящата динамика</w:t>
      </w:r>
      <w:r w:rsidRPr="00D46FA8">
        <w:rPr>
          <w:bCs/>
        </w:rPr>
        <w:t xml:space="preserve"> на международните цени на суровините, </w:t>
      </w:r>
      <w:r w:rsidRPr="00D46FA8">
        <w:rPr>
          <w:bCs/>
        </w:rPr>
        <w:lastRenderedPageBreak/>
        <w:t xml:space="preserve">както и ефектът от по-високата база през предходната година. </w:t>
      </w:r>
      <w:r>
        <w:rPr>
          <w:bCs/>
        </w:rPr>
        <w:t>Б</w:t>
      </w:r>
      <w:r w:rsidRPr="00D46FA8">
        <w:rPr>
          <w:bCs/>
        </w:rPr>
        <w:t xml:space="preserve">азисната инфлация </w:t>
      </w:r>
      <w:r>
        <w:rPr>
          <w:bCs/>
        </w:rPr>
        <w:t>също се забави</w:t>
      </w:r>
      <w:r w:rsidRPr="00D46FA8">
        <w:rPr>
          <w:bCs/>
        </w:rPr>
        <w:t xml:space="preserve"> до </w:t>
      </w:r>
      <w:r>
        <w:rPr>
          <w:bCs/>
        </w:rPr>
        <w:t xml:space="preserve">2,3 </w:t>
      </w:r>
      <w:r w:rsidRPr="00D46FA8">
        <w:rPr>
          <w:bCs/>
        </w:rPr>
        <w:t xml:space="preserve">% през </w:t>
      </w:r>
      <w:r>
        <w:rPr>
          <w:bCs/>
        </w:rPr>
        <w:t>септември</w:t>
      </w:r>
      <w:r w:rsidRPr="00D46FA8">
        <w:rPr>
          <w:bCs/>
        </w:rPr>
        <w:t xml:space="preserve">.  </w:t>
      </w:r>
    </w:p>
    <w:p w14:paraId="3918BC9F" w14:textId="251D9870" w:rsidR="0008732B" w:rsidRDefault="0008732B" w:rsidP="00E22A38">
      <w:pPr>
        <w:spacing w:before="120"/>
        <w:jc w:val="both"/>
        <w:rPr>
          <w:rFonts w:ascii="Calibri" w:hAnsi="Calibri" w:cs="Calibri"/>
          <w:color w:val="1F497D"/>
          <w:sz w:val="22"/>
          <w:szCs w:val="22"/>
        </w:rPr>
      </w:pPr>
      <w:r>
        <w:t>В периода януари-август излишъкът по текущата сметка се увеличи до 1,</w:t>
      </w:r>
      <w:r>
        <w:rPr>
          <w:lang w:val="en-US"/>
        </w:rPr>
        <w:t>5</w:t>
      </w:r>
      <w:r>
        <w:t xml:space="preserve"> % от прогнозния БВП, спрямо </w:t>
      </w:r>
      <w:r>
        <w:rPr>
          <w:lang w:val="en-US"/>
        </w:rPr>
        <w:t xml:space="preserve">1 </w:t>
      </w:r>
      <w:r>
        <w:t>% от БВП за същия период на 202</w:t>
      </w:r>
      <w:r>
        <w:rPr>
          <w:lang w:val="en-US"/>
        </w:rPr>
        <w:t>3</w:t>
      </w:r>
      <w:r>
        <w:t xml:space="preserve"> г. Основен принос за подобрението имаше свиването на дефицита по първичния доход с </w:t>
      </w:r>
      <w:r>
        <w:rPr>
          <w:lang w:val="en-US"/>
        </w:rPr>
        <w:t>1</w:t>
      </w:r>
      <w:r>
        <w:t>,</w:t>
      </w:r>
      <w:r>
        <w:rPr>
          <w:lang w:val="en-US"/>
        </w:rPr>
        <w:t>9</w:t>
      </w:r>
      <w:r>
        <w:t xml:space="preserve"> пр. п. до </w:t>
      </w:r>
      <w:r>
        <w:rPr>
          <w:lang w:val="en-US"/>
        </w:rPr>
        <w:t>1</w:t>
      </w:r>
      <w:r>
        <w:t>,</w:t>
      </w:r>
      <w:r>
        <w:rPr>
          <w:lang w:val="en-US"/>
        </w:rPr>
        <w:t>3</w:t>
      </w:r>
      <w:r>
        <w:t xml:space="preserve"> % от прогнозния БВП поради намаление на изплатения към </w:t>
      </w:r>
      <w:proofErr w:type="spellStart"/>
      <w:r>
        <w:t>нерезиденти</w:t>
      </w:r>
      <w:proofErr w:type="spellEnd"/>
      <w:r>
        <w:t xml:space="preserve"> инвестиционен доход. Износът на стоки отчете спад от 2,4 %</w:t>
      </w:r>
      <w:r w:rsidR="009543C0">
        <w:t>,</w:t>
      </w:r>
      <w:r>
        <w:t xml:space="preserve"> като основен </w:t>
      </w:r>
      <w:r w:rsidR="00E02AD1">
        <w:t>принос имаше износът към страни-</w:t>
      </w:r>
      <w:r>
        <w:t>членки на ЕС. През същия период вносът на стоки леко се увеличи с 0,5 %</w:t>
      </w:r>
      <w:r w:rsidR="00527AFB">
        <w:t>,</w:t>
      </w:r>
      <w:r>
        <w:t xml:space="preserve"> подкрепен от вноса на стоки от трети страни. През първите осем месеца на годината приходите от посещения на чужденци в страната се увеличиха с </w:t>
      </w:r>
      <w:r>
        <w:rPr>
          <w:lang w:val="en-US"/>
        </w:rPr>
        <w:t>5</w:t>
      </w:r>
      <w:r>
        <w:t>,</w:t>
      </w:r>
      <w:r>
        <w:rPr>
          <w:lang w:val="en-US"/>
        </w:rPr>
        <w:t>9</w:t>
      </w:r>
      <w:r>
        <w:t xml:space="preserve"> %, а разходите на български граждани за пътувания в чужбина с 16 %, което доведе до свиване на излишъка при услугите с </w:t>
      </w:r>
      <w:r>
        <w:rPr>
          <w:lang w:val="en-US"/>
        </w:rPr>
        <w:t xml:space="preserve">2,5 %. </w:t>
      </w:r>
      <w:r>
        <w:t>Излишъкът по вторичния доход остана почти непроменен в абсолютна стойност. Привлечените преки чуждестранни инвестиции достигнаха 1,2 млрд. евро. Към края на август брутният външен дълг на страната бе 42,8 % от прогнозния БВП.</w:t>
      </w:r>
    </w:p>
    <w:p w14:paraId="0508EEAA" w14:textId="5185C4BB" w:rsidR="0008732B" w:rsidRDefault="0008732B" w:rsidP="00E22A38">
      <w:pPr>
        <w:spacing w:before="120"/>
        <w:jc w:val="both"/>
        <w:rPr>
          <w:lang w:val="en-US"/>
        </w:rPr>
      </w:pPr>
      <w:r w:rsidRPr="0066033F">
        <w:t xml:space="preserve">Кредитът за частния сектор </w:t>
      </w:r>
      <w:r>
        <w:t xml:space="preserve">продължи да </w:t>
      </w:r>
      <w:r w:rsidRPr="0066033F">
        <w:t>се</w:t>
      </w:r>
      <w:r>
        <w:t xml:space="preserve"> ускорява</w:t>
      </w:r>
      <w:r w:rsidRPr="0066033F">
        <w:t xml:space="preserve"> </w:t>
      </w:r>
      <w:r>
        <w:t>през 2024</w:t>
      </w:r>
      <w:r w:rsidRPr="0066033F">
        <w:t xml:space="preserve"> г. и в края на септември темпът му на растеж на годишна база достигна 1</w:t>
      </w:r>
      <w:r>
        <w:t>3</w:t>
      </w:r>
      <w:r w:rsidRPr="0066033F">
        <w:t>,</w:t>
      </w:r>
      <w:r>
        <w:t>6</w:t>
      </w:r>
      <w:r w:rsidRPr="0066033F">
        <w:t xml:space="preserve"> % при 12,</w:t>
      </w:r>
      <w:r>
        <w:t>2</w:t>
      </w:r>
      <w:r w:rsidRPr="0066033F">
        <w:t xml:space="preserve"> % в края на 202</w:t>
      </w:r>
      <w:r>
        <w:t>3</w:t>
      </w:r>
      <w:r w:rsidRPr="0066033F">
        <w:t xml:space="preserve"> г. С по-голям принос за това бяха кредитите за </w:t>
      </w:r>
      <w:r>
        <w:t>домакинства</w:t>
      </w:r>
      <w:r w:rsidRPr="0066033F">
        <w:t>, чи</w:t>
      </w:r>
      <w:r w:rsidR="009543C0">
        <w:t>й</w:t>
      </w:r>
      <w:r w:rsidRPr="0066033F">
        <w:t xml:space="preserve">то темп на растеж за същия период се </w:t>
      </w:r>
      <w:r>
        <w:t>увеличи</w:t>
      </w:r>
      <w:r w:rsidRPr="0066033F">
        <w:t xml:space="preserve"> от 1</w:t>
      </w:r>
      <w:r>
        <w:t>5</w:t>
      </w:r>
      <w:r w:rsidRPr="0066033F">
        <w:t>,</w:t>
      </w:r>
      <w:r>
        <w:t>9</w:t>
      </w:r>
      <w:r>
        <w:rPr>
          <w:lang w:val="en-US"/>
        </w:rPr>
        <w:t> </w:t>
      </w:r>
      <w:r w:rsidRPr="0066033F">
        <w:t xml:space="preserve">% до </w:t>
      </w:r>
      <w:r>
        <w:t>20</w:t>
      </w:r>
      <w:r w:rsidRPr="0066033F">
        <w:t>,</w:t>
      </w:r>
      <w:r>
        <w:t>2</w:t>
      </w:r>
      <w:r w:rsidRPr="0066033F">
        <w:t xml:space="preserve"> %.</w:t>
      </w:r>
      <w:r>
        <w:t xml:space="preserve"> </w:t>
      </w:r>
      <w:r w:rsidRPr="0066033F">
        <w:t xml:space="preserve">Водеща роля имаха жилищните кредити (с ръст от </w:t>
      </w:r>
      <w:r>
        <w:t>25</w:t>
      </w:r>
      <w:r w:rsidRPr="0066033F">
        <w:t>,</w:t>
      </w:r>
      <w:r>
        <w:t>9</w:t>
      </w:r>
      <w:r w:rsidRPr="0066033F">
        <w:t xml:space="preserve"> %), след като все още ниските лихвени проценти, </w:t>
      </w:r>
      <w:r>
        <w:t>нарастването</w:t>
      </w:r>
      <w:r w:rsidRPr="0066033F">
        <w:t xml:space="preserve"> на доходите, както и продължаващото нарастване на цените на жилищата продължиха да поддържат търсенето на заемни средства за покупка на недвижими имоти. Потребителските кредити също запазиха относително висок темп на растеж </w:t>
      </w:r>
      <w:r>
        <w:t xml:space="preserve">от </w:t>
      </w:r>
      <w:r w:rsidRPr="0066033F">
        <w:t>15 % в края на септември.</w:t>
      </w:r>
      <w:r>
        <w:rPr>
          <w:lang w:val="en-US"/>
        </w:rPr>
        <w:t xml:space="preserve"> </w:t>
      </w:r>
      <w:r>
        <w:t xml:space="preserve">Ускорение на растежа, макар и по-слабо, се наблюдаваше и при кредитите за нефинансови предприятия, като в края на септември увеличението им на годишна база достигна 8,2 % при 7,3 % в края на предходната година. </w:t>
      </w:r>
      <w:r w:rsidRPr="0066033F">
        <w:t xml:space="preserve">Търсенето на оборотни средства под формата на овърдрафт кредити беше водещо за нарастването на корпоративните кредити през </w:t>
      </w:r>
      <w:r>
        <w:t>деветмесечието</w:t>
      </w:r>
      <w:r w:rsidRPr="0066033F">
        <w:t xml:space="preserve">, </w:t>
      </w:r>
      <w:r>
        <w:t xml:space="preserve">като </w:t>
      </w:r>
      <w:r w:rsidRPr="0066033F">
        <w:t xml:space="preserve">се </w:t>
      </w:r>
      <w:r>
        <w:t>ускори значително през третото тримесечие.</w:t>
      </w:r>
      <w:r w:rsidRPr="0066033F">
        <w:t xml:space="preserve"> </w:t>
      </w:r>
      <w:r>
        <w:t xml:space="preserve">Годишният темп на нарастване на фирмения овърдрафт </w:t>
      </w:r>
      <w:r w:rsidRPr="0066033F">
        <w:t xml:space="preserve">в края на септември достигна </w:t>
      </w:r>
      <w:r>
        <w:t>15,2</w:t>
      </w:r>
      <w:r w:rsidRPr="0066033F">
        <w:t xml:space="preserve"> % при </w:t>
      </w:r>
      <w:r>
        <w:t>6</w:t>
      </w:r>
      <w:r w:rsidRPr="0066033F">
        <w:t>,</w:t>
      </w:r>
      <w:r>
        <w:t>6</w:t>
      </w:r>
      <w:r w:rsidRPr="0066033F">
        <w:t xml:space="preserve"> % в края на предходната година. </w:t>
      </w:r>
      <w:r>
        <w:t>От своя страна, редовните кредити се забавяха през целия период и от 9,4</w:t>
      </w:r>
      <w:r>
        <w:rPr>
          <w:lang w:val="en-US"/>
        </w:rPr>
        <w:t> </w:t>
      </w:r>
      <w:r>
        <w:t>% в края на декември 2023 г. ръстът им се понижи до 4,1 % в края на септември.</w:t>
      </w:r>
    </w:p>
    <w:p w14:paraId="42B8AD80" w14:textId="77777777" w:rsidR="0008732B" w:rsidRPr="000A141F" w:rsidRDefault="0008732B" w:rsidP="000A141F">
      <w:pPr>
        <w:keepNext/>
        <w:keepLines/>
        <w:spacing w:before="240"/>
        <w:jc w:val="both"/>
        <w:outlineLvl w:val="2"/>
        <w:rPr>
          <w:b/>
          <w:lang w:eastAsia="bg-BG"/>
        </w:rPr>
      </w:pPr>
      <w:r w:rsidRPr="000A141F">
        <w:rPr>
          <w:b/>
          <w:lang w:eastAsia="bg-BG"/>
        </w:rPr>
        <w:t>Основни акценти във връзка с текущото наблюдение на изпълнението на консолидираната фискална програма към деветмесечието на 2024 г.</w:t>
      </w:r>
    </w:p>
    <w:p w14:paraId="02C2AE02" w14:textId="77777777" w:rsidR="0008732B" w:rsidRPr="005E72F4" w:rsidRDefault="0008732B" w:rsidP="002A5BEC">
      <w:pPr>
        <w:pStyle w:val="Heading2"/>
        <w:numPr>
          <w:ilvl w:val="0"/>
          <w:numId w:val="30"/>
        </w:numPr>
        <w:tabs>
          <w:tab w:val="left" w:pos="709"/>
        </w:tabs>
        <w:ind w:hanging="76"/>
        <w:rPr>
          <w:rFonts w:ascii="Times New Roman" w:hAnsi="Times New Roman" w:cs="Times New Roman"/>
          <w:sz w:val="24"/>
          <w:szCs w:val="24"/>
        </w:rPr>
      </w:pPr>
      <w:r w:rsidRPr="005E72F4">
        <w:rPr>
          <w:rFonts w:ascii="Times New Roman" w:hAnsi="Times New Roman" w:cs="Times New Roman"/>
          <w:sz w:val="24"/>
          <w:szCs w:val="24"/>
        </w:rPr>
        <w:t xml:space="preserve">Фискални развития през </w:t>
      </w:r>
      <w:r>
        <w:rPr>
          <w:rFonts w:ascii="Times New Roman" w:hAnsi="Times New Roman" w:cs="Times New Roman"/>
          <w:sz w:val="24"/>
          <w:szCs w:val="24"/>
        </w:rPr>
        <w:t>деветмесечието</w:t>
      </w:r>
      <w:r w:rsidRPr="005E72F4">
        <w:rPr>
          <w:rFonts w:ascii="Times New Roman" w:hAnsi="Times New Roman" w:cs="Times New Roman"/>
          <w:sz w:val="24"/>
          <w:szCs w:val="24"/>
        </w:rPr>
        <w:t xml:space="preserve"> на 202</w:t>
      </w:r>
      <w:r w:rsidRPr="002A5BEC">
        <w:rPr>
          <w:rFonts w:ascii="Times New Roman" w:hAnsi="Times New Roman" w:cs="Times New Roman"/>
          <w:sz w:val="24"/>
          <w:szCs w:val="24"/>
        </w:rPr>
        <w:t>4</w:t>
      </w:r>
      <w:r w:rsidRPr="005E72F4">
        <w:rPr>
          <w:rFonts w:ascii="Times New Roman" w:hAnsi="Times New Roman" w:cs="Times New Roman"/>
          <w:sz w:val="24"/>
          <w:szCs w:val="24"/>
        </w:rPr>
        <w:t xml:space="preserve"> г.</w:t>
      </w:r>
    </w:p>
    <w:p w14:paraId="019A378E" w14:textId="02F553FE" w:rsidR="0008732B" w:rsidRDefault="00896B27" w:rsidP="0008732B">
      <w:pPr>
        <w:spacing w:after="120"/>
        <w:jc w:val="both"/>
      </w:pPr>
      <w:r w:rsidRPr="00896B27">
        <w:t xml:space="preserve">В края на месец април 2024 г. в сила влязоха измененията на  Пакта за стабилност и растеж (ПСР) - нормативната рамка за координация на фискалните политики на държавите-членки на ЕС. Съгласно новите промени изготвянето на </w:t>
      </w:r>
      <w:proofErr w:type="spellStart"/>
      <w:r w:rsidRPr="00896B27">
        <w:t>Конвергентна</w:t>
      </w:r>
      <w:proofErr w:type="spellEnd"/>
      <w:r w:rsidRPr="00896B27">
        <w:t xml:space="preserve"> програма и на Национална програма за реформи на Република България се заменя с изготвяне на Национален средносрочен фискално-структурен план за хоризонт от 4 прогнозни години. Съгласно специфичната уредба за подготовката на първите фискално-структурни планове на държавите членки, всяка от тях следва да представи своя първи план на ЕК до 20 септември 2024 г., освен ако не е постигнато съгласие между съответната държава членка и Европейската комисия да </w:t>
      </w:r>
      <w:r w:rsidR="009543C0">
        <w:t xml:space="preserve">се </w:t>
      </w:r>
      <w:r w:rsidRPr="00896B27">
        <w:t>удълж</w:t>
      </w:r>
      <w:r w:rsidR="009543C0">
        <w:t>и</w:t>
      </w:r>
      <w:r w:rsidRPr="00896B27">
        <w:t xml:space="preserve"> този краен срок с разумен период от време. Предвид, от една страна, необходимостта от широка политическа подкрепа с цел изпълнението на идентифицирания в плана набор от реформи и инвестиции, и, от друга страна, настоящата политическа несигурност България е отправила искане до ЕК за удължаване на срока за изпращане на първия ѝ план за началото на 2025 година</w:t>
      </w:r>
      <w:r w:rsidR="0008732B">
        <w:t>.</w:t>
      </w:r>
    </w:p>
    <w:p w14:paraId="1451F83D" w14:textId="78A6AF65" w:rsidR="0008732B" w:rsidRPr="00864A5B" w:rsidRDefault="00552EEC" w:rsidP="0008732B">
      <w:pPr>
        <w:spacing w:after="120"/>
        <w:jc w:val="both"/>
      </w:pPr>
      <w:r w:rsidRPr="00552EEC">
        <w:t xml:space="preserve">През месец юни Европейската комисия и Европейската централна банка публикуваха </w:t>
      </w:r>
      <w:proofErr w:type="spellStart"/>
      <w:r w:rsidRPr="00552EEC">
        <w:t>конвергентните</w:t>
      </w:r>
      <w:proofErr w:type="spellEnd"/>
      <w:r w:rsidRPr="00552EEC">
        <w:t xml:space="preserve"> доклади за 2024 г., в които представиха оценката си за напредъка по пътя към еврозоната, постигнат от шестте държави членки, задължени да приемат еврото: България, Чехия, Унгария, Полша, Румъния и Швеция.</w:t>
      </w:r>
      <w:r w:rsidRPr="00552EEC">
        <w:rPr>
          <w:lang w:val="ru-RU"/>
        </w:rPr>
        <w:t xml:space="preserve"> </w:t>
      </w:r>
      <w:r w:rsidRPr="00552EEC">
        <w:t xml:space="preserve">Според докладите страната ни изпълнява три от четирите числови критерия за членство в еврозоната, а именно: стабилност на публичните финанси (бюджетно салдо и държавен дълг), валутен курс и дългосрочен лихвен процент. България не изпълнява единствено критерия за ценова стабилност, като очакванията са инфлацията да се понижи през следващите месеци. България ще продължи активно да работи за изпълнението на </w:t>
      </w:r>
      <w:r w:rsidRPr="00552EEC">
        <w:lastRenderedPageBreak/>
        <w:t xml:space="preserve">всички критерии за членство в еврозоната, както и за подобряване на бизнес средата и институционалната рамка за постигане на устойчиво сближаване с еврозоната. При покриване на всички критерии за членство, което се очаква да бъде изпълнено в края на годината, страната ни ще поиска изготвянето на извънредни </w:t>
      </w:r>
      <w:proofErr w:type="spellStart"/>
      <w:r w:rsidRPr="00552EEC">
        <w:t>конвергентни</w:t>
      </w:r>
      <w:proofErr w:type="spellEnd"/>
      <w:r w:rsidRPr="00552EEC">
        <w:t xml:space="preserve"> доклади от Европейската комисия и Европейската централна банка, на базата на които възможно най-скоро да се вземе решение за датата на членство на България в еврозоната</w:t>
      </w:r>
      <w:r w:rsidR="0008732B" w:rsidRPr="003A6F59">
        <w:t>.</w:t>
      </w:r>
    </w:p>
    <w:p w14:paraId="27AD08BC" w14:textId="6AE425C7" w:rsidR="0008732B" w:rsidRDefault="0008732B" w:rsidP="0008732B">
      <w:pPr>
        <w:autoSpaceDE w:val="0"/>
        <w:autoSpaceDN w:val="0"/>
        <w:adjustRightInd w:val="0"/>
        <w:spacing w:after="120"/>
        <w:jc w:val="both"/>
        <w:rPr>
          <w:rFonts w:eastAsia="Batang"/>
          <w:bCs/>
        </w:rPr>
      </w:pPr>
      <w:r w:rsidRPr="00350A78">
        <w:rPr>
          <w:rFonts w:eastAsia="Batang"/>
          <w:bCs/>
        </w:rPr>
        <w:t>Фискал</w:t>
      </w:r>
      <w:r>
        <w:rPr>
          <w:rFonts w:eastAsia="Batang"/>
          <w:bCs/>
        </w:rPr>
        <w:t>ните развития през изминалите девет</w:t>
      </w:r>
      <w:r w:rsidRPr="00350A78">
        <w:rPr>
          <w:rFonts w:eastAsia="Batang"/>
          <w:bCs/>
        </w:rPr>
        <w:t xml:space="preserve"> месеца на 202</w:t>
      </w:r>
      <w:r>
        <w:rPr>
          <w:rFonts w:eastAsia="Batang"/>
          <w:bCs/>
        </w:rPr>
        <w:t>4</w:t>
      </w:r>
      <w:r w:rsidRPr="00350A78">
        <w:rPr>
          <w:rFonts w:eastAsia="Batang"/>
          <w:bCs/>
        </w:rPr>
        <w:t xml:space="preserve"> г. бяха доминирани от множество фактори, влияещи разнопосочно върху бюджетните показатели. </w:t>
      </w:r>
      <w:r w:rsidRPr="00E70868">
        <w:rPr>
          <w:rFonts w:eastAsia="Batang"/>
          <w:bCs/>
        </w:rPr>
        <w:t>От една страна, завръщането към нормалния бюджетен процес и приемането на закона за бюджета преди началото на бюджетната година повиши предвидимостта за икономиката и се очаква да подкрепи растежа с одобрената безпрецедентна по размер капиталова програма. Тенденциите на забавяне и спад при инфлацията продължиха, а безработицата остана на ниско равнище. От друга страна обаче, страната отново се завърна към период на политическа нестабилност</w:t>
      </w:r>
      <w:r>
        <w:rPr>
          <w:rFonts w:eastAsia="Batang"/>
          <w:bCs/>
        </w:rPr>
        <w:t xml:space="preserve"> и съответно</w:t>
      </w:r>
      <w:r w:rsidRPr="00E70868">
        <w:rPr>
          <w:rFonts w:eastAsia="Batang"/>
          <w:bCs/>
        </w:rPr>
        <w:t xml:space="preserve"> до по-голяма неопределеност сред икономическите субекти за политиките и приоритетите, които ще бъдат следвани в краткосрочен и средносрочен план. Върху фиска продълж</w:t>
      </w:r>
      <w:r>
        <w:rPr>
          <w:rFonts w:eastAsia="Batang"/>
          <w:bCs/>
        </w:rPr>
        <w:t>ават</w:t>
      </w:r>
      <w:r w:rsidRPr="00E70868">
        <w:rPr>
          <w:rFonts w:eastAsia="Batang"/>
          <w:bCs/>
        </w:rPr>
        <w:t xml:space="preserve"> да оказват влияние </w:t>
      </w:r>
      <w:r w:rsidR="00063553">
        <w:rPr>
          <w:rFonts w:eastAsia="Batang"/>
          <w:bCs/>
        </w:rPr>
        <w:t xml:space="preserve">и </w:t>
      </w:r>
      <w:r w:rsidRPr="00E70868">
        <w:rPr>
          <w:rFonts w:eastAsia="Batang"/>
          <w:bCs/>
        </w:rPr>
        <w:t>цените на международните пазари на суровините и енергоносителите, нарушените вериги за доставка, наложените санкции поради войната в Украйна</w:t>
      </w:r>
      <w:r>
        <w:rPr>
          <w:rFonts w:eastAsia="Batang"/>
          <w:bCs/>
        </w:rPr>
        <w:t>,</w:t>
      </w:r>
      <w:r w:rsidRPr="00E70868">
        <w:rPr>
          <w:rFonts w:eastAsia="Batang"/>
          <w:bCs/>
        </w:rPr>
        <w:t xml:space="preserve"> и други.</w:t>
      </w:r>
    </w:p>
    <w:p w14:paraId="3434CD13" w14:textId="3ECDA64F" w:rsidR="0008732B" w:rsidRPr="004C4AEE" w:rsidRDefault="0008732B" w:rsidP="0008732B">
      <w:pPr>
        <w:autoSpaceDE w:val="0"/>
        <w:autoSpaceDN w:val="0"/>
        <w:adjustRightInd w:val="0"/>
        <w:spacing w:after="120"/>
        <w:jc w:val="both"/>
        <w:rPr>
          <w:rFonts w:eastAsia="Batang"/>
          <w:bCs/>
          <w:lang w:val="ru-RU"/>
        </w:rPr>
      </w:pPr>
      <w:r w:rsidRPr="00350A78">
        <w:rPr>
          <w:rFonts w:eastAsia="Batang"/>
          <w:bCs/>
        </w:rPr>
        <w:t xml:space="preserve">Параметрите по изпълнението на приходите по КФП към края на </w:t>
      </w:r>
      <w:r>
        <w:rPr>
          <w:rFonts w:eastAsia="Batang"/>
          <w:bCs/>
        </w:rPr>
        <w:t>септември</w:t>
      </w:r>
      <w:r w:rsidRPr="00350A78">
        <w:rPr>
          <w:rFonts w:eastAsia="Batang"/>
          <w:bCs/>
        </w:rPr>
        <w:t xml:space="preserve"> при основните данъци и осигурителни вноски са добри и съответстват на допусканията по разчетите за годината с изключение на приходите от </w:t>
      </w:r>
      <w:r>
        <w:rPr>
          <w:rFonts w:eastAsia="Batang"/>
          <w:bCs/>
        </w:rPr>
        <w:t>корпоративни данъци и ДДС от внос</w:t>
      </w:r>
      <w:r w:rsidRPr="00350A78">
        <w:rPr>
          <w:rFonts w:eastAsia="Batang"/>
          <w:bCs/>
        </w:rPr>
        <w:t xml:space="preserve">. </w:t>
      </w:r>
      <w:r>
        <w:rPr>
          <w:rFonts w:eastAsia="Batang"/>
          <w:bCs/>
        </w:rPr>
        <w:t xml:space="preserve">В групата на преките данъци много добри са параметрите по изпълнението на разчетите за годината от ДДФЛ, като прогнозите очертават плана за годината да бъде преизпълнен. </w:t>
      </w:r>
      <w:r w:rsidRPr="009F7182">
        <w:t>Основн</w:t>
      </w:r>
      <w:r>
        <w:t>ите</w:t>
      </w:r>
      <w:r w:rsidRPr="009F7182">
        <w:t xml:space="preserve"> фактор</w:t>
      </w:r>
      <w:r>
        <w:t>и върху</w:t>
      </w:r>
      <w:r w:rsidRPr="009F7182">
        <w:t xml:space="preserve"> постъпления от ДДФЛ </w:t>
      </w:r>
      <w:r>
        <w:t>са свързани с</w:t>
      </w:r>
      <w:r w:rsidRPr="009F7182">
        <w:t xml:space="preserve"> развитието на параметрите на пазара на труда: заетост, </w:t>
      </w:r>
      <w:r>
        <w:t xml:space="preserve">безработица и ръст на възнагражденията на заетите. </w:t>
      </w:r>
      <w:r>
        <w:rPr>
          <w:rFonts w:eastAsia="Batang"/>
          <w:bCs/>
        </w:rPr>
        <w:t xml:space="preserve">При корпоративните данъци обаче се очертава по-ниско от планираното изпълнение, което се дължи, от една страна, на амбициозните цели, които бяха </w:t>
      </w:r>
      <w:r w:rsidRPr="00CF2B75">
        <w:rPr>
          <w:rFonts w:eastAsia="Batang"/>
          <w:bCs/>
        </w:rPr>
        <w:t>заложени с разчетите към ЗДБРБ за 2024 г., и от друга - на нормализирането на цените на електроенергията и по-ниските печалби в сектора. По-доброто изпълнение в частта на ДДФЛ компенсира до голяма степен забавянето при корпоративните данъци, като постъпленията общо за групата на преките данъци се очаква да бъдат с около 0,2 млрд. лв. по-ниски от плана. В групата на косвените данъци изпълнението се очаква да бъде малко над разчетите за годината (с 0,2 млрд. лв.), като по-високите</w:t>
      </w:r>
      <w:r>
        <w:rPr>
          <w:rFonts w:eastAsia="Batang"/>
          <w:bCs/>
        </w:rPr>
        <w:t xml:space="preserve"> приходи от ДДС </w:t>
      </w:r>
      <w:r w:rsidR="00EF1464">
        <w:rPr>
          <w:rFonts w:eastAsia="Batang"/>
          <w:bCs/>
        </w:rPr>
        <w:t xml:space="preserve">от </w:t>
      </w:r>
      <w:r w:rsidR="00EF1464" w:rsidRPr="00EF1464">
        <w:rPr>
          <w:rFonts w:eastAsia="Batang"/>
          <w:bCs/>
        </w:rPr>
        <w:t xml:space="preserve">сделки в страната и </w:t>
      </w:r>
      <w:r>
        <w:rPr>
          <w:rFonts w:eastAsia="Batang"/>
          <w:bCs/>
        </w:rPr>
        <w:t xml:space="preserve">ВОП и от акцизи се очаква да компенсират изоставането при приходите от ДДС от внос и мита. </w:t>
      </w:r>
      <w:r w:rsidRPr="00350A78">
        <w:rPr>
          <w:rFonts w:eastAsia="Batang"/>
          <w:bCs/>
        </w:rPr>
        <w:t>Приходите от осигурителни вно</w:t>
      </w:r>
      <w:r>
        <w:rPr>
          <w:rFonts w:eastAsia="Batang"/>
          <w:bCs/>
        </w:rPr>
        <w:t>ски се прогнозира да отчетат подобрение спрямо</w:t>
      </w:r>
      <w:r w:rsidRPr="00350A78">
        <w:rPr>
          <w:rFonts w:eastAsia="Batang"/>
          <w:bCs/>
        </w:rPr>
        <w:t xml:space="preserve"> планираните за годината</w:t>
      </w:r>
      <w:r>
        <w:rPr>
          <w:rFonts w:eastAsia="Batang"/>
          <w:bCs/>
        </w:rPr>
        <w:t xml:space="preserve"> с около 0,3 млрд. лв.</w:t>
      </w:r>
      <w:r w:rsidRPr="00350A78">
        <w:rPr>
          <w:rFonts w:eastAsia="Batang"/>
          <w:bCs/>
        </w:rPr>
        <w:t xml:space="preserve">, </w:t>
      </w:r>
      <w:r>
        <w:rPr>
          <w:rFonts w:eastAsia="Batang"/>
          <w:bCs/>
        </w:rPr>
        <w:t>като факторите за очертаващото се подобрение при приходите от ДДФЛ се отразяват и върху постъпленията в групата.</w:t>
      </w:r>
    </w:p>
    <w:p w14:paraId="68AC2778" w14:textId="77777777" w:rsidR="0008732B" w:rsidRPr="00350A78" w:rsidRDefault="0008732B" w:rsidP="0008732B">
      <w:pPr>
        <w:autoSpaceDE w:val="0"/>
        <w:autoSpaceDN w:val="0"/>
        <w:adjustRightInd w:val="0"/>
        <w:spacing w:after="120"/>
        <w:jc w:val="both"/>
        <w:rPr>
          <w:rFonts w:eastAsia="Batang"/>
          <w:bCs/>
        </w:rPr>
      </w:pPr>
      <w:r w:rsidRPr="00343698">
        <w:rPr>
          <w:rFonts w:eastAsia="Batang"/>
          <w:bCs/>
        </w:rPr>
        <w:t xml:space="preserve">В частта на неданъчните приходи се очертава забавяне основно при постъпленията от продажба на квоти за емисии на парникови газове по бюджета на Фонд „Сигурност на електроенергийната система“ (ФСЕС). Цените и количествата на продадените квоти за </w:t>
      </w:r>
      <w:r>
        <w:rPr>
          <w:rFonts w:eastAsia="Batang"/>
          <w:bCs/>
        </w:rPr>
        <w:t>изминалите девет</w:t>
      </w:r>
      <w:r w:rsidRPr="00343698">
        <w:rPr>
          <w:rFonts w:eastAsia="Batang"/>
          <w:bCs/>
        </w:rPr>
        <w:t xml:space="preserve"> месеца на годината са по-ниски от заложените в плана за </w:t>
      </w:r>
      <w:r>
        <w:rPr>
          <w:rFonts w:eastAsia="Batang"/>
          <w:bCs/>
        </w:rPr>
        <w:t>периода</w:t>
      </w:r>
      <w:r w:rsidRPr="00343698">
        <w:rPr>
          <w:rFonts w:eastAsia="Batang"/>
          <w:bCs/>
        </w:rPr>
        <w:t xml:space="preserve">, което съответно </w:t>
      </w:r>
      <w:r w:rsidRPr="00953B11">
        <w:rPr>
          <w:rFonts w:eastAsia="Batang"/>
          <w:bCs/>
        </w:rPr>
        <w:t xml:space="preserve">се </w:t>
      </w:r>
      <w:r>
        <w:rPr>
          <w:rFonts w:eastAsia="Batang"/>
          <w:bCs/>
        </w:rPr>
        <w:t>отразява като по</w:t>
      </w:r>
      <w:r w:rsidRPr="00343698">
        <w:rPr>
          <w:rFonts w:eastAsia="Batang"/>
          <w:bCs/>
        </w:rPr>
        <w:t xml:space="preserve">-ниски от планираните постъпления по бюджета на ФСЕС. </w:t>
      </w:r>
      <w:r>
        <w:rPr>
          <w:rFonts w:eastAsia="Batang"/>
          <w:bCs/>
        </w:rPr>
        <w:t>Освен това нормализирането на цените на електрическата енергия на регионалните борси доведе до свиване на производството на електрическа енергия от ТЕЦ и по-ниски количества продадени квоти спрямо предходните две години.</w:t>
      </w:r>
    </w:p>
    <w:p w14:paraId="2F731111" w14:textId="15BE97B0" w:rsidR="0008732B" w:rsidRPr="004B3136" w:rsidRDefault="0008732B" w:rsidP="0008732B">
      <w:pPr>
        <w:autoSpaceDE w:val="0"/>
        <w:autoSpaceDN w:val="0"/>
        <w:adjustRightInd w:val="0"/>
        <w:spacing w:after="120"/>
        <w:jc w:val="both"/>
        <w:rPr>
          <w:rFonts w:eastAsia="Batang"/>
          <w:bCs/>
        </w:rPr>
      </w:pPr>
      <w:r w:rsidRPr="004B3136">
        <w:rPr>
          <w:rFonts w:eastAsia="Batang"/>
          <w:bCs/>
        </w:rPr>
        <w:t xml:space="preserve">Изпълнението на разчетите в частта на помощите към </w:t>
      </w:r>
      <w:r>
        <w:rPr>
          <w:rFonts w:eastAsia="Batang"/>
          <w:bCs/>
        </w:rPr>
        <w:t>края на месец септември</w:t>
      </w:r>
      <w:r w:rsidRPr="004B3136">
        <w:rPr>
          <w:rFonts w:eastAsia="Batang"/>
          <w:bCs/>
        </w:rPr>
        <w:t xml:space="preserve"> е относително ниско, основно поради забавянето на постъпленията по втория, респективно третия транш по Механизма за възстановяване и устойчивост (МВУ). Към настоящия момент второто искане за плащане, което е изпратено към Европейската комисия (ЕК) на 07.10.2023 г., е в етап на оценка. Съществува риск от намаляване на размера на заявените средства (1,3 млрд. лв.), поради включени в искането няколко ключови реформи в област Правосъдие и област Енергетика, на базата на които Националния</w:t>
      </w:r>
      <w:r>
        <w:rPr>
          <w:rFonts w:eastAsia="Batang"/>
          <w:bCs/>
        </w:rPr>
        <w:t>т</w:t>
      </w:r>
      <w:r w:rsidRPr="004B3136">
        <w:rPr>
          <w:rFonts w:eastAsia="Batang"/>
          <w:bCs/>
        </w:rPr>
        <w:t xml:space="preserve"> план за възстановяване и устойчивост (НПВУ) е получил положителна оценка и за които ЕК не приема декларираното изпълнение като задоволително. Очакват се действия, както от страна на Народното събрание за осигуряване на съответствие на част от законодателните реформи с поетите ангажименти в НПВУ, така и от страна на органи, част от Съдебната система. Съгласно методологията, която прилага ЕК за неизпълнение на етапи и цели от ключови реформи, стойността на задържаната сума за всеки етап се екстраполира с коефициент над 5. Допустимият период за коригиране на приетите като незадоволително изпълнени етапи и цели е 6 месеца, след което стойността на същите</w:t>
      </w:r>
      <w:r>
        <w:rPr>
          <w:rFonts w:eastAsia="Batang"/>
          <w:bCs/>
        </w:rPr>
        <w:t>,</w:t>
      </w:r>
      <w:r w:rsidRPr="004B3136">
        <w:rPr>
          <w:rFonts w:eastAsia="Batang"/>
          <w:bCs/>
        </w:rPr>
        <w:t xml:space="preserve"> съгласно оценката на ЕК</w:t>
      </w:r>
      <w:r>
        <w:rPr>
          <w:rFonts w:eastAsia="Batang"/>
          <w:bCs/>
        </w:rPr>
        <w:t>,</w:t>
      </w:r>
      <w:r w:rsidRPr="004B3136">
        <w:rPr>
          <w:rFonts w:eastAsia="Batang"/>
          <w:bCs/>
        </w:rPr>
        <w:t xml:space="preserve"> се намалява от общата сума на Плана. С протоколно решение № 30 на Министерския съвет от 17 юли 2024 г. е взето решение за финализиране на преговорите с ЕК във връзка с изменението на НПВУ на основание чл</w:t>
      </w:r>
      <w:r>
        <w:rPr>
          <w:rFonts w:eastAsia="Batang"/>
          <w:bCs/>
        </w:rPr>
        <w:t>.</w:t>
      </w:r>
      <w:r w:rsidRPr="004B3136">
        <w:rPr>
          <w:rFonts w:eastAsia="Batang"/>
          <w:bCs/>
        </w:rPr>
        <w:t xml:space="preserve"> 21 от Регламент (ЕС) 2021/241 за създаване на МВУ (Регламента за МВУ) и за представяне на глава </w:t>
      </w:r>
      <w:proofErr w:type="spellStart"/>
      <w:r w:rsidRPr="004B3136">
        <w:rPr>
          <w:rFonts w:eastAsia="Batang"/>
          <w:bCs/>
        </w:rPr>
        <w:t>REPowerEU</w:t>
      </w:r>
      <w:proofErr w:type="spellEnd"/>
      <w:r w:rsidRPr="004B3136">
        <w:rPr>
          <w:rFonts w:eastAsia="Batang"/>
          <w:bCs/>
        </w:rPr>
        <w:t xml:space="preserve"> съгласно чл</w:t>
      </w:r>
      <w:r>
        <w:rPr>
          <w:rFonts w:eastAsia="Batang"/>
          <w:bCs/>
        </w:rPr>
        <w:t>.</w:t>
      </w:r>
      <w:r w:rsidRPr="004B3136">
        <w:rPr>
          <w:rFonts w:eastAsia="Batang"/>
          <w:bCs/>
        </w:rPr>
        <w:t xml:space="preserve"> 21в от Регламента в срок до 11 септември 2024</w:t>
      </w:r>
      <w:r w:rsidR="00FF7CCD">
        <w:rPr>
          <w:rFonts w:eastAsia="Batang"/>
          <w:bCs/>
          <w:lang w:val="en-US"/>
        </w:rPr>
        <w:t> </w:t>
      </w:r>
      <w:r w:rsidRPr="004B3136">
        <w:rPr>
          <w:rFonts w:eastAsia="Batang"/>
          <w:bCs/>
        </w:rPr>
        <w:t xml:space="preserve">г. Процесът влияе на подаването на третото искане за плащане, което е на стойност 1,4 млрд. лв. и многократно увеличава риска от </w:t>
      </w:r>
      <w:proofErr w:type="spellStart"/>
      <w:r w:rsidRPr="004B3136">
        <w:rPr>
          <w:rFonts w:eastAsia="Batang"/>
          <w:bCs/>
        </w:rPr>
        <w:t>неполучаване</w:t>
      </w:r>
      <w:proofErr w:type="spellEnd"/>
      <w:r w:rsidRPr="004B3136">
        <w:rPr>
          <w:rFonts w:eastAsia="Batang"/>
          <w:bCs/>
        </w:rPr>
        <w:t xml:space="preserve"> на средствата в рамките на 2024 г.</w:t>
      </w:r>
      <w:r>
        <w:rPr>
          <w:rFonts w:eastAsia="Batang"/>
          <w:bCs/>
        </w:rPr>
        <w:t xml:space="preserve">  Предвид изложеното, потенциалното неизпълнение на разчетите в частта на помощите по КФП за годината може да възлезе на около 3,5 млрд. лв.</w:t>
      </w:r>
    </w:p>
    <w:p w14:paraId="6C629749" w14:textId="7467AC0B" w:rsidR="0008732B" w:rsidRPr="00755F09" w:rsidRDefault="0008732B" w:rsidP="0008732B">
      <w:pPr>
        <w:autoSpaceDE w:val="0"/>
        <w:autoSpaceDN w:val="0"/>
        <w:adjustRightInd w:val="0"/>
        <w:spacing w:after="120"/>
        <w:jc w:val="both"/>
        <w:rPr>
          <w:rFonts w:eastAsia="Batang"/>
          <w:bCs/>
        </w:rPr>
      </w:pPr>
      <w:r>
        <w:rPr>
          <w:rFonts w:eastAsia="Batang"/>
          <w:bCs/>
        </w:rPr>
        <w:t>За разлика от предходни години през настоящата 2024 г. се наблюдава о</w:t>
      </w:r>
      <w:r w:rsidRPr="00350A78">
        <w:rPr>
          <w:rFonts w:eastAsia="Batang"/>
          <w:bCs/>
        </w:rPr>
        <w:t xml:space="preserve">тносително </w:t>
      </w:r>
      <w:r>
        <w:rPr>
          <w:rFonts w:eastAsia="Batang"/>
          <w:bCs/>
        </w:rPr>
        <w:t xml:space="preserve">по-ускорено </w:t>
      </w:r>
      <w:r w:rsidRPr="00350A78">
        <w:rPr>
          <w:rFonts w:eastAsia="Batang"/>
          <w:bCs/>
        </w:rPr>
        <w:t>усвояване на разходите</w:t>
      </w:r>
      <w:r>
        <w:rPr>
          <w:rFonts w:eastAsia="Batang"/>
          <w:bCs/>
        </w:rPr>
        <w:t>, като общо разходите и вноската в общия бюджет на ЕС за изминалите девет месеца</w:t>
      </w:r>
      <w:r w:rsidRPr="00350A78">
        <w:rPr>
          <w:rFonts w:eastAsia="Batang"/>
          <w:bCs/>
        </w:rPr>
        <w:t xml:space="preserve"> на годината </w:t>
      </w:r>
      <w:r>
        <w:rPr>
          <w:rFonts w:eastAsia="Batang"/>
          <w:bCs/>
        </w:rPr>
        <w:t>представляват 67,3</w:t>
      </w:r>
      <w:r w:rsidRPr="00350A78">
        <w:rPr>
          <w:rFonts w:eastAsia="Batang"/>
          <w:bCs/>
        </w:rPr>
        <w:t xml:space="preserve"> на сто от планираните с разчетите към ЗДБРБ за 202</w:t>
      </w:r>
      <w:r>
        <w:rPr>
          <w:rFonts w:eastAsia="Batang"/>
          <w:bCs/>
        </w:rPr>
        <w:t>4</w:t>
      </w:r>
      <w:r w:rsidR="00B91710">
        <w:rPr>
          <w:rFonts w:eastAsia="Batang"/>
          <w:bCs/>
          <w:lang w:val="en-US"/>
        </w:rPr>
        <w:t> </w:t>
      </w:r>
      <w:r w:rsidRPr="00350A78">
        <w:rPr>
          <w:rFonts w:eastAsia="Batang"/>
          <w:bCs/>
        </w:rPr>
        <w:t xml:space="preserve">г. </w:t>
      </w:r>
      <w:r>
        <w:rPr>
          <w:rFonts w:eastAsia="Batang"/>
          <w:bCs/>
        </w:rPr>
        <w:t>при 65,5 на сто за същия период на предходната година</w:t>
      </w:r>
      <w:r w:rsidRPr="00350A78">
        <w:rPr>
          <w:rFonts w:eastAsia="Batang"/>
          <w:bCs/>
        </w:rPr>
        <w:t xml:space="preserve">. Очаква се през </w:t>
      </w:r>
      <w:r w:rsidRPr="00953B11">
        <w:rPr>
          <w:rFonts w:eastAsia="Batang"/>
          <w:bCs/>
        </w:rPr>
        <w:t>последното тримесечие на годината разходите да нараснат значително, като освен традиционно по-високите капиталови разходи и тези</w:t>
      </w:r>
      <w:r w:rsidRPr="00755F09">
        <w:rPr>
          <w:rFonts w:eastAsia="Batang"/>
          <w:bCs/>
        </w:rPr>
        <w:t xml:space="preserve">, свързани със зимния период, ще бъдат финансирани и проекти по инвестиционната програма, одобрена със ЗДБРБ за 2024 г. </w:t>
      </w:r>
    </w:p>
    <w:p w14:paraId="1D52AAC1" w14:textId="677B76EE" w:rsidR="0008732B" w:rsidRPr="00755F09" w:rsidRDefault="00690BA6" w:rsidP="0008732B">
      <w:pPr>
        <w:spacing w:after="120"/>
        <w:jc w:val="both"/>
      </w:pPr>
      <w:r w:rsidRPr="00690BA6">
        <w:t>Спрямо същия период на предходната година разходите и вноската в общия бюджет на ЕС нарастват номинално с близо 6,4 млрд. лв. (13,1 на сто), което се дължи основно на по-високия размер на разходите по националния бюджет. Ръстът на разходите се дължи на влезли в сила нормативни актове, вкл. промени в пенсионната сфера, разходи по реализирането на одобрени от Народното събрание инвестиционни проекти в сферата на отбраната и други инвестиционни разходи, влезли в сила увеличени размери на възнагражденията в редица администрации и други</w:t>
      </w:r>
      <w:r w:rsidR="0008732B" w:rsidRPr="00755F09">
        <w:t>.</w:t>
      </w:r>
    </w:p>
    <w:p w14:paraId="076D82DC" w14:textId="49451C7C" w:rsidR="0008732B" w:rsidRPr="00755F09" w:rsidRDefault="0008732B" w:rsidP="0008732B">
      <w:pPr>
        <w:spacing w:after="120"/>
        <w:jc w:val="both"/>
      </w:pPr>
      <w:r w:rsidRPr="00755F09">
        <w:t>При отделните елементи на разходите, съпоставено със същия период на предходната година, най-значителен номинален ръст се отчита при социалните и здравноосигурителните разходи (3,</w:t>
      </w:r>
      <w:r w:rsidR="007018BB">
        <w:t>7</w:t>
      </w:r>
      <w:r w:rsidRPr="00755F09">
        <w:t> млрд. лв. или 16,7 на сто), в т.</w:t>
      </w:r>
      <w:r w:rsidR="00EF73C5">
        <w:rPr>
          <w:lang w:val="en-US"/>
        </w:rPr>
        <w:t xml:space="preserve"> </w:t>
      </w:r>
      <w:r w:rsidRPr="00755F09">
        <w:t>ч. разходите за пенсии нарастват с 1,9 млрд. лв. (13,1 на сто). Част от мерките в пенсионната сфера, действащи през първите девет месеца на 2024 г., влязоха в сила още през 2023 г.: от 1 юли 2023 г. бяха увеличени пенсиите по т. нар. „швейцарското правило“, като заедно с това бяха повишени минималните размери на трудовите пенсии и определени нови по-високи размери на пенсиите, несвързани с трудова дейност. Съвкупният ефект от тези промени засяга общо 2 013 700 пенсионери и възлиза средно-претеглено на 12 на сто увеличение след тяхното прилагане. Предвид обстоятелството, че посочените мерки не са действали през първото полугодие на 2023 г. при съпоставката със същия период на предходната година се наблюдава базов ефект, което обуславя относително високия номинален ръст. Друга част са мерки, одобрени и действащи през 2024 г.: от 1 юли 2024 г. отново бяха увеличени пенсиите по т. нар. „швейцарското правило“</w:t>
      </w:r>
      <w:r w:rsidR="00B324DE">
        <w:t xml:space="preserve"> с 11 %.</w:t>
      </w:r>
      <w:r w:rsidRPr="00755F09">
        <w:t xml:space="preserve"> </w:t>
      </w:r>
      <w:r w:rsidR="00B324DE">
        <w:t>Освен това</w:t>
      </w:r>
      <w:r w:rsidRPr="00755F09">
        <w:t xml:space="preserve"> бе одобрено и изплащане на еднократна добавка към пенсиите на пенсионерите с пенсии под 526 лева през месец април в размер на 100 лева.</w:t>
      </w:r>
    </w:p>
    <w:p w14:paraId="0F41F61C" w14:textId="3BA19FC8" w:rsidR="0008732B" w:rsidRPr="00755F09" w:rsidRDefault="0008732B" w:rsidP="0008732B">
      <w:pPr>
        <w:spacing w:after="120"/>
        <w:jc w:val="both"/>
      </w:pPr>
      <w:r w:rsidRPr="00755F09">
        <w:t xml:space="preserve">Друг елемент на разходите, при който се отчита съществено нарастване спрямо </w:t>
      </w:r>
      <w:r w:rsidR="005F35EB" w:rsidRPr="005F35EB">
        <w:t xml:space="preserve">деветмесечието </w:t>
      </w:r>
      <w:r w:rsidRPr="00755F09">
        <w:t>на предходната година (с 2,5 млрд. лв. или 20,8 на сто) са разходите за персонал. Разгледани по съставни бюджети, най-съществена част от номиналното нарастване на разходите за персонал се формира по бюджетите на общините, които нарастват с близо 1,1 млрд. лв. (23,4 на сто), следвани от разходите за персонал по държавния бюджет, където те нарастват с 1,1 млрд. лв. (19,1 на сто). Нарастването на разходите се дължи основно на увеличение на размера на възнагражденията със ЗДБРБ за 2023 г. и 2024 г., както и на редица законодателни промени и актове на Министерския съвет, които бяха одобрени през второто полугодие на 2023 г. и първите изминалите девет месеца на 2024 г. В разходите за персонал по бюджетите на общините се включват и разходи за други възнаграждения, които се изплащат за сметка на трансфери от бюджета на МТСП за осъществявани социални услуги.</w:t>
      </w:r>
    </w:p>
    <w:p w14:paraId="708B4EE2" w14:textId="38371032" w:rsidR="0008732B" w:rsidRDefault="0008732B" w:rsidP="0008732B">
      <w:pPr>
        <w:spacing w:after="120"/>
        <w:jc w:val="both"/>
      </w:pPr>
      <w:r w:rsidRPr="00755F09">
        <w:t>Бюджетното салдо по КФП към края на деветмесечието е отрицателно</w:t>
      </w:r>
      <w:r>
        <w:t xml:space="preserve"> в размер на 2,8 млрд. лв. (1,4 % от прогнозния БВП). През изминалите месеци от началото на годината се наблюдава изпреварващ темп на нарастване на разходите (основно на социалните и здравноосигурителни плащания, в т.</w:t>
      </w:r>
      <w:r w:rsidR="00EB6599">
        <w:rPr>
          <w:lang w:val="en-US"/>
        </w:rPr>
        <w:t xml:space="preserve"> </w:t>
      </w:r>
      <w:r>
        <w:t xml:space="preserve">ч. </w:t>
      </w:r>
      <w:r w:rsidRPr="00CF2B75">
        <w:t xml:space="preserve"> пенсии, помощи и обезщетения, както и при разходите за персонал и други)</w:t>
      </w:r>
      <w:r>
        <w:t>, който изпреварва темпа на нарастване на приходите и води до превишение на разходите над приходите и формиране на дефицит.</w:t>
      </w:r>
      <w:r w:rsidRPr="00CF2B75">
        <w:t xml:space="preserve"> </w:t>
      </w:r>
    </w:p>
    <w:p w14:paraId="2B5E3594" w14:textId="77777777" w:rsidR="0008732B" w:rsidRPr="00C80F47" w:rsidRDefault="0008732B" w:rsidP="002A5BEC">
      <w:pPr>
        <w:pStyle w:val="Heading2"/>
        <w:numPr>
          <w:ilvl w:val="0"/>
          <w:numId w:val="30"/>
        </w:numPr>
        <w:tabs>
          <w:tab w:val="left" w:pos="709"/>
        </w:tabs>
        <w:ind w:hanging="76"/>
        <w:rPr>
          <w:rFonts w:ascii="Times New Roman" w:hAnsi="Times New Roman" w:cs="Times New Roman"/>
          <w:sz w:val="24"/>
          <w:szCs w:val="24"/>
        </w:rPr>
      </w:pPr>
      <w:r w:rsidRPr="00C80F47">
        <w:rPr>
          <w:rFonts w:ascii="Times New Roman" w:hAnsi="Times New Roman" w:cs="Times New Roman"/>
          <w:sz w:val="24"/>
          <w:szCs w:val="24"/>
        </w:rPr>
        <w:t>Предизвикателства при изпълнението на бюджета до края на бюджетната година</w:t>
      </w:r>
    </w:p>
    <w:p w14:paraId="583A43CF" w14:textId="431AF482" w:rsidR="0008732B" w:rsidRPr="00953B11" w:rsidRDefault="0008732B" w:rsidP="002A5BEC">
      <w:pPr>
        <w:spacing w:before="120" w:after="120"/>
        <w:jc w:val="both"/>
        <w:rPr>
          <w:rFonts w:eastAsia="Batang"/>
          <w:bCs/>
        </w:rPr>
      </w:pPr>
      <w:r>
        <w:t xml:space="preserve">При очерталото се значително неизпълнение в годишен план на разчетите в частта на помощите, респективно общо приходите по КФП, и отчитайки очерталото се по-ниското усвояване на разходите по сметките за средства от ЕС по Плана за възстановяване и устойчивост (ПВУ) и някои от програмите по новия програмен период 2021-2027 г. съществува известен риск за допълнително влошаване на бюджетното салдо по КФП спрямо заложения индикативен размер на дефицита по КФП в мотивите към ЗДБРБ за 2024 г. Предизвикателство представляват и значителният брой на одобрените проекти </w:t>
      </w:r>
      <w:r w:rsidRPr="00953B11">
        <w:rPr>
          <w:rFonts w:eastAsia="Batang"/>
          <w:bCs/>
        </w:rPr>
        <w:t>по Инвестиционната програма по чл. 106 и чл. 107 от Закона за държавния бюджет н</w:t>
      </w:r>
      <w:r>
        <w:rPr>
          <w:rFonts w:eastAsia="Batang"/>
          <w:bCs/>
        </w:rPr>
        <w:t>а Република България за 2024 г.</w:t>
      </w:r>
      <w:r w:rsidRPr="00953B11">
        <w:rPr>
          <w:rFonts w:eastAsia="Batang"/>
          <w:bCs/>
        </w:rPr>
        <w:t xml:space="preserve"> </w:t>
      </w:r>
      <w:r>
        <w:rPr>
          <w:rFonts w:eastAsia="Batang"/>
          <w:bCs/>
        </w:rPr>
        <w:t>Причината за това е, че</w:t>
      </w:r>
      <w:r w:rsidRPr="00953B11">
        <w:rPr>
          <w:rFonts w:eastAsia="Batang"/>
          <w:bCs/>
        </w:rPr>
        <w:t xml:space="preserve"> индикативният размер на прогнозния бюджет в Приложение № 2 към чл. 106, ал. 5 и Приложение № 3 към чл. 107, ал. 13 на ЗДБРБ за 2024 г. е по-висок от заложените разходи в разчетите към закона за бюджета за настоящата година. При негативен сценарий за реализиране и финализиране в срок на проекти</w:t>
      </w:r>
      <w:r w:rsidR="006B60E5">
        <w:rPr>
          <w:rFonts w:eastAsia="Batang"/>
          <w:bCs/>
        </w:rPr>
        <w:t>,</w:t>
      </w:r>
      <w:r w:rsidRPr="00953B11">
        <w:rPr>
          <w:rFonts w:eastAsia="Batang"/>
          <w:bCs/>
        </w:rPr>
        <w:t xml:space="preserve"> с общата стойност на които </w:t>
      </w:r>
      <w:r>
        <w:rPr>
          <w:rFonts w:eastAsia="Batang"/>
          <w:bCs/>
        </w:rPr>
        <w:t xml:space="preserve">се </w:t>
      </w:r>
      <w:r w:rsidRPr="00953B11">
        <w:rPr>
          <w:rFonts w:eastAsia="Batang"/>
          <w:bCs/>
        </w:rPr>
        <w:t>надвишава заложения размер в разчетите на държавния бюджет за 2024 г.</w:t>
      </w:r>
      <w:r w:rsidR="006B60E5">
        <w:rPr>
          <w:rFonts w:eastAsia="Batang"/>
          <w:bCs/>
        </w:rPr>
        <w:t>,</w:t>
      </w:r>
      <w:r w:rsidRPr="00953B11">
        <w:rPr>
          <w:rFonts w:eastAsia="Batang"/>
          <w:bCs/>
        </w:rPr>
        <w:t xml:space="preserve"> биха могли да възникнат нови задължения за разходи, които да доведат до влошаване на салдото на сектор „Държавно управление“ спрямо индикативната рамка за годината.</w:t>
      </w:r>
    </w:p>
    <w:p w14:paraId="4E483C42" w14:textId="6D9EA5F2" w:rsidR="0008732B" w:rsidRPr="0008732B" w:rsidRDefault="0008732B" w:rsidP="0008732B">
      <w:pPr>
        <w:autoSpaceDE w:val="0"/>
        <w:autoSpaceDN w:val="0"/>
        <w:adjustRightInd w:val="0"/>
        <w:spacing w:after="120"/>
        <w:jc w:val="both"/>
      </w:pPr>
      <w:r w:rsidRPr="00953B11">
        <w:rPr>
          <w:rFonts w:eastAsia="Batang"/>
          <w:bCs/>
        </w:rPr>
        <w:t xml:space="preserve">При негативен сценарий - </w:t>
      </w:r>
      <w:proofErr w:type="spellStart"/>
      <w:r w:rsidRPr="00953B11">
        <w:rPr>
          <w:rFonts w:eastAsia="Batang"/>
          <w:bCs/>
        </w:rPr>
        <w:t>непостъпване</w:t>
      </w:r>
      <w:proofErr w:type="spellEnd"/>
      <w:r w:rsidRPr="00953B11">
        <w:rPr>
          <w:rFonts w:eastAsia="Batang"/>
          <w:bCs/>
        </w:rPr>
        <w:t xml:space="preserve"> на планираните втори и трети транш по МВУ до края на годината и потенциално неизпълнение на разчети</w:t>
      </w:r>
      <w:r>
        <w:rPr>
          <w:rFonts w:eastAsia="Batang"/>
          <w:bCs/>
        </w:rPr>
        <w:t>те по приходите по КФП с близо 3</w:t>
      </w:r>
      <w:r w:rsidRPr="00953B11">
        <w:rPr>
          <w:rFonts w:eastAsia="Batang"/>
          <w:bCs/>
        </w:rPr>
        <w:t>,5 млрд. лв., независимо от значителното изоста</w:t>
      </w:r>
      <w:r>
        <w:rPr>
          <w:rFonts w:eastAsia="Batang"/>
          <w:bCs/>
        </w:rPr>
        <w:t>ване от прогнозните разходи по П</w:t>
      </w:r>
      <w:r w:rsidRPr="00953B11">
        <w:rPr>
          <w:rFonts w:eastAsia="Batang"/>
          <w:bCs/>
        </w:rPr>
        <w:t>ВУ</w:t>
      </w:r>
      <w:r>
        <w:rPr>
          <w:rFonts w:eastAsia="Batang"/>
          <w:bCs/>
        </w:rPr>
        <w:t xml:space="preserve"> и други проекти</w:t>
      </w:r>
      <w:r w:rsidRPr="00953B11">
        <w:rPr>
          <w:rFonts w:eastAsia="Batang"/>
          <w:bCs/>
        </w:rPr>
        <w:t>, както и в условията на напрегнат бюджет</w:t>
      </w:r>
      <w:r>
        <w:rPr>
          <w:rFonts w:eastAsia="Batang"/>
          <w:bCs/>
        </w:rPr>
        <w:t>, е възможно Министерският съвет да няма обективна възможност</w:t>
      </w:r>
      <w:r w:rsidRPr="00953B11">
        <w:rPr>
          <w:rFonts w:eastAsia="Batang"/>
          <w:bCs/>
        </w:rPr>
        <w:t xml:space="preserve"> да одобри </w:t>
      </w:r>
      <w:r>
        <w:rPr>
          <w:rFonts w:eastAsia="Batang"/>
          <w:bCs/>
        </w:rPr>
        <w:t>достатъчни по размер компенсиращи мерки</w:t>
      </w:r>
      <w:r w:rsidRPr="00953B11">
        <w:rPr>
          <w:rFonts w:eastAsia="Batang"/>
          <w:bCs/>
        </w:rPr>
        <w:t xml:space="preserve">, които да обезпечат спазването на индикативната цел за бюджетното салдо по КФП в мотивите към ЗДБРБ за 2024 г. Въпреки това, прилагайки методологията на Европейската система от регионални и национални сметки 2010 (ЕСС 2010) за оценка на показателите за сектор „Държавно управление“ ще бъдат положени максимални усилия дефицитът на сектора за 2024 г. да остане в рамките на референтната стойност </w:t>
      </w:r>
      <w:r w:rsidRPr="0008732B">
        <w:rPr>
          <w:rFonts w:eastAsia="Batang"/>
          <w:bCs/>
        </w:rPr>
        <w:t>от 3 на сто от прогнозния БВП.</w:t>
      </w:r>
    </w:p>
    <w:p w14:paraId="2EF48A6E" w14:textId="77777777" w:rsidR="00173D90" w:rsidRPr="0019204E" w:rsidRDefault="00173D90" w:rsidP="00173D90">
      <w:pPr>
        <w:keepNext/>
        <w:keepLines/>
        <w:spacing w:before="240"/>
        <w:jc w:val="both"/>
        <w:outlineLvl w:val="2"/>
        <w:rPr>
          <w:b/>
          <w:lang w:eastAsia="bg-BG"/>
        </w:rPr>
      </w:pPr>
      <w:r w:rsidRPr="0019204E">
        <w:rPr>
          <w:b/>
          <w:lang w:eastAsia="bg-BG"/>
        </w:rPr>
        <w:t>Информация за разходите за хуманитарна помощ, както и за справяне с последствията във връзка с военните действия в Украйна</w:t>
      </w:r>
    </w:p>
    <w:p w14:paraId="287AF6FF" w14:textId="50BEB121" w:rsidR="009772DA" w:rsidRPr="0019204E" w:rsidRDefault="009772DA" w:rsidP="009772DA">
      <w:pPr>
        <w:keepNext/>
        <w:keepLines/>
        <w:spacing w:before="120"/>
        <w:jc w:val="both"/>
        <w:outlineLvl w:val="2"/>
        <w:rPr>
          <w:bCs/>
          <w:color w:val="0070C0"/>
          <w:lang w:eastAsia="bg-BG"/>
        </w:rPr>
      </w:pPr>
      <w:r w:rsidRPr="0019204E">
        <w:rPr>
          <w:lang w:eastAsia="bg-BG"/>
        </w:rPr>
        <w:t xml:space="preserve">Отчетените от ПРБ разходи към 30.09.2024 г. по бюджетите им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 са в размер на </w:t>
      </w:r>
      <w:r w:rsidR="004A6F03">
        <w:rPr>
          <w:lang w:eastAsia="bg-BG"/>
        </w:rPr>
        <w:t>402,5</w:t>
      </w:r>
      <w:r w:rsidRPr="0019204E">
        <w:rPr>
          <w:lang w:eastAsia="bg-BG"/>
        </w:rPr>
        <w:t xml:space="preserve"> млн.</w:t>
      </w:r>
      <w:r w:rsidRPr="0019204E">
        <w:rPr>
          <w:bCs/>
          <w:lang w:eastAsia="bg-BG"/>
        </w:rPr>
        <w:t xml:space="preserve"> лв. за сметка на националния бюджет и 19,5 млн. лв. за сметка на средства от ЕС.</w:t>
      </w:r>
      <w:r w:rsidR="0019204E" w:rsidRPr="0019204E">
        <w:rPr>
          <w:bCs/>
          <w:lang w:val="en-US" w:eastAsia="bg-BG"/>
        </w:rPr>
        <w:t xml:space="preserve"> </w:t>
      </w:r>
      <w:r w:rsidR="0019204E" w:rsidRPr="0019204E">
        <w:rPr>
          <w:bCs/>
          <w:lang w:eastAsia="bg-BG"/>
        </w:rPr>
        <w:t>По бюджетите на общините отчетените разходи са в размер на 0,7 млн. лв., като това основно са разходи за справяне с последствията от военните действия срещу Украйна.</w:t>
      </w:r>
    </w:p>
    <w:p w14:paraId="1062523B" w14:textId="77777777" w:rsidR="009772DA" w:rsidRPr="0019204E" w:rsidRDefault="009772DA" w:rsidP="009772DA">
      <w:pPr>
        <w:keepNext/>
        <w:keepLines/>
        <w:spacing w:before="120"/>
        <w:jc w:val="both"/>
        <w:outlineLvl w:val="2"/>
        <w:rPr>
          <w:lang w:eastAsia="bg-BG"/>
        </w:rPr>
      </w:pPr>
      <w:r w:rsidRPr="0019204E">
        <w:rPr>
          <w:b/>
          <w:i/>
          <w:lang w:eastAsia="bg-BG"/>
        </w:rPr>
        <w:t>По програми за хуманитарна помощ за лица, търсещи временна закрила</w:t>
      </w:r>
      <w:r w:rsidRPr="0019204E">
        <w:rPr>
          <w:lang w:eastAsia="bg-BG"/>
        </w:rPr>
        <w:t xml:space="preserve"> </w:t>
      </w:r>
    </w:p>
    <w:p w14:paraId="26F960C0" w14:textId="77777777" w:rsidR="009772DA" w:rsidRPr="0019204E" w:rsidRDefault="009772DA" w:rsidP="009772DA">
      <w:pPr>
        <w:keepNext/>
        <w:keepLines/>
        <w:jc w:val="both"/>
        <w:outlineLvl w:val="2"/>
        <w:rPr>
          <w:lang w:eastAsia="bg-BG"/>
        </w:rPr>
      </w:pPr>
      <w:r w:rsidRPr="0019204E">
        <w:rPr>
          <w:lang w:eastAsia="bg-BG"/>
        </w:rPr>
        <w:t>Разходите за хуманитарна помощ и за справяне с последствията от военните действия в Украйна към 30.09.2024 г. по „Програма за хуманитарно подпомагане на разселени лица от Украйна с предоставена временна закрила в Република България“ възлизат  на 19,7 млн. лв. като от тях: с ПМС № 22/15.02.2024 г. са одобрени допълнителни разходи по бюджета на Министерството на туризма за 2024 г. общо в размер на 6,1 млн. лв.; с ПМС № 209/10.02.2024 г. са одобрени допълнителни разходи по бюджета на МТ за 2024 г. в размер на 9,3 млн. лв. и с ПМС№297/16.08.2024 г. са одобрени допълнителни разходи по бюджета на Министерството на туризма за 2024 г. в размер на 4,3 млн. лв.</w:t>
      </w:r>
    </w:p>
    <w:p w14:paraId="48016BE2" w14:textId="77777777" w:rsidR="009772DA" w:rsidRPr="0019204E" w:rsidRDefault="009772DA" w:rsidP="008A478A">
      <w:pPr>
        <w:keepNext/>
        <w:keepLines/>
        <w:spacing w:before="120"/>
        <w:jc w:val="both"/>
        <w:outlineLvl w:val="2"/>
        <w:rPr>
          <w:bCs/>
          <w:lang w:eastAsia="bg-BG"/>
        </w:rPr>
      </w:pPr>
      <w:r w:rsidRPr="004220D3">
        <w:rPr>
          <w:b/>
          <w:bCs/>
          <w:i/>
          <w:lang w:eastAsia="bg-BG"/>
        </w:rPr>
        <w:t>Държавна помощ</w:t>
      </w:r>
      <w:r w:rsidRPr="0019204E">
        <w:rPr>
          <w:bCs/>
          <w:lang w:eastAsia="bg-BG"/>
        </w:rPr>
        <w:t xml:space="preserve"> „</w:t>
      </w:r>
      <w:r w:rsidRPr="0019204E">
        <w:rPr>
          <w:b/>
          <w:bCs/>
          <w:i/>
          <w:lang w:eastAsia="bg-BG"/>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19204E">
        <w:rPr>
          <w:bCs/>
          <w:lang w:eastAsia="bg-BG"/>
        </w:rPr>
        <w:t>“</w:t>
      </w:r>
    </w:p>
    <w:p w14:paraId="79949789" w14:textId="77777777" w:rsidR="009772DA" w:rsidRPr="0019204E" w:rsidRDefault="009772DA" w:rsidP="00064C29">
      <w:pPr>
        <w:keepNext/>
        <w:keepLines/>
        <w:jc w:val="both"/>
        <w:outlineLvl w:val="2"/>
        <w:rPr>
          <w:bCs/>
          <w:lang w:eastAsia="bg-BG"/>
        </w:rPr>
      </w:pPr>
      <w:r w:rsidRPr="0019204E">
        <w:rPr>
          <w:bCs/>
          <w:lang w:eastAsia="bg-BG"/>
        </w:rPr>
        <w:t>Изплатените средства към 30.09.2024 г. от ДФ „Земеделие“ по схема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2023 г. и по схеми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 за 2024 г., разработени при спазване на правилата Временната рамка за мерки за държавна помощ при кризи в подкрепа на икономиката след агресията на Русия срещу Украйна, са в общ размер на 330,2 млн. лв., в т.ч.:</w:t>
      </w:r>
    </w:p>
    <w:p w14:paraId="54866C30" w14:textId="77777777" w:rsidR="009772DA" w:rsidRPr="0019204E" w:rsidRDefault="009772DA" w:rsidP="00E86EAF">
      <w:pPr>
        <w:keepNext/>
        <w:keepLines/>
        <w:numPr>
          <w:ilvl w:val="0"/>
          <w:numId w:val="25"/>
        </w:numPr>
        <w:tabs>
          <w:tab w:val="left" w:pos="993"/>
        </w:tabs>
        <w:ind w:left="0" w:firstLine="567"/>
        <w:jc w:val="both"/>
        <w:outlineLvl w:val="2"/>
        <w:rPr>
          <w:bCs/>
          <w:lang w:eastAsia="bg-BG"/>
        </w:rPr>
      </w:pPr>
      <w:r w:rsidRPr="0019204E">
        <w:rPr>
          <w:bCs/>
          <w:lang w:eastAsia="bg-BG"/>
        </w:rPr>
        <w:t xml:space="preserve">по схема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2023 г. – 10 893 лв. Средствата са одобрени с Решение на Управителния съвет на ДФЗ /Протокол № 224 от 17.01.2024 г./ и представляват неразплатени средства от предходна година, в т.ч. спрени плащания поради </w:t>
      </w:r>
      <w:proofErr w:type="spellStart"/>
      <w:r w:rsidRPr="0019204E">
        <w:rPr>
          <w:bCs/>
          <w:lang w:eastAsia="bg-BG"/>
        </w:rPr>
        <w:t>неприключили</w:t>
      </w:r>
      <w:proofErr w:type="spellEnd"/>
      <w:r w:rsidRPr="0019204E">
        <w:rPr>
          <w:bCs/>
          <w:lang w:eastAsia="bg-BG"/>
        </w:rPr>
        <w:t xml:space="preserve"> проверки и изплащане на средства на </w:t>
      </w:r>
      <w:proofErr w:type="spellStart"/>
      <w:r w:rsidRPr="0019204E">
        <w:rPr>
          <w:bCs/>
          <w:lang w:eastAsia="bg-BG"/>
        </w:rPr>
        <w:t>бенефициери</w:t>
      </w:r>
      <w:proofErr w:type="spellEnd"/>
      <w:r w:rsidRPr="0019204E">
        <w:rPr>
          <w:bCs/>
          <w:lang w:eastAsia="bg-BG"/>
        </w:rPr>
        <w:t xml:space="preserve"> с върнати суми поради закрити сметки.</w:t>
      </w:r>
    </w:p>
    <w:p w14:paraId="43F14C5F" w14:textId="77777777" w:rsidR="009772DA" w:rsidRPr="0019204E" w:rsidRDefault="009772DA" w:rsidP="00E86EAF">
      <w:pPr>
        <w:keepNext/>
        <w:keepLines/>
        <w:numPr>
          <w:ilvl w:val="0"/>
          <w:numId w:val="25"/>
        </w:numPr>
        <w:tabs>
          <w:tab w:val="left" w:pos="993"/>
        </w:tabs>
        <w:ind w:left="0" w:firstLine="567"/>
        <w:jc w:val="both"/>
        <w:outlineLvl w:val="2"/>
        <w:rPr>
          <w:bCs/>
          <w:lang w:eastAsia="bg-BG"/>
        </w:rPr>
      </w:pPr>
      <w:r w:rsidRPr="0019204E">
        <w:rPr>
          <w:bCs/>
          <w:lang w:eastAsia="bg-BG"/>
        </w:rPr>
        <w:t>по схеми на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 за 2024 г. - 330 175 611 лв. Средствата са одобрени с Постановление на Министерския съвет № 153 от 30.04.2024 г. и решения на Управителния съвет на ДФЗ /Протокол № 228 от 07.05.2024 г. и № 229 от 16.05.2024 г./.</w:t>
      </w:r>
    </w:p>
    <w:p w14:paraId="7C84BA40" w14:textId="264FD1F3" w:rsidR="004220D3" w:rsidRDefault="004220D3" w:rsidP="004220D3">
      <w:pPr>
        <w:keepNext/>
        <w:keepLines/>
        <w:spacing w:before="120"/>
        <w:jc w:val="both"/>
        <w:outlineLvl w:val="2"/>
      </w:pPr>
      <w:r w:rsidRPr="009E759D">
        <w:rPr>
          <w:b/>
          <w:i/>
          <w:lang w:eastAsia="bg-BG"/>
        </w:rPr>
        <w:t>Държавна помощ за стабилизиране на транспортния отрасъл във връзка с преодоляване на последиците от войната в Украйна</w:t>
      </w:r>
      <w:r>
        <w:rPr>
          <w:b/>
          <w:i/>
          <w:lang w:eastAsia="bg-BG"/>
        </w:rPr>
        <w:t xml:space="preserve">. </w:t>
      </w:r>
      <w:r w:rsidRPr="00564B6A">
        <w:rPr>
          <w:lang w:eastAsia="bg-BG"/>
        </w:rPr>
        <w:t>С Постановление  №</w:t>
      </w:r>
      <w:r w:rsidR="0033192F">
        <w:rPr>
          <w:lang w:eastAsia="bg-BG"/>
        </w:rPr>
        <w:t xml:space="preserve"> </w:t>
      </w:r>
      <w:r w:rsidRPr="00564B6A">
        <w:rPr>
          <w:lang w:eastAsia="bg-BG"/>
        </w:rPr>
        <w:t xml:space="preserve">30 от 23.02.2024 г. на Министерския съвет  по бюджета на Министерството на регионалното развитие и благоустройството са одобрени </w:t>
      </w:r>
      <w:r>
        <w:rPr>
          <w:lang w:eastAsia="bg-BG"/>
        </w:rPr>
        <w:t xml:space="preserve">допълнителни разходи в размер на </w:t>
      </w:r>
      <w:r w:rsidRPr="00564B6A">
        <w:rPr>
          <w:lang w:eastAsia="bg-BG"/>
        </w:rPr>
        <w:t xml:space="preserve">50 млн. лв. за изпълнение на </w:t>
      </w:r>
      <w:r w:rsidRPr="00564B6A">
        <w:t>Схема за държавна помощ „Помощ в подкрепа на разходи за стабилизиране на транспортния отрасъл в Република България</w:t>
      </w:r>
      <w:r>
        <w:t>“, които към 30.09.2024 г. са усвоени изцяло.</w:t>
      </w:r>
    </w:p>
    <w:p w14:paraId="0AEA28EE" w14:textId="77777777" w:rsidR="004220D3" w:rsidRDefault="004220D3" w:rsidP="004220D3">
      <w:pPr>
        <w:keepNext/>
        <w:keepLines/>
        <w:spacing w:before="120"/>
        <w:jc w:val="both"/>
        <w:outlineLvl w:val="2"/>
      </w:pPr>
    </w:p>
    <w:p w14:paraId="5430F9B8" w14:textId="01E476EF" w:rsidR="004220D3" w:rsidRDefault="004220D3" w:rsidP="0099311D">
      <w:pPr>
        <w:spacing w:before="120"/>
        <w:jc w:val="both"/>
      </w:pPr>
      <w:r>
        <w:rPr>
          <w:color w:val="000000"/>
        </w:rPr>
        <w:t>С Указ 115 /19.04.2024 г. е ратифициране на споразумение за участие на Р България в Програмата на ОИСР за Украйна. Министерството на външните работи отчита 0,5 млн. лв. за д</w:t>
      </w:r>
      <w:r>
        <w:t>оброволен финансов принос по споразумение за участие на Р България в Програмата на ОИСР за Украйна; доброволен финансов принос по споразумение за участие на Р България в Програмата на ОССЕ подкреп</w:t>
      </w:r>
      <w:r w:rsidR="003A1D8D">
        <w:t xml:space="preserve">а </w:t>
      </w:r>
      <w:r>
        <w:t>за Украйна; настаняване на 30 украински деца с двама ръководители в почивната станция на АДИС и безвъзмездна помощ.</w:t>
      </w:r>
    </w:p>
    <w:p w14:paraId="1D5D65C7" w14:textId="6B3F64AA" w:rsidR="009772DA" w:rsidRPr="0019204E" w:rsidRDefault="009772DA" w:rsidP="00AA2948">
      <w:pPr>
        <w:keepNext/>
        <w:keepLines/>
        <w:spacing w:before="120"/>
        <w:jc w:val="both"/>
        <w:outlineLvl w:val="2"/>
        <w:rPr>
          <w:lang w:eastAsia="bg-BG"/>
        </w:rPr>
      </w:pPr>
      <w:r w:rsidRPr="0019204E">
        <w:rPr>
          <w:b/>
          <w:i/>
          <w:lang w:eastAsia="bg-BG"/>
        </w:rPr>
        <w:t>В областта на социалната закрила</w:t>
      </w:r>
      <w:r w:rsidRPr="0019204E">
        <w:rPr>
          <w:lang w:eastAsia="bg-BG"/>
        </w:rPr>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w:t>
      </w:r>
    </w:p>
    <w:p w14:paraId="231645C2" w14:textId="77777777" w:rsidR="009772DA" w:rsidRPr="0019204E" w:rsidRDefault="009772DA" w:rsidP="00F03AD8">
      <w:pPr>
        <w:keepNext/>
        <w:keepLines/>
        <w:spacing w:before="120"/>
        <w:jc w:val="both"/>
        <w:outlineLvl w:val="2"/>
        <w:rPr>
          <w:lang w:eastAsia="bg-BG"/>
        </w:rPr>
      </w:pPr>
      <w:r w:rsidRPr="0019204E">
        <w:rPr>
          <w:lang w:eastAsia="bg-BG"/>
        </w:rPr>
        <w:t>Към 30.09.2024 г. от Министерство на труда и социалната политика са отчетени 30.09.2024 г. са отчетени общо 117 656 лв. социални разходи, от които:</w:t>
      </w:r>
    </w:p>
    <w:p w14:paraId="77EF9AAB" w14:textId="6A26E6E1" w:rsidR="009772DA" w:rsidRPr="0019204E" w:rsidRDefault="00D30998" w:rsidP="0013348A">
      <w:pPr>
        <w:keepNext/>
        <w:keepLines/>
        <w:spacing w:before="120"/>
        <w:jc w:val="both"/>
        <w:outlineLvl w:val="2"/>
        <w:rPr>
          <w:lang w:eastAsia="bg-BG"/>
        </w:rPr>
      </w:pPr>
      <w:r>
        <w:rPr>
          <w:lang w:eastAsia="bg-BG"/>
        </w:rPr>
        <w:t>- с</w:t>
      </w:r>
      <w:r w:rsidR="009772DA" w:rsidRPr="0019204E">
        <w:rPr>
          <w:lang w:eastAsia="bg-BG"/>
        </w:rPr>
        <w:t xml:space="preserve">умата от 95 943 лв. за отпуснати еднократни помощи </w:t>
      </w:r>
      <w:r w:rsidR="009772DA" w:rsidRPr="0019204E">
        <w:rPr>
          <w:bCs/>
          <w:lang w:eastAsia="bg-BG"/>
        </w:rPr>
        <w:t xml:space="preserve">по реда на чл. 16 от Правилника за прилагане на Закона за социално подпомагане (ППЗСП) </w:t>
      </w:r>
      <w:r w:rsidR="009772DA" w:rsidRPr="0019204E">
        <w:rPr>
          <w:lang w:eastAsia="bg-BG"/>
        </w:rPr>
        <w:t>на разселени от Украйна лица с предоставена временна закрила, до петкратния размер на гарантирания минимален доход (до 375</w:t>
      </w:r>
      <w:r w:rsidR="00C92EDF" w:rsidRPr="0019204E">
        <w:rPr>
          <w:lang w:val="en-US" w:eastAsia="bg-BG"/>
        </w:rPr>
        <w:t> </w:t>
      </w:r>
      <w:r w:rsidR="009772DA" w:rsidRPr="0019204E">
        <w:rPr>
          <w:lang w:eastAsia="bg-BG"/>
        </w:rPr>
        <w:t>лв.). За периода м. 01</w:t>
      </w:r>
      <w:r w:rsidR="0013348A" w:rsidRPr="0019204E">
        <w:rPr>
          <w:lang w:val="en-US" w:eastAsia="bg-BG"/>
        </w:rPr>
        <w:t xml:space="preserve"> </w:t>
      </w:r>
      <w:r w:rsidR="009772DA" w:rsidRPr="0019204E">
        <w:rPr>
          <w:lang w:eastAsia="bg-BG"/>
        </w:rPr>
        <w:t>-</w:t>
      </w:r>
      <w:r w:rsidR="0013348A" w:rsidRPr="0019204E">
        <w:rPr>
          <w:lang w:val="en-US" w:eastAsia="bg-BG"/>
        </w:rPr>
        <w:t xml:space="preserve"> </w:t>
      </w:r>
      <w:r w:rsidR="009772DA" w:rsidRPr="0019204E">
        <w:rPr>
          <w:lang w:eastAsia="bg-BG"/>
        </w:rPr>
        <w:t>м. 09.2024 г. са изплатени еднократни помощи на 256 лица с предоставена временна закрила.</w:t>
      </w:r>
    </w:p>
    <w:p w14:paraId="29688F43" w14:textId="79FD2FA4" w:rsidR="009772DA" w:rsidRPr="0019204E" w:rsidRDefault="00D30998" w:rsidP="008C1295">
      <w:pPr>
        <w:keepNext/>
        <w:keepLines/>
        <w:spacing w:before="120"/>
        <w:jc w:val="both"/>
        <w:outlineLvl w:val="2"/>
        <w:rPr>
          <w:lang w:eastAsia="bg-BG"/>
        </w:rPr>
      </w:pPr>
      <w:r>
        <w:rPr>
          <w:lang w:eastAsia="bg-BG"/>
        </w:rPr>
        <w:t>- с</w:t>
      </w:r>
      <w:r w:rsidR="009772DA" w:rsidRPr="0019204E">
        <w:rPr>
          <w:lang w:eastAsia="bg-BG"/>
        </w:rPr>
        <w:t xml:space="preserve">умата в размер на 21 713 лв. е изплатена за отпуснати месечни помощи </w:t>
      </w:r>
      <w:r w:rsidR="009772DA" w:rsidRPr="0019204E">
        <w:rPr>
          <w:bCs/>
          <w:lang w:eastAsia="bg-BG"/>
        </w:rPr>
        <w:t xml:space="preserve">по реда на чл. 9 от Правилника за прилагане на Закона за социално подпомагане (ППЗСП) </w:t>
      </w:r>
      <w:r w:rsidR="009772DA" w:rsidRPr="0019204E">
        <w:rPr>
          <w:lang w:eastAsia="bg-BG"/>
        </w:rPr>
        <w:t>на разселени от Украйна лица или семейства, чийто доход за предходния месец е по-нисък от определения диференциран доход.</w:t>
      </w:r>
    </w:p>
    <w:p w14:paraId="3DB133D7" w14:textId="48266DB0" w:rsidR="009772DA" w:rsidRPr="0019204E" w:rsidRDefault="009772DA" w:rsidP="008C1295">
      <w:pPr>
        <w:keepNext/>
        <w:keepLines/>
        <w:spacing w:before="120"/>
        <w:jc w:val="both"/>
        <w:outlineLvl w:val="2"/>
        <w:rPr>
          <w:lang w:eastAsia="bg-BG"/>
        </w:rPr>
      </w:pPr>
      <w:r w:rsidRPr="0019204E">
        <w:rPr>
          <w:lang w:eastAsia="bg-BG"/>
        </w:rPr>
        <w:t>Отчетените ведомствени разходи от Министерство на здравеопазването за хуманитарна помощ, както и за справяне с последствията във връзка с военните действия в Украйна към 30.09.2024 г. са в размер на 0,4 млн. лв., от които: 0,3 млн.</w:t>
      </w:r>
      <w:r w:rsidR="00953C13" w:rsidRPr="0019204E">
        <w:rPr>
          <w:lang w:val="en-US" w:eastAsia="bg-BG"/>
        </w:rPr>
        <w:t xml:space="preserve"> </w:t>
      </w:r>
      <w:r w:rsidRPr="0019204E">
        <w:rPr>
          <w:lang w:eastAsia="bg-BG"/>
        </w:rPr>
        <w:t>лв.  предоставени средства за финансиране на дейности на БЧК, във връзка със засиления миграционен натиск на граждани на Украйна, за финансиране на разходи за лица, търсещи временна закрила в Република България, съгласно ПМС № 40/07.03.2024 г. и 0,1 млн. лв. разходи за украински граждани, получили специална закрила, настанени в Общежитието на „Национален център по обществено здраве и анализи“.</w:t>
      </w:r>
    </w:p>
    <w:p w14:paraId="7B096BA5" w14:textId="1ED7BAA4" w:rsidR="009772DA" w:rsidRPr="0019204E" w:rsidRDefault="009772DA" w:rsidP="00953C13">
      <w:pPr>
        <w:keepNext/>
        <w:keepLines/>
        <w:spacing w:before="120"/>
        <w:jc w:val="both"/>
        <w:outlineLvl w:val="2"/>
        <w:rPr>
          <w:lang w:eastAsia="bg-BG"/>
        </w:rPr>
      </w:pPr>
      <w:r w:rsidRPr="0019204E">
        <w:rPr>
          <w:lang w:eastAsia="bg-BG"/>
        </w:rPr>
        <w:t>Към 30.09.2024 г. Министерство на земеделието и храните е извършило разходи в размер на  0,4</w:t>
      </w:r>
      <w:r w:rsidR="009E3E89" w:rsidRPr="0019204E">
        <w:rPr>
          <w:lang w:val="en-US" w:eastAsia="bg-BG"/>
        </w:rPr>
        <w:t> </w:t>
      </w:r>
      <w:r w:rsidRPr="0019204E">
        <w:rPr>
          <w:lang w:eastAsia="bg-BG"/>
        </w:rPr>
        <w:t xml:space="preserve">млн. лв. във  връзка с Решение № 317 от 20.05.2022 г. на Министерски съвет за приемане на програма за хуманитарно подпомагане на разселени лица от Украйна с предоставена временна закрила в Република България. Посочените суми са отчетени от Почивна база „Морско утро“ – Китен. </w:t>
      </w:r>
    </w:p>
    <w:p w14:paraId="56D1E6ED" w14:textId="3DD90189" w:rsidR="00173D90" w:rsidRPr="0019204E" w:rsidRDefault="008B1D0D" w:rsidP="00323229">
      <w:pPr>
        <w:keepNext/>
        <w:keepLines/>
        <w:spacing w:before="360"/>
        <w:jc w:val="both"/>
        <w:outlineLvl w:val="2"/>
        <w:rPr>
          <w:b/>
          <w:lang w:eastAsia="bg-BG"/>
        </w:rPr>
      </w:pPr>
      <w:r w:rsidRPr="0019204E">
        <w:rPr>
          <w:b/>
          <w:lang w:eastAsia="bg-BG"/>
        </w:rPr>
        <w:t>И</w:t>
      </w:r>
      <w:r w:rsidR="00173D90" w:rsidRPr="0019204E">
        <w:rPr>
          <w:b/>
          <w:lang w:eastAsia="bg-BG"/>
        </w:rPr>
        <w:t xml:space="preserve">нформация за разходите по програмите за компенсиране на разходите на небитови крайни клиенти за електрическа енергия и на операторите на електропреносната и електроразпределителните мрежи за закупуване на количества електрическа енергия, потребена за технологични разходи  </w:t>
      </w:r>
    </w:p>
    <w:p w14:paraId="383F7775" w14:textId="11E33225" w:rsidR="00D61C6D" w:rsidRPr="0019204E" w:rsidRDefault="00D61C6D" w:rsidP="00D61C6D">
      <w:pPr>
        <w:spacing w:before="120"/>
        <w:jc w:val="both"/>
      </w:pPr>
      <w:r w:rsidRPr="0019204E">
        <w:t xml:space="preserve">Към 30.09.2024 г. </w:t>
      </w:r>
      <w:r w:rsidR="00777374" w:rsidRPr="0019204E">
        <w:t>Министерският съвет</w:t>
      </w:r>
      <w:r w:rsidRPr="0019204E">
        <w:t xml:space="preserve"> е одобрил (приел) програми с общ индикативен бюджет (ИБ) 877 млн. лв., в т. ч. с РМС № 294 от 23.04.2024 г. (изменено с РМС № 481 от 2024 г.) Програма за компенсиране на разходи на крайни клиенти за електрическа енергия за периода от 01.01.2024</w:t>
      </w:r>
      <w:r w:rsidR="00E0682A" w:rsidRPr="0019204E">
        <w:t> </w:t>
      </w:r>
      <w:r w:rsidRPr="0019204E">
        <w:t>г. до 31.12.2024</w:t>
      </w:r>
      <w:r w:rsidR="004E6C06" w:rsidRPr="0019204E">
        <w:t> </w:t>
      </w:r>
      <w:r w:rsidRPr="0019204E">
        <w:t>г. (50 млн. лв. ИБ), с РМС № 489 от 2024 г. (изменено с РМС № 542 от</w:t>
      </w:r>
      <w:r w:rsidR="004074B0" w:rsidRPr="0019204E">
        <w:t xml:space="preserve"> </w:t>
      </w:r>
      <w:r w:rsidRPr="0019204E">
        <w:t>2024 г.) Програма за предоставяне на компенсации за предприятия, нагнетили природен газ в подземното газово хранилище (ПГХ) „Чирен“ в периода от 1 май 2022 г. до 11 октомври 2022 г. (278 млн. лв. ИБ) и с РМС № 546 от 2024 г. (изменено с РМС № 654 от 2024 г.) Програма за компенсиране на разходите на небитови крайни клиенти за електрическа енергия за периода от 1</w:t>
      </w:r>
      <w:r w:rsidR="004074B0" w:rsidRPr="0019204E">
        <w:t> </w:t>
      </w:r>
      <w:r w:rsidRPr="0019204E">
        <w:t>юли 2024 г. до 31 декември 2024 г. (549 млн. лв. ИБ).</w:t>
      </w:r>
    </w:p>
    <w:p w14:paraId="75D69C5E" w14:textId="77777777" w:rsidR="00D61C6D" w:rsidRPr="0019204E" w:rsidRDefault="00D61C6D" w:rsidP="00D61C6D">
      <w:pPr>
        <w:spacing w:before="120"/>
        <w:jc w:val="both"/>
      </w:pPr>
      <w:r w:rsidRPr="0019204E">
        <w:t>През отчетния период са изплатени общо 179,6 млн. лв., в т.ч.:</w:t>
      </w:r>
    </w:p>
    <w:p w14:paraId="4539AC52" w14:textId="62524BA3" w:rsidR="00D61C6D" w:rsidRPr="0019204E" w:rsidRDefault="00D61C6D" w:rsidP="00E86EAF">
      <w:pPr>
        <w:numPr>
          <w:ilvl w:val="0"/>
          <w:numId w:val="26"/>
        </w:numPr>
        <w:ind w:left="0" w:firstLine="567"/>
        <w:jc w:val="both"/>
      </w:pPr>
      <w:r w:rsidRPr="0019204E">
        <w:t>0,3 млн. лв. по одобрената с РМС № 688 от 2023 г. Програма за компенсиране на разходите на небитови крайни клиенти за електрическа енергия и на операторите на електропреносната и на електроразпределителните мрежи за закупуване на количествата електрическа енергия, потребена за технологични разходи за периода от 1 септември 2023 г. до 31 декември 2023 г.;</w:t>
      </w:r>
    </w:p>
    <w:p w14:paraId="5094AE77" w14:textId="5C7226EE" w:rsidR="00D61C6D" w:rsidRPr="0019204E" w:rsidRDefault="00D61C6D" w:rsidP="00E86EAF">
      <w:pPr>
        <w:numPr>
          <w:ilvl w:val="0"/>
          <w:numId w:val="26"/>
        </w:numPr>
        <w:ind w:left="0" w:firstLine="567"/>
        <w:jc w:val="both"/>
      </w:pPr>
      <w:r w:rsidRPr="0019204E">
        <w:t>0,3 млн. лв. по одобрената с РМС 294 от 2024 г. Програма за компенсиране на разходи на крайни клиенти за електрическа енергия за периода от 1 януари 2024 г. до 31 декември 2024 г.;</w:t>
      </w:r>
    </w:p>
    <w:p w14:paraId="224C6E8D" w14:textId="717E7A98" w:rsidR="00B45B56" w:rsidRPr="0019204E" w:rsidRDefault="00B45B56" w:rsidP="00E86EAF">
      <w:pPr>
        <w:numPr>
          <w:ilvl w:val="0"/>
          <w:numId w:val="26"/>
        </w:numPr>
        <w:ind w:left="0" w:firstLine="567"/>
        <w:jc w:val="both"/>
      </w:pPr>
      <w:r w:rsidRPr="0019204E">
        <w:t xml:space="preserve">179,0 млн. лв. по одобрената с РМС № 489 от 2024 г. Програма за предоставяне на компенсации за предприятия, нагнетили природен газ в подземното газово хранилище (ПГХ) „Чирен“ в периода от 1 май 2022 г. до 11 октомври 2022 г. </w:t>
      </w:r>
      <w:r w:rsidRPr="0019204E">
        <w:rPr>
          <w:rFonts w:ascii="Calibri" w:eastAsia="Calibri" w:hAnsi="Calibri"/>
          <w:color w:val="0070C0"/>
          <w:sz w:val="22"/>
          <w:szCs w:val="22"/>
          <w:lang w:val="ru-RU"/>
        </w:rPr>
        <w:br w:type="page"/>
      </w:r>
    </w:p>
    <w:p w14:paraId="1F409F67" w14:textId="77777777" w:rsidR="007A35BB" w:rsidRPr="00387A3E" w:rsidRDefault="007A35BB" w:rsidP="006466C6">
      <w:pPr>
        <w:spacing w:before="120"/>
        <w:jc w:val="both"/>
        <w:rPr>
          <w:color w:val="0070C0"/>
        </w:rPr>
      </w:pPr>
    </w:p>
    <w:p w14:paraId="03877D5D" w14:textId="3D96D72A" w:rsidR="00E74802" w:rsidRPr="007C2375" w:rsidRDefault="00E74802" w:rsidP="00E86EAF">
      <w:pPr>
        <w:pStyle w:val="Heading1"/>
        <w:numPr>
          <w:ilvl w:val="0"/>
          <w:numId w:val="8"/>
        </w:numPr>
        <w:ind w:right="-108"/>
        <w:jc w:val="both"/>
        <w:rPr>
          <w:sz w:val="24"/>
        </w:rPr>
      </w:pPr>
      <w:r w:rsidRPr="007C2375">
        <w:rPr>
          <w:sz w:val="24"/>
        </w:rPr>
        <w:t>Основни показатели по консолидираната фискална програма</w:t>
      </w:r>
      <w:r w:rsidRPr="007C2375">
        <w:rPr>
          <w:rStyle w:val="FootnoteReference"/>
          <w:sz w:val="24"/>
        </w:rPr>
        <w:footnoteReference w:id="2"/>
      </w:r>
      <w:r w:rsidRPr="007C2375">
        <w:rPr>
          <w:sz w:val="24"/>
        </w:rPr>
        <w:t xml:space="preserve"> за </w:t>
      </w:r>
      <w:r w:rsidR="007C2375" w:rsidRPr="007C2375">
        <w:rPr>
          <w:sz w:val="24"/>
        </w:rPr>
        <w:t>деветмесечието</w:t>
      </w:r>
      <w:r w:rsidR="00223C1B" w:rsidRPr="007C2375">
        <w:rPr>
          <w:sz w:val="24"/>
        </w:rPr>
        <w:t xml:space="preserve"> </w:t>
      </w:r>
      <w:r w:rsidRPr="007C2375">
        <w:rPr>
          <w:sz w:val="24"/>
        </w:rPr>
        <w:t>на 20</w:t>
      </w:r>
      <w:r w:rsidR="001F7F82" w:rsidRPr="007C2375">
        <w:rPr>
          <w:sz w:val="24"/>
        </w:rPr>
        <w:t>2</w:t>
      </w:r>
      <w:r w:rsidR="00DC0AEF" w:rsidRPr="007C2375">
        <w:rPr>
          <w:sz w:val="24"/>
        </w:rPr>
        <w:t>4</w:t>
      </w:r>
      <w:r w:rsidRPr="007C2375">
        <w:rPr>
          <w:sz w:val="24"/>
        </w:rPr>
        <w:t> г.</w:t>
      </w:r>
    </w:p>
    <w:p w14:paraId="7FE117A5" w14:textId="77777777" w:rsidR="00430A35" w:rsidRPr="00387A3E" w:rsidRDefault="00430A35" w:rsidP="00430A35">
      <w:pPr>
        <w:rPr>
          <w:color w:val="0070C0"/>
          <w:sz w:val="6"/>
          <w:szCs w:val="12"/>
        </w:rPr>
      </w:pPr>
    </w:p>
    <w:p w14:paraId="7955245A" w14:textId="77777777" w:rsidR="005B6C1F" w:rsidRPr="00387A3E" w:rsidRDefault="005B6C1F" w:rsidP="00E863AA">
      <w:pPr>
        <w:jc w:val="both"/>
        <w:rPr>
          <w:color w:val="0070C0"/>
          <w:lang w:val="ru-RU"/>
        </w:rPr>
      </w:pPr>
    </w:p>
    <w:p w14:paraId="52608402" w14:textId="2C79E4EA" w:rsidR="001F66D5" w:rsidRPr="00D86076" w:rsidRDefault="001F66D5" w:rsidP="001F66D5">
      <w:pPr>
        <w:jc w:val="both"/>
      </w:pPr>
      <w:r w:rsidRPr="00D86076">
        <w:t xml:space="preserve">Изпълнението на основните показатели по консолидираната фискална програма за </w:t>
      </w:r>
      <w:r w:rsidR="00D86076" w:rsidRPr="00D86076">
        <w:t xml:space="preserve">деветмесечието </w:t>
      </w:r>
      <w:r w:rsidRPr="00D86076">
        <w:t>на 2024 г. е представено в следната таблица:</w:t>
      </w:r>
    </w:p>
    <w:p w14:paraId="5BB52F8B" w14:textId="77777777" w:rsidR="001F66D5" w:rsidRPr="00387A3E" w:rsidRDefault="001F66D5" w:rsidP="001F66D5">
      <w:pPr>
        <w:jc w:val="both"/>
        <w:rPr>
          <w:color w:val="0070C0"/>
          <w:sz w:val="4"/>
          <w:szCs w:val="4"/>
        </w:rPr>
      </w:pPr>
    </w:p>
    <w:p w14:paraId="50EDDA23" w14:textId="79157CDF" w:rsidR="001F66D5" w:rsidRPr="00CF2311" w:rsidRDefault="001F66D5" w:rsidP="001F66D5">
      <w:pPr>
        <w:spacing w:before="120"/>
        <w:rPr>
          <w:b/>
          <w:i/>
          <w:sz w:val="18"/>
          <w:szCs w:val="18"/>
        </w:rPr>
      </w:pPr>
      <w:r w:rsidRPr="00CF2311">
        <w:rPr>
          <w:b/>
          <w:i/>
          <w:sz w:val="22"/>
          <w:szCs w:val="22"/>
        </w:rPr>
        <w:t>Таблица</w:t>
      </w:r>
      <w:r w:rsidRPr="00CF2311">
        <w:rPr>
          <w:b/>
          <w:i/>
          <w:sz w:val="22"/>
          <w:szCs w:val="22"/>
          <w:vertAlign w:val="superscript"/>
        </w:rPr>
        <w:footnoteReference w:id="3"/>
      </w:r>
      <w:r w:rsidRPr="00CF2311">
        <w:rPr>
          <w:b/>
          <w:i/>
          <w:sz w:val="22"/>
          <w:szCs w:val="22"/>
        </w:rPr>
        <w:t xml:space="preserve"> </w:t>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22"/>
          <w:szCs w:val="22"/>
        </w:rPr>
        <w:tab/>
      </w:r>
      <w:r w:rsidRPr="00CF2311">
        <w:rPr>
          <w:b/>
          <w:i/>
          <w:sz w:val="18"/>
          <w:szCs w:val="18"/>
        </w:rPr>
        <w:t>(млн. лв.)</w:t>
      </w:r>
    </w:p>
    <w:tbl>
      <w:tblPr>
        <w:tblW w:w="10254" w:type="dxa"/>
        <w:tblInd w:w="98" w:type="dxa"/>
        <w:tblLook w:val="04A0" w:firstRow="1" w:lastRow="0" w:firstColumn="1" w:lastColumn="0" w:noHBand="0" w:noVBand="1"/>
      </w:tblPr>
      <w:tblGrid>
        <w:gridCol w:w="4250"/>
        <w:gridCol w:w="1147"/>
        <w:gridCol w:w="1227"/>
        <w:gridCol w:w="1222"/>
        <w:gridCol w:w="1199"/>
        <w:gridCol w:w="1209"/>
      </w:tblGrid>
      <w:tr w:rsidR="00387A3E" w:rsidRPr="00387A3E" w14:paraId="3E1F9BA7" w14:textId="77777777" w:rsidTr="00201ED1">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4FD6471B" w14:textId="77777777" w:rsidR="001F66D5" w:rsidRPr="00D640B7" w:rsidRDefault="001F66D5" w:rsidP="00201ED1">
            <w:pPr>
              <w:jc w:val="center"/>
              <w:rPr>
                <w:b/>
                <w:bCs/>
                <w:sz w:val="18"/>
                <w:szCs w:val="18"/>
              </w:rPr>
            </w:pPr>
            <w:r w:rsidRPr="00D640B7">
              <w:rPr>
                <w:b/>
                <w:bCs/>
                <w:sz w:val="18"/>
                <w:szCs w:val="18"/>
              </w:rPr>
              <w:t>ПОКАЗАТЕЛ</w:t>
            </w:r>
          </w:p>
        </w:tc>
        <w:tc>
          <w:tcPr>
            <w:tcW w:w="1147" w:type="dxa"/>
            <w:tcBorders>
              <w:top w:val="single" w:sz="8" w:space="0" w:color="auto"/>
              <w:left w:val="single" w:sz="4" w:space="0" w:color="auto"/>
              <w:bottom w:val="nil"/>
              <w:right w:val="single" w:sz="4" w:space="0" w:color="auto"/>
            </w:tcBorders>
            <w:shd w:val="clear" w:color="000000" w:fill="D9D9D9"/>
            <w:noWrap/>
            <w:vAlign w:val="bottom"/>
            <w:hideMark/>
          </w:tcPr>
          <w:p w14:paraId="6A72C134" w14:textId="77777777" w:rsidR="001F66D5" w:rsidRPr="00D640B7" w:rsidRDefault="001F66D5" w:rsidP="00201ED1">
            <w:pPr>
              <w:jc w:val="center"/>
              <w:rPr>
                <w:b/>
                <w:bCs/>
                <w:sz w:val="18"/>
                <w:szCs w:val="18"/>
                <w:highlight w:val="yellow"/>
              </w:rPr>
            </w:pPr>
            <w:r w:rsidRPr="00D640B7">
              <w:rPr>
                <w:b/>
                <w:bCs/>
                <w:sz w:val="18"/>
                <w:szCs w:val="18"/>
              </w:rPr>
              <w:t>Разчет 20</w:t>
            </w:r>
            <w:r w:rsidRPr="00D640B7">
              <w:rPr>
                <w:b/>
                <w:bCs/>
                <w:sz w:val="18"/>
                <w:szCs w:val="18"/>
                <w:lang w:val="en-US"/>
              </w:rPr>
              <w:t>2</w:t>
            </w:r>
            <w:r w:rsidRPr="00D640B7">
              <w:rPr>
                <w:b/>
                <w:bCs/>
                <w:sz w:val="18"/>
                <w:szCs w:val="18"/>
              </w:rPr>
              <w:t>4 г.</w:t>
            </w:r>
            <w:r w:rsidRPr="00D640B7">
              <w:rPr>
                <w:rStyle w:val="FootnoteReference"/>
                <w:b/>
                <w:bCs/>
                <w:sz w:val="18"/>
                <w:szCs w:val="18"/>
              </w:rPr>
              <w:footnoteReference w:id="4"/>
            </w:r>
          </w:p>
        </w:tc>
        <w:tc>
          <w:tcPr>
            <w:tcW w:w="364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4F6AE565" w14:textId="52BE0F6A" w:rsidR="001F66D5" w:rsidRPr="00D640B7" w:rsidRDefault="001F66D5" w:rsidP="00D640B7">
            <w:pPr>
              <w:jc w:val="center"/>
              <w:rPr>
                <w:b/>
                <w:bCs/>
                <w:sz w:val="18"/>
                <w:szCs w:val="18"/>
              </w:rPr>
            </w:pPr>
            <w:r w:rsidRPr="00D640B7">
              <w:rPr>
                <w:b/>
                <w:bCs/>
                <w:sz w:val="18"/>
                <w:szCs w:val="18"/>
              </w:rPr>
              <w:t xml:space="preserve">Отчет към </w:t>
            </w:r>
            <w:r w:rsidRPr="00D640B7">
              <w:rPr>
                <w:b/>
                <w:bCs/>
                <w:sz w:val="18"/>
                <w:szCs w:val="18"/>
                <w:lang w:val="en-US"/>
              </w:rPr>
              <w:t>30.0</w:t>
            </w:r>
            <w:r w:rsidR="00D640B7" w:rsidRPr="00D640B7">
              <w:rPr>
                <w:b/>
                <w:bCs/>
                <w:sz w:val="18"/>
                <w:szCs w:val="18"/>
              </w:rPr>
              <w:t>9</w:t>
            </w:r>
            <w:r w:rsidRPr="00D640B7">
              <w:rPr>
                <w:b/>
                <w:bCs/>
                <w:sz w:val="18"/>
                <w:szCs w:val="18"/>
              </w:rPr>
              <w:t>.20</w:t>
            </w:r>
            <w:r w:rsidRPr="00D640B7">
              <w:rPr>
                <w:b/>
                <w:bCs/>
                <w:sz w:val="18"/>
                <w:szCs w:val="18"/>
                <w:lang w:val="en-US"/>
              </w:rPr>
              <w:t>24</w:t>
            </w:r>
            <w:r w:rsidRPr="00D640B7">
              <w:rPr>
                <w:b/>
                <w:bCs/>
                <w:sz w:val="18"/>
                <w:szCs w:val="18"/>
              </w:rPr>
              <w:t xml:space="preserve"> г.</w:t>
            </w:r>
          </w:p>
        </w:tc>
        <w:tc>
          <w:tcPr>
            <w:tcW w:w="1209" w:type="dxa"/>
            <w:tcBorders>
              <w:top w:val="single" w:sz="8" w:space="0" w:color="auto"/>
              <w:left w:val="nil"/>
              <w:bottom w:val="nil"/>
              <w:right w:val="single" w:sz="8" w:space="0" w:color="auto"/>
            </w:tcBorders>
            <w:shd w:val="clear" w:color="000000" w:fill="D9D9D9"/>
            <w:noWrap/>
            <w:vAlign w:val="bottom"/>
            <w:hideMark/>
          </w:tcPr>
          <w:p w14:paraId="52EF370C" w14:textId="77777777" w:rsidR="001F66D5" w:rsidRPr="00D640B7" w:rsidRDefault="001F66D5" w:rsidP="00201ED1">
            <w:pPr>
              <w:jc w:val="center"/>
              <w:rPr>
                <w:b/>
                <w:bCs/>
                <w:sz w:val="18"/>
                <w:szCs w:val="18"/>
              </w:rPr>
            </w:pPr>
            <w:r w:rsidRPr="00D640B7">
              <w:rPr>
                <w:b/>
                <w:bCs/>
                <w:sz w:val="18"/>
                <w:szCs w:val="18"/>
              </w:rPr>
              <w:t>Изпълнение</w:t>
            </w:r>
          </w:p>
        </w:tc>
      </w:tr>
      <w:tr w:rsidR="00387A3E" w:rsidRPr="00387A3E" w14:paraId="473F2748" w14:textId="77777777" w:rsidTr="00201ED1">
        <w:trPr>
          <w:trHeight w:val="250"/>
        </w:trPr>
        <w:tc>
          <w:tcPr>
            <w:tcW w:w="4250" w:type="dxa"/>
            <w:vMerge/>
            <w:tcBorders>
              <w:top w:val="single" w:sz="8" w:space="0" w:color="auto"/>
              <w:left w:val="single" w:sz="8" w:space="0" w:color="auto"/>
              <w:bottom w:val="single" w:sz="4" w:space="0" w:color="000000"/>
              <w:right w:val="nil"/>
            </w:tcBorders>
            <w:vAlign w:val="center"/>
            <w:hideMark/>
          </w:tcPr>
          <w:p w14:paraId="5DA33CC5" w14:textId="77777777" w:rsidR="001F66D5" w:rsidRPr="00D640B7" w:rsidRDefault="001F66D5" w:rsidP="00201ED1">
            <w:pPr>
              <w:rPr>
                <w:b/>
                <w:bCs/>
                <w:sz w:val="18"/>
                <w:szCs w:val="18"/>
              </w:rPr>
            </w:pPr>
          </w:p>
        </w:tc>
        <w:tc>
          <w:tcPr>
            <w:tcW w:w="1147" w:type="dxa"/>
            <w:tcBorders>
              <w:top w:val="nil"/>
              <w:left w:val="single" w:sz="4" w:space="0" w:color="auto"/>
              <w:bottom w:val="single" w:sz="4" w:space="0" w:color="auto"/>
              <w:right w:val="single" w:sz="4" w:space="0" w:color="auto"/>
            </w:tcBorders>
            <w:shd w:val="clear" w:color="000000" w:fill="D9D9D9"/>
            <w:noWrap/>
            <w:vAlign w:val="bottom"/>
            <w:hideMark/>
          </w:tcPr>
          <w:p w14:paraId="5A5F2902" w14:textId="77777777" w:rsidR="001F66D5" w:rsidRPr="00D640B7" w:rsidRDefault="001F66D5" w:rsidP="00201ED1">
            <w:pPr>
              <w:jc w:val="center"/>
              <w:rPr>
                <w:b/>
                <w:bCs/>
                <w:sz w:val="18"/>
                <w:szCs w:val="18"/>
              </w:rPr>
            </w:pPr>
            <w:r w:rsidRPr="00D640B7">
              <w:rPr>
                <w:b/>
                <w:bCs/>
                <w:sz w:val="18"/>
                <w:szCs w:val="18"/>
              </w:rPr>
              <w:t xml:space="preserve"> КФП</w:t>
            </w:r>
          </w:p>
        </w:tc>
        <w:tc>
          <w:tcPr>
            <w:tcW w:w="1227" w:type="dxa"/>
            <w:tcBorders>
              <w:top w:val="nil"/>
              <w:left w:val="nil"/>
              <w:bottom w:val="single" w:sz="4" w:space="0" w:color="auto"/>
              <w:right w:val="single" w:sz="4" w:space="0" w:color="auto"/>
            </w:tcBorders>
            <w:shd w:val="clear" w:color="000000" w:fill="D9D9D9"/>
            <w:noWrap/>
            <w:vAlign w:val="bottom"/>
            <w:hideMark/>
          </w:tcPr>
          <w:p w14:paraId="0FB50A98" w14:textId="77777777" w:rsidR="001F66D5" w:rsidRPr="00D640B7" w:rsidRDefault="001F66D5" w:rsidP="00201ED1">
            <w:pPr>
              <w:jc w:val="center"/>
              <w:rPr>
                <w:b/>
                <w:bCs/>
                <w:sz w:val="18"/>
                <w:szCs w:val="18"/>
              </w:rPr>
            </w:pPr>
            <w:r w:rsidRPr="00D640B7">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14:paraId="2F642D08" w14:textId="77777777" w:rsidR="001F66D5" w:rsidRPr="00D640B7" w:rsidRDefault="001F66D5" w:rsidP="00201ED1">
            <w:pPr>
              <w:jc w:val="center"/>
              <w:rPr>
                <w:b/>
                <w:bCs/>
                <w:sz w:val="18"/>
                <w:szCs w:val="18"/>
              </w:rPr>
            </w:pPr>
            <w:r w:rsidRPr="00D640B7">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31204E25" w14:textId="77777777" w:rsidR="001F66D5" w:rsidRPr="00D640B7" w:rsidRDefault="001F66D5" w:rsidP="00201ED1">
            <w:pPr>
              <w:jc w:val="center"/>
              <w:rPr>
                <w:b/>
                <w:bCs/>
                <w:sz w:val="18"/>
                <w:szCs w:val="18"/>
              </w:rPr>
            </w:pPr>
            <w:r w:rsidRPr="00D640B7">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14:paraId="3F62AACC" w14:textId="77777777" w:rsidR="001F66D5" w:rsidRPr="00D640B7" w:rsidRDefault="001F66D5" w:rsidP="00201ED1">
            <w:pPr>
              <w:jc w:val="center"/>
              <w:rPr>
                <w:b/>
                <w:bCs/>
                <w:sz w:val="18"/>
                <w:szCs w:val="18"/>
              </w:rPr>
            </w:pPr>
            <w:r w:rsidRPr="00D640B7">
              <w:rPr>
                <w:b/>
                <w:bCs/>
                <w:sz w:val="18"/>
                <w:szCs w:val="18"/>
              </w:rPr>
              <w:t>спрямо разчет</w:t>
            </w:r>
          </w:p>
        </w:tc>
      </w:tr>
      <w:tr w:rsidR="00387A3E" w:rsidRPr="00387A3E" w14:paraId="7D59D12E" w14:textId="77777777" w:rsidTr="00201ED1">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14:paraId="5CD2C075" w14:textId="77777777" w:rsidR="001F66D5" w:rsidRPr="00D640B7" w:rsidRDefault="001F66D5" w:rsidP="00201ED1">
            <w:pPr>
              <w:jc w:val="center"/>
              <w:rPr>
                <w:sz w:val="18"/>
                <w:szCs w:val="18"/>
              </w:rPr>
            </w:pPr>
            <w:r w:rsidRPr="00D640B7">
              <w:rPr>
                <w:sz w:val="18"/>
                <w:szCs w:val="18"/>
              </w:rPr>
              <w:t>к.1</w:t>
            </w:r>
          </w:p>
        </w:tc>
        <w:tc>
          <w:tcPr>
            <w:tcW w:w="1147" w:type="dxa"/>
            <w:tcBorders>
              <w:top w:val="nil"/>
              <w:left w:val="single" w:sz="4" w:space="0" w:color="auto"/>
              <w:bottom w:val="single" w:sz="8" w:space="0" w:color="auto"/>
              <w:right w:val="single" w:sz="4" w:space="0" w:color="auto"/>
            </w:tcBorders>
            <w:shd w:val="clear" w:color="000000" w:fill="D9D9D9"/>
            <w:noWrap/>
            <w:vAlign w:val="bottom"/>
            <w:hideMark/>
          </w:tcPr>
          <w:p w14:paraId="1C2E3766" w14:textId="77777777" w:rsidR="001F66D5" w:rsidRPr="00D640B7" w:rsidRDefault="001F66D5" w:rsidP="00201ED1">
            <w:pPr>
              <w:jc w:val="center"/>
              <w:rPr>
                <w:bCs/>
                <w:sz w:val="18"/>
                <w:szCs w:val="18"/>
              </w:rPr>
            </w:pPr>
            <w:r w:rsidRPr="00D640B7">
              <w:rPr>
                <w:bCs/>
                <w:sz w:val="18"/>
                <w:szCs w:val="18"/>
              </w:rPr>
              <w:t>к.2</w:t>
            </w:r>
          </w:p>
        </w:tc>
        <w:tc>
          <w:tcPr>
            <w:tcW w:w="1227" w:type="dxa"/>
            <w:tcBorders>
              <w:top w:val="nil"/>
              <w:left w:val="nil"/>
              <w:bottom w:val="single" w:sz="8" w:space="0" w:color="auto"/>
              <w:right w:val="single" w:sz="4" w:space="0" w:color="auto"/>
            </w:tcBorders>
            <w:shd w:val="clear" w:color="000000" w:fill="D9D9D9"/>
            <w:noWrap/>
            <w:vAlign w:val="bottom"/>
            <w:hideMark/>
          </w:tcPr>
          <w:p w14:paraId="3410174D" w14:textId="77777777" w:rsidR="001F66D5" w:rsidRPr="00D640B7" w:rsidRDefault="001F66D5" w:rsidP="00201ED1">
            <w:pPr>
              <w:jc w:val="center"/>
              <w:rPr>
                <w:sz w:val="18"/>
                <w:szCs w:val="18"/>
              </w:rPr>
            </w:pPr>
            <w:r w:rsidRPr="00D640B7">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14:paraId="685AB73E" w14:textId="77777777" w:rsidR="001F66D5" w:rsidRPr="00D640B7" w:rsidRDefault="001F66D5" w:rsidP="00201ED1">
            <w:pPr>
              <w:jc w:val="center"/>
              <w:rPr>
                <w:sz w:val="18"/>
                <w:szCs w:val="18"/>
              </w:rPr>
            </w:pPr>
            <w:r w:rsidRPr="00D640B7">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7B34B04B" w14:textId="77777777" w:rsidR="001F66D5" w:rsidRPr="00D640B7" w:rsidRDefault="001F66D5" w:rsidP="00201ED1">
            <w:pPr>
              <w:jc w:val="center"/>
              <w:rPr>
                <w:sz w:val="18"/>
                <w:szCs w:val="18"/>
              </w:rPr>
            </w:pPr>
            <w:r w:rsidRPr="00D640B7">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14:paraId="2F5C273B" w14:textId="77777777" w:rsidR="001F66D5" w:rsidRPr="00D640B7" w:rsidRDefault="001F66D5" w:rsidP="00201ED1">
            <w:pPr>
              <w:jc w:val="center"/>
              <w:rPr>
                <w:bCs/>
                <w:sz w:val="18"/>
                <w:szCs w:val="18"/>
              </w:rPr>
            </w:pPr>
            <w:r w:rsidRPr="00D640B7">
              <w:rPr>
                <w:bCs/>
                <w:sz w:val="18"/>
                <w:szCs w:val="18"/>
              </w:rPr>
              <w:t>к.6=к.3:к.2</w:t>
            </w:r>
          </w:p>
        </w:tc>
      </w:tr>
      <w:tr w:rsidR="00130CB0" w:rsidRPr="00387A3E" w14:paraId="68A63DB5" w14:textId="77777777" w:rsidTr="00201ED1">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14:paraId="79BACE3D" w14:textId="77777777" w:rsidR="00130CB0" w:rsidRPr="00D640B7" w:rsidRDefault="00130CB0" w:rsidP="00130CB0">
            <w:pPr>
              <w:rPr>
                <w:b/>
                <w:bCs/>
                <w:sz w:val="18"/>
                <w:szCs w:val="18"/>
              </w:rPr>
            </w:pPr>
            <w:r w:rsidRPr="00D640B7">
              <w:rPr>
                <w:b/>
                <w:bCs/>
                <w:sz w:val="18"/>
                <w:szCs w:val="18"/>
              </w:rPr>
              <w:t>ПРИХОДИ, ПОМОЩИ И ДАРЕНИЯ</w:t>
            </w:r>
          </w:p>
        </w:tc>
        <w:tc>
          <w:tcPr>
            <w:tcW w:w="1147" w:type="dxa"/>
            <w:tcBorders>
              <w:top w:val="nil"/>
              <w:left w:val="nil"/>
              <w:bottom w:val="nil"/>
              <w:right w:val="nil"/>
            </w:tcBorders>
            <w:shd w:val="clear" w:color="auto" w:fill="auto"/>
            <w:noWrap/>
            <w:vAlign w:val="bottom"/>
            <w:hideMark/>
          </w:tcPr>
          <w:p w14:paraId="0E86F62B" w14:textId="77777777" w:rsidR="00130CB0" w:rsidRPr="00D640B7" w:rsidRDefault="00130CB0" w:rsidP="00130CB0">
            <w:pPr>
              <w:jc w:val="right"/>
              <w:rPr>
                <w:b/>
                <w:bCs/>
                <w:sz w:val="18"/>
                <w:szCs w:val="18"/>
              </w:rPr>
            </w:pPr>
            <w:r w:rsidRPr="00D640B7">
              <w:rPr>
                <w:b/>
                <w:bCs/>
                <w:sz w:val="18"/>
                <w:szCs w:val="18"/>
              </w:rPr>
              <w:t>75 289,7</w:t>
            </w:r>
          </w:p>
        </w:tc>
        <w:tc>
          <w:tcPr>
            <w:tcW w:w="1227" w:type="dxa"/>
            <w:tcBorders>
              <w:top w:val="nil"/>
              <w:left w:val="nil"/>
              <w:bottom w:val="nil"/>
              <w:right w:val="nil"/>
            </w:tcBorders>
            <w:shd w:val="clear" w:color="auto" w:fill="auto"/>
            <w:noWrap/>
            <w:vAlign w:val="bottom"/>
            <w:hideMark/>
          </w:tcPr>
          <w:p w14:paraId="6A9E9AC6" w14:textId="657E83DC" w:rsidR="00130CB0" w:rsidRPr="00387A3E" w:rsidRDefault="00130CB0" w:rsidP="00130CB0">
            <w:pPr>
              <w:jc w:val="right"/>
              <w:rPr>
                <w:b/>
                <w:bCs/>
                <w:color w:val="0070C0"/>
                <w:sz w:val="18"/>
                <w:szCs w:val="18"/>
              </w:rPr>
            </w:pPr>
            <w:r>
              <w:rPr>
                <w:b/>
                <w:bCs/>
                <w:sz w:val="18"/>
                <w:szCs w:val="18"/>
              </w:rPr>
              <w:t>52 031,3</w:t>
            </w:r>
          </w:p>
        </w:tc>
        <w:tc>
          <w:tcPr>
            <w:tcW w:w="1222" w:type="dxa"/>
            <w:tcBorders>
              <w:top w:val="nil"/>
              <w:left w:val="nil"/>
              <w:bottom w:val="nil"/>
              <w:right w:val="nil"/>
            </w:tcBorders>
            <w:shd w:val="clear" w:color="auto" w:fill="auto"/>
            <w:noWrap/>
            <w:vAlign w:val="bottom"/>
            <w:hideMark/>
          </w:tcPr>
          <w:p w14:paraId="61A47EE3" w14:textId="20645E86" w:rsidR="00130CB0" w:rsidRPr="00387A3E" w:rsidRDefault="00130CB0" w:rsidP="00130CB0">
            <w:pPr>
              <w:jc w:val="right"/>
              <w:rPr>
                <w:b/>
                <w:bCs/>
                <w:color w:val="0070C0"/>
                <w:sz w:val="18"/>
                <w:szCs w:val="18"/>
              </w:rPr>
            </w:pPr>
            <w:r>
              <w:rPr>
                <w:b/>
                <w:bCs/>
                <w:sz w:val="18"/>
                <w:szCs w:val="18"/>
              </w:rPr>
              <w:t>49 674,7</w:t>
            </w:r>
          </w:p>
        </w:tc>
        <w:tc>
          <w:tcPr>
            <w:tcW w:w="1199" w:type="dxa"/>
            <w:tcBorders>
              <w:top w:val="nil"/>
              <w:left w:val="nil"/>
              <w:bottom w:val="nil"/>
              <w:right w:val="nil"/>
            </w:tcBorders>
            <w:shd w:val="clear" w:color="auto" w:fill="auto"/>
            <w:noWrap/>
            <w:vAlign w:val="bottom"/>
            <w:hideMark/>
          </w:tcPr>
          <w:p w14:paraId="7EA4A5F3" w14:textId="027F90ED" w:rsidR="00130CB0" w:rsidRPr="00387A3E" w:rsidRDefault="00130CB0" w:rsidP="00130CB0">
            <w:pPr>
              <w:jc w:val="right"/>
              <w:rPr>
                <w:b/>
                <w:bCs/>
                <w:color w:val="0070C0"/>
                <w:sz w:val="18"/>
                <w:szCs w:val="18"/>
              </w:rPr>
            </w:pPr>
            <w:r>
              <w:rPr>
                <w:b/>
                <w:bCs/>
                <w:sz w:val="18"/>
                <w:szCs w:val="18"/>
              </w:rPr>
              <w:t>2 356,5</w:t>
            </w:r>
          </w:p>
        </w:tc>
        <w:tc>
          <w:tcPr>
            <w:tcW w:w="1209" w:type="dxa"/>
            <w:tcBorders>
              <w:top w:val="single" w:sz="8" w:space="0" w:color="auto"/>
              <w:left w:val="nil"/>
              <w:bottom w:val="nil"/>
              <w:right w:val="single" w:sz="8" w:space="0" w:color="auto"/>
            </w:tcBorders>
            <w:shd w:val="clear" w:color="auto" w:fill="auto"/>
            <w:noWrap/>
            <w:vAlign w:val="bottom"/>
            <w:hideMark/>
          </w:tcPr>
          <w:p w14:paraId="0D7F532B" w14:textId="35BC35ED" w:rsidR="00130CB0" w:rsidRPr="00387A3E" w:rsidRDefault="00130CB0" w:rsidP="00130CB0">
            <w:pPr>
              <w:jc w:val="right"/>
              <w:rPr>
                <w:b/>
                <w:bCs/>
                <w:color w:val="0070C0"/>
                <w:sz w:val="18"/>
                <w:szCs w:val="18"/>
              </w:rPr>
            </w:pPr>
            <w:r>
              <w:rPr>
                <w:b/>
                <w:bCs/>
                <w:sz w:val="18"/>
                <w:szCs w:val="18"/>
              </w:rPr>
              <w:t>69,1%</w:t>
            </w:r>
          </w:p>
        </w:tc>
      </w:tr>
      <w:tr w:rsidR="00130CB0" w:rsidRPr="00387A3E" w14:paraId="02CE713A"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4C9A4596" w14:textId="77777777" w:rsidR="00130CB0" w:rsidRPr="00D640B7" w:rsidRDefault="00130CB0" w:rsidP="00130CB0">
            <w:pPr>
              <w:rPr>
                <w:sz w:val="18"/>
                <w:szCs w:val="18"/>
              </w:rPr>
            </w:pPr>
            <w:r w:rsidRPr="00D640B7">
              <w:rPr>
                <w:sz w:val="18"/>
                <w:szCs w:val="18"/>
              </w:rPr>
              <w:t xml:space="preserve">  Данъчни приходи</w:t>
            </w:r>
          </w:p>
        </w:tc>
        <w:tc>
          <w:tcPr>
            <w:tcW w:w="1147" w:type="dxa"/>
            <w:tcBorders>
              <w:top w:val="nil"/>
              <w:left w:val="nil"/>
              <w:bottom w:val="nil"/>
              <w:right w:val="nil"/>
            </w:tcBorders>
            <w:shd w:val="clear" w:color="auto" w:fill="auto"/>
            <w:noWrap/>
            <w:vAlign w:val="bottom"/>
            <w:hideMark/>
          </w:tcPr>
          <w:p w14:paraId="556C567F" w14:textId="77777777" w:rsidR="00130CB0" w:rsidRPr="00D640B7" w:rsidRDefault="00130CB0" w:rsidP="00130CB0">
            <w:pPr>
              <w:jc w:val="right"/>
              <w:rPr>
                <w:sz w:val="18"/>
                <w:szCs w:val="18"/>
              </w:rPr>
            </w:pPr>
            <w:r w:rsidRPr="00D640B7">
              <w:rPr>
                <w:sz w:val="18"/>
                <w:szCs w:val="18"/>
              </w:rPr>
              <w:t>57 950,8</w:t>
            </w:r>
          </w:p>
        </w:tc>
        <w:tc>
          <w:tcPr>
            <w:tcW w:w="1227" w:type="dxa"/>
            <w:tcBorders>
              <w:top w:val="nil"/>
              <w:left w:val="nil"/>
              <w:bottom w:val="nil"/>
              <w:right w:val="nil"/>
            </w:tcBorders>
            <w:shd w:val="clear" w:color="auto" w:fill="auto"/>
            <w:noWrap/>
            <w:vAlign w:val="bottom"/>
            <w:hideMark/>
          </w:tcPr>
          <w:p w14:paraId="383F1928" w14:textId="5518D5A8" w:rsidR="00130CB0" w:rsidRPr="00387A3E" w:rsidRDefault="00130CB0" w:rsidP="00130CB0">
            <w:pPr>
              <w:jc w:val="right"/>
              <w:rPr>
                <w:color w:val="0070C0"/>
                <w:sz w:val="18"/>
                <w:szCs w:val="18"/>
              </w:rPr>
            </w:pPr>
            <w:r>
              <w:rPr>
                <w:sz w:val="18"/>
                <w:szCs w:val="18"/>
              </w:rPr>
              <w:t>42 291,9</w:t>
            </w:r>
          </w:p>
        </w:tc>
        <w:tc>
          <w:tcPr>
            <w:tcW w:w="1222" w:type="dxa"/>
            <w:tcBorders>
              <w:top w:val="nil"/>
              <w:left w:val="nil"/>
              <w:bottom w:val="nil"/>
              <w:right w:val="nil"/>
            </w:tcBorders>
            <w:shd w:val="clear" w:color="auto" w:fill="auto"/>
            <w:noWrap/>
            <w:vAlign w:val="bottom"/>
            <w:hideMark/>
          </w:tcPr>
          <w:p w14:paraId="67B4F742" w14:textId="2EDED976" w:rsidR="00130CB0" w:rsidRPr="00387A3E" w:rsidRDefault="00130CB0" w:rsidP="00130CB0">
            <w:pPr>
              <w:jc w:val="right"/>
              <w:rPr>
                <w:color w:val="0070C0"/>
                <w:sz w:val="18"/>
                <w:szCs w:val="18"/>
              </w:rPr>
            </w:pPr>
            <w:r>
              <w:rPr>
                <w:sz w:val="18"/>
                <w:szCs w:val="18"/>
              </w:rPr>
              <w:t>42 291,9</w:t>
            </w:r>
          </w:p>
        </w:tc>
        <w:tc>
          <w:tcPr>
            <w:tcW w:w="1199" w:type="dxa"/>
            <w:tcBorders>
              <w:top w:val="nil"/>
              <w:left w:val="nil"/>
              <w:bottom w:val="nil"/>
              <w:right w:val="nil"/>
            </w:tcBorders>
            <w:shd w:val="clear" w:color="auto" w:fill="auto"/>
            <w:noWrap/>
            <w:vAlign w:val="bottom"/>
            <w:hideMark/>
          </w:tcPr>
          <w:p w14:paraId="247E961D" w14:textId="5F46BB66" w:rsidR="00130CB0" w:rsidRPr="00387A3E" w:rsidRDefault="00130CB0" w:rsidP="00130CB0">
            <w:pPr>
              <w:jc w:val="right"/>
              <w:rPr>
                <w:color w:val="0070C0"/>
                <w:sz w:val="18"/>
                <w:szCs w:val="18"/>
              </w:rPr>
            </w:pPr>
          </w:p>
        </w:tc>
        <w:tc>
          <w:tcPr>
            <w:tcW w:w="1209" w:type="dxa"/>
            <w:tcBorders>
              <w:top w:val="nil"/>
              <w:left w:val="nil"/>
              <w:bottom w:val="nil"/>
              <w:right w:val="single" w:sz="8" w:space="0" w:color="auto"/>
            </w:tcBorders>
            <w:shd w:val="clear" w:color="auto" w:fill="auto"/>
            <w:noWrap/>
            <w:vAlign w:val="bottom"/>
            <w:hideMark/>
          </w:tcPr>
          <w:p w14:paraId="2751A908" w14:textId="6E095F58" w:rsidR="00130CB0" w:rsidRPr="00387A3E" w:rsidRDefault="00130CB0" w:rsidP="00130CB0">
            <w:pPr>
              <w:jc w:val="right"/>
              <w:rPr>
                <w:color w:val="0070C0"/>
                <w:sz w:val="18"/>
                <w:szCs w:val="18"/>
              </w:rPr>
            </w:pPr>
            <w:r>
              <w:rPr>
                <w:sz w:val="18"/>
                <w:szCs w:val="18"/>
              </w:rPr>
              <w:t>73,0%</w:t>
            </w:r>
          </w:p>
        </w:tc>
      </w:tr>
      <w:tr w:rsidR="00130CB0" w:rsidRPr="00387A3E" w14:paraId="25EDFEE5"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44DA5EF7" w14:textId="77777777" w:rsidR="00130CB0" w:rsidRPr="00D640B7" w:rsidRDefault="00130CB0" w:rsidP="00130CB0">
            <w:pPr>
              <w:rPr>
                <w:sz w:val="18"/>
                <w:szCs w:val="18"/>
              </w:rPr>
            </w:pPr>
            <w:r w:rsidRPr="00D640B7">
              <w:rPr>
                <w:sz w:val="18"/>
                <w:szCs w:val="18"/>
              </w:rPr>
              <w:t xml:space="preserve">  Неданъчни приходи</w:t>
            </w:r>
          </w:p>
        </w:tc>
        <w:tc>
          <w:tcPr>
            <w:tcW w:w="1147" w:type="dxa"/>
            <w:tcBorders>
              <w:top w:val="nil"/>
              <w:left w:val="nil"/>
              <w:bottom w:val="nil"/>
              <w:right w:val="nil"/>
            </w:tcBorders>
            <w:shd w:val="clear" w:color="auto" w:fill="auto"/>
            <w:noWrap/>
            <w:vAlign w:val="bottom"/>
            <w:hideMark/>
          </w:tcPr>
          <w:p w14:paraId="0879F99C" w14:textId="77777777" w:rsidR="00130CB0" w:rsidRPr="00D640B7" w:rsidRDefault="00130CB0" w:rsidP="00130CB0">
            <w:pPr>
              <w:jc w:val="right"/>
              <w:rPr>
                <w:sz w:val="18"/>
                <w:szCs w:val="18"/>
              </w:rPr>
            </w:pPr>
            <w:r w:rsidRPr="00D640B7">
              <w:rPr>
                <w:sz w:val="18"/>
                <w:szCs w:val="18"/>
              </w:rPr>
              <w:t>10 258,2</w:t>
            </w:r>
          </w:p>
        </w:tc>
        <w:tc>
          <w:tcPr>
            <w:tcW w:w="1227" w:type="dxa"/>
            <w:tcBorders>
              <w:top w:val="nil"/>
              <w:left w:val="nil"/>
              <w:right w:val="nil"/>
            </w:tcBorders>
            <w:shd w:val="clear" w:color="auto" w:fill="auto"/>
            <w:noWrap/>
            <w:vAlign w:val="bottom"/>
            <w:hideMark/>
          </w:tcPr>
          <w:p w14:paraId="4A6991EA" w14:textId="05A8EE04" w:rsidR="00130CB0" w:rsidRPr="00387A3E" w:rsidRDefault="00130CB0" w:rsidP="00130CB0">
            <w:pPr>
              <w:jc w:val="right"/>
              <w:rPr>
                <w:color w:val="0070C0"/>
                <w:sz w:val="18"/>
                <w:szCs w:val="18"/>
              </w:rPr>
            </w:pPr>
            <w:r>
              <w:rPr>
                <w:sz w:val="18"/>
                <w:szCs w:val="18"/>
              </w:rPr>
              <w:t>7 218,8</w:t>
            </w:r>
          </w:p>
        </w:tc>
        <w:tc>
          <w:tcPr>
            <w:tcW w:w="1222" w:type="dxa"/>
            <w:tcBorders>
              <w:top w:val="nil"/>
              <w:left w:val="nil"/>
              <w:right w:val="nil"/>
            </w:tcBorders>
            <w:shd w:val="clear" w:color="auto" w:fill="auto"/>
            <w:noWrap/>
            <w:vAlign w:val="bottom"/>
            <w:hideMark/>
          </w:tcPr>
          <w:p w14:paraId="4F0F9958" w14:textId="25CDDD4E" w:rsidR="00130CB0" w:rsidRPr="00387A3E" w:rsidRDefault="00130CB0" w:rsidP="00130CB0">
            <w:pPr>
              <w:jc w:val="right"/>
              <w:rPr>
                <w:color w:val="0070C0"/>
                <w:sz w:val="18"/>
                <w:szCs w:val="18"/>
              </w:rPr>
            </w:pPr>
            <w:r>
              <w:rPr>
                <w:sz w:val="18"/>
                <w:szCs w:val="18"/>
              </w:rPr>
              <w:t>7 223,5</w:t>
            </w:r>
          </w:p>
        </w:tc>
        <w:tc>
          <w:tcPr>
            <w:tcW w:w="1199" w:type="dxa"/>
            <w:tcBorders>
              <w:top w:val="nil"/>
              <w:left w:val="nil"/>
              <w:right w:val="nil"/>
            </w:tcBorders>
            <w:shd w:val="clear" w:color="auto" w:fill="auto"/>
            <w:noWrap/>
            <w:vAlign w:val="bottom"/>
            <w:hideMark/>
          </w:tcPr>
          <w:p w14:paraId="247AAEEB" w14:textId="219C212F" w:rsidR="00130CB0" w:rsidRPr="00387A3E" w:rsidRDefault="00130CB0" w:rsidP="00130CB0">
            <w:pPr>
              <w:jc w:val="right"/>
              <w:rPr>
                <w:color w:val="0070C0"/>
                <w:sz w:val="18"/>
                <w:szCs w:val="18"/>
              </w:rPr>
            </w:pPr>
            <w:r>
              <w:rPr>
                <w:sz w:val="18"/>
                <w:szCs w:val="18"/>
              </w:rPr>
              <w:t>-4,7</w:t>
            </w:r>
          </w:p>
        </w:tc>
        <w:tc>
          <w:tcPr>
            <w:tcW w:w="1209" w:type="dxa"/>
            <w:tcBorders>
              <w:top w:val="nil"/>
              <w:left w:val="nil"/>
              <w:right w:val="single" w:sz="8" w:space="0" w:color="auto"/>
            </w:tcBorders>
            <w:shd w:val="clear" w:color="auto" w:fill="auto"/>
            <w:noWrap/>
            <w:vAlign w:val="bottom"/>
            <w:hideMark/>
          </w:tcPr>
          <w:p w14:paraId="11954112" w14:textId="26806161" w:rsidR="00130CB0" w:rsidRPr="00387A3E" w:rsidRDefault="00130CB0" w:rsidP="00130CB0">
            <w:pPr>
              <w:jc w:val="right"/>
              <w:rPr>
                <w:color w:val="0070C0"/>
                <w:sz w:val="18"/>
                <w:szCs w:val="18"/>
              </w:rPr>
            </w:pPr>
            <w:r>
              <w:rPr>
                <w:sz w:val="18"/>
                <w:szCs w:val="18"/>
              </w:rPr>
              <w:t>70,4%</w:t>
            </w:r>
          </w:p>
        </w:tc>
      </w:tr>
      <w:tr w:rsidR="00130CB0" w:rsidRPr="00387A3E" w14:paraId="60993C0E" w14:textId="77777777" w:rsidTr="00201ED1">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3658693D" w14:textId="77777777" w:rsidR="00130CB0" w:rsidRPr="00D640B7" w:rsidRDefault="00130CB0" w:rsidP="00130CB0">
            <w:pPr>
              <w:rPr>
                <w:sz w:val="18"/>
                <w:szCs w:val="18"/>
              </w:rPr>
            </w:pPr>
            <w:r w:rsidRPr="00D640B7">
              <w:rPr>
                <w:sz w:val="18"/>
                <w:szCs w:val="18"/>
              </w:rPr>
              <w:t xml:space="preserve">  Помощи и дарения</w:t>
            </w:r>
          </w:p>
        </w:tc>
        <w:tc>
          <w:tcPr>
            <w:tcW w:w="1147" w:type="dxa"/>
            <w:tcBorders>
              <w:top w:val="nil"/>
              <w:left w:val="nil"/>
              <w:bottom w:val="single" w:sz="4" w:space="0" w:color="auto"/>
              <w:right w:val="nil"/>
            </w:tcBorders>
            <w:shd w:val="clear" w:color="auto" w:fill="auto"/>
            <w:noWrap/>
            <w:vAlign w:val="bottom"/>
            <w:hideMark/>
          </w:tcPr>
          <w:p w14:paraId="78CA1F06" w14:textId="77777777" w:rsidR="00130CB0" w:rsidRPr="00D640B7" w:rsidRDefault="00130CB0" w:rsidP="00130CB0">
            <w:pPr>
              <w:jc w:val="right"/>
              <w:rPr>
                <w:sz w:val="18"/>
                <w:szCs w:val="18"/>
              </w:rPr>
            </w:pPr>
            <w:r w:rsidRPr="00D640B7">
              <w:rPr>
                <w:sz w:val="18"/>
                <w:szCs w:val="18"/>
              </w:rPr>
              <w:t>7 080,7</w:t>
            </w:r>
          </w:p>
        </w:tc>
        <w:tc>
          <w:tcPr>
            <w:tcW w:w="1227" w:type="dxa"/>
            <w:tcBorders>
              <w:top w:val="nil"/>
              <w:left w:val="nil"/>
              <w:bottom w:val="single" w:sz="4" w:space="0" w:color="auto"/>
              <w:right w:val="nil"/>
            </w:tcBorders>
            <w:shd w:val="clear" w:color="auto" w:fill="auto"/>
            <w:noWrap/>
            <w:vAlign w:val="bottom"/>
            <w:hideMark/>
          </w:tcPr>
          <w:p w14:paraId="7D152F86" w14:textId="639A0DE8" w:rsidR="00130CB0" w:rsidRPr="00387A3E" w:rsidRDefault="00130CB0" w:rsidP="00130CB0">
            <w:pPr>
              <w:jc w:val="right"/>
              <w:rPr>
                <w:color w:val="0070C0"/>
                <w:sz w:val="18"/>
                <w:szCs w:val="18"/>
              </w:rPr>
            </w:pPr>
            <w:r>
              <w:rPr>
                <w:sz w:val="18"/>
                <w:szCs w:val="18"/>
              </w:rPr>
              <w:t>2 520,5</w:t>
            </w:r>
          </w:p>
        </w:tc>
        <w:tc>
          <w:tcPr>
            <w:tcW w:w="1222" w:type="dxa"/>
            <w:tcBorders>
              <w:top w:val="nil"/>
              <w:left w:val="nil"/>
              <w:bottom w:val="single" w:sz="4" w:space="0" w:color="auto"/>
              <w:right w:val="nil"/>
            </w:tcBorders>
            <w:shd w:val="clear" w:color="auto" w:fill="auto"/>
            <w:noWrap/>
            <w:vAlign w:val="bottom"/>
            <w:hideMark/>
          </w:tcPr>
          <w:p w14:paraId="30CD1BBF" w14:textId="2FA9CE93" w:rsidR="00130CB0" w:rsidRPr="00387A3E" w:rsidRDefault="00130CB0" w:rsidP="00130CB0">
            <w:pPr>
              <w:jc w:val="right"/>
              <w:rPr>
                <w:color w:val="0070C0"/>
                <w:sz w:val="18"/>
                <w:szCs w:val="18"/>
              </w:rPr>
            </w:pPr>
            <w:r>
              <w:rPr>
                <w:sz w:val="18"/>
                <w:szCs w:val="18"/>
              </w:rPr>
              <w:t>159,3</w:t>
            </w:r>
          </w:p>
        </w:tc>
        <w:tc>
          <w:tcPr>
            <w:tcW w:w="1199" w:type="dxa"/>
            <w:tcBorders>
              <w:top w:val="nil"/>
              <w:left w:val="nil"/>
              <w:bottom w:val="single" w:sz="4" w:space="0" w:color="auto"/>
              <w:right w:val="nil"/>
            </w:tcBorders>
            <w:shd w:val="clear" w:color="auto" w:fill="auto"/>
            <w:noWrap/>
            <w:vAlign w:val="bottom"/>
            <w:hideMark/>
          </w:tcPr>
          <w:p w14:paraId="47AE2FCD" w14:textId="1AF04C7B" w:rsidR="00130CB0" w:rsidRPr="00387A3E" w:rsidRDefault="00130CB0" w:rsidP="00130CB0">
            <w:pPr>
              <w:jc w:val="right"/>
              <w:rPr>
                <w:color w:val="0070C0"/>
                <w:sz w:val="18"/>
                <w:szCs w:val="18"/>
              </w:rPr>
            </w:pPr>
            <w:r>
              <w:rPr>
                <w:sz w:val="18"/>
                <w:szCs w:val="18"/>
              </w:rPr>
              <w:t>2 361,2</w:t>
            </w:r>
          </w:p>
        </w:tc>
        <w:tc>
          <w:tcPr>
            <w:tcW w:w="1209" w:type="dxa"/>
            <w:tcBorders>
              <w:top w:val="nil"/>
              <w:left w:val="nil"/>
              <w:bottom w:val="single" w:sz="4" w:space="0" w:color="auto"/>
              <w:right w:val="single" w:sz="8" w:space="0" w:color="auto"/>
            </w:tcBorders>
            <w:shd w:val="clear" w:color="auto" w:fill="auto"/>
            <w:noWrap/>
            <w:vAlign w:val="bottom"/>
            <w:hideMark/>
          </w:tcPr>
          <w:p w14:paraId="006C94E8" w14:textId="58A02C45" w:rsidR="00130CB0" w:rsidRPr="00387A3E" w:rsidRDefault="00130CB0" w:rsidP="00130CB0">
            <w:pPr>
              <w:jc w:val="right"/>
              <w:rPr>
                <w:color w:val="0070C0"/>
                <w:sz w:val="18"/>
                <w:szCs w:val="18"/>
              </w:rPr>
            </w:pPr>
            <w:r>
              <w:rPr>
                <w:sz w:val="18"/>
                <w:szCs w:val="18"/>
              </w:rPr>
              <w:t>35,6%</w:t>
            </w:r>
          </w:p>
        </w:tc>
      </w:tr>
      <w:tr w:rsidR="00130CB0" w:rsidRPr="00387A3E" w14:paraId="01915171" w14:textId="77777777" w:rsidTr="00201ED1">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14:paraId="71A1D2A1" w14:textId="77777777" w:rsidR="00130CB0" w:rsidRPr="00D640B7" w:rsidRDefault="00130CB0" w:rsidP="00130CB0">
            <w:pPr>
              <w:rPr>
                <w:b/>
                <w:bCs/>
                <w:sz w:val="18"/>
                <w:szCs w:val="18"/>
              </w:rPr>
            </w:pPr>
            <w:r w:rsidRPr="00D640B7">
              <w:rPr>
                <w:b/>
                <w:bCs/>
                <w:sz w:val="18"/>
                <w:szCs w:val="18"/>
              </w:rPr>
              <w:t>РАЗХОДИ И ВНОСКА ЗА ОБЩИЯ БЮДЖЕТ НА ЕС</w:t>
            </w:r>
          </w:p>
        </w:tc>
        <w:tc>
          <w:tcPr>
            <w:tcW w:w="1147" w:type="dxa"/>
            <w:tcBorders>
              <w:top w:val="single" w:sz="4" w:space="0" w:color="auto"/>
              <w:left w:val="nil"/>
              <w:bottom w:val="nil"/>
              <w:right w:val="nil"/>
            </w:tcBorders>
            <w:shd w:val="clear" w:color="auto" w:fill="auto"/>
            <w:noWrap/>
            <w:vAlign w:val="bottom"/>
            <w:hideMark/>
          </w:tcPr>
          <w:p w14:paraId="681A6538" w14:textId="77777777" w:rsidR="00130CB0" w:rsidRPr="00D640B7" w:rsidRDefault="00130CB0" w:rsidP="00130CB0">
            <w:pPr>
              <w:jc w:val="right"/>
              <w:rPr>
                <w:b/>
                <w:bCs/>
                <w:sz w:val="18"/>
                <w:szCs w:val="18"/>
              </w:rPr>
            </w:pPr>
            <w:r w:rsidRPr="00D640B7">
              <w:rPr>
                <w:b/>
                <w:bCs/>
                <w:sz w:val="18"/>
                <w:szCs w:val="18"/>
              </w:rPr>
              <w:t>81 509,0</w:t>
            </w:r>
          </w:p>
        </w:tc>
        <w:tc>
          <w:tcPr>
            <w:tcW w:w="1227" w:type="dxa"/>
            <w:tcBorders>
              <w:top w:val="single" w:sz="4" w:space="0" w:color="auto"/>
              <w:left w:val="nil"/>
              <w:bottom w:val="nil"/>
              <w:right w:val="nil"/>
            </w:tcBorders>
            <w:shd w:val="clear" w:color="auto" w:fill="auto"/>
            <w:noWrap/>
            <w:vAlign w:val="bottom"/>
            <w:hideMark/>
          </w:tcPr>
          <w:p w14:paraId="57AA0390" w14:textId="109573F4" w:rsidR="00130CB0" w:rsidRPr="00387A3E" w:rsidRDefault="00130CB0" w:rsidP="00130CB0">
            <w:pPr>
              <w:jc w:val="right"/>
              <w:rPr>
                <w:b/>
                <w:bCs/>
                <w:color w:val="0070C0"/>
                <w:sz w:val="18"/>
                <w:szCs w:val="18"/>
              </w:rPr>
            </w:pPr>
            <w:r>
              <w:rPr>
                <w:b/>
                <w:bCs/>
                <w:sz w:val="18"/>
                <w:szCs w:val="18"/>
              </w:rPr>
              <w:t>54 861,1</w:t>
            </w:r>
          </w:p>
        </w:tc>
        <w:tc>
          <w:tcPr>
            <w:tcW w:w="1222" w:type="dxa"/>
            <w:tcBorders>
              <w:top w:val="single" w:sz="4" w:space="0" w:color="auto"/>
              <w:left w:val="nil"/>
              <w:bottom w:val="nil"/>
              <w:right w:val="nil"/>
            </w:tcBorders>
            <w:shd w:val="clear" w:color="auto" w:fill="auto"/>
            <w:noWrap/>
            <w:vAlign w:val="bottom"/>
            <w:hideMark/>
          </w:tcPr>
          <w:p w14:paraId="30578C92" w14:textId="74AF0B2C" w:rsidR="00130CB0" w:rsidRPr="00387A3E" w:rsidRDefault="00130CB0" w:rsidP="00130CB0">
            <w:pPr>
              <w:jc w:val="right"/>
              <w:rPr>
                <w:b/>
                <w:bCs/>
                <w:color w:val="0070C0"/>
                <w:sz w:val="18"/>
                <w:szCs w:val="18"/>
              </w:rPr>
            </w:pPr>
            <w:r>
              <w:rPr>
                <w:b/>
                <w:bCs/>
                <w:sz w:val="18"/>
                <w:szCs w:val="18"/>
              </w:rPr>
              <w:t>52 441,8</w:t>
            </w:r>
          </w:p>
        </w:tc>
        <w:tc>
          <w:tcPr>
            <w:tcW w:w="1199" w:type="dxa"/>
            <w:tcBorders>
              <w:top w:val="single" w:sz="4" w:space="0" w:color="auto"/>
              <w:left w:val="nil"/>
              <w:bottom w:val="nil"/>
              <w:right w:val="nil"/>
            </w:tcBorders>
            <w:shd w:val="clear" w:color="auto" w:fill="auto"/>
            <w:noWrap/>
            <w:vAlign w:val="bottom"/>
            <w:hideMark/>
          </w:tcPr>
          <w:p w14:paraId="29B88E0A" w14:textId="637F8A27" w:rsidR="00130CB0" w:rsidRPr="00387A3E" w:rsidRDefault="00130CB0" w:rsidP="00130CB0">
            <w:pPr>
              <w:jc w:val="right"/>
              <w:rPr>
                <w:b/>
                <w:bCs/>
                <w:color w:val="0070C0"/>
                <w:sz w:val="18"/>
                <w:szCs w:val="18"/>
              </w:rPr>
            </w:pPr>
            <w:r>
              <w:rPr>
                <w:b/>
                <w:bCs/>
                <w:sz w:val="18"/>
                <w:szCs w:val="18"/>
              </w:rPr>
              <w:t>2 419,3</w:t>
            </w:r>
          </w:p>
        </w:tc>
        <w:tc>
          <w:tcPr>
            <w:tcW w:w="1209" w:type="dxa"/>
            <w:tcBorders>
              <w:top w:val="nil"/>
              <w:left w:val="nil"/>
              <w:bottom w:val="nil"/>
              <w:right w:val="single" w:sz="8" w:space="0" w:color="auto"/>
            </w:tcBorders>
            <w:shd w:val="clear" w:color="auto" w:fill="auto"/>
            <w:noWrap/>
            <w:vAlign w:val="bottom"/>
            <w:hideMark/>
          </w:tcPr>
          <w:p w14:paraId="282DD6AC" w14:textId="7948745B" w:rsidR="00130CB0" w:rsidRPr="00387A3E" w:rsidRDefault="00130CB0" w:rsidP="00130CB0">
            <w:pPr>
              <w:jc w:val="right"/>
              <w:rPr>
                <w:b/>
                <w:bCs/>
                <w:color w:val="0070C0"/>
                <w:sz w:val="18"/>
                <w:szCs w:val="18"/>
              </w:rPr>
            </w:pPr>
            <w:r>
              <w:rPr>
                <w:b/>
                <w:bCs/>
                <w:sz w:val="18"/>
                <w:szCs w:val="18"/>
              </w:rPr>
              <w:t>67,3%</w:t>
            </w:r>
          </w:p>
        </w:tc>
      </w:tr>
      <w:tr w:rsidR="00130CB0" w:rsidRPr="00387A3E" w14:paraId="53110FE5"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EEDFE12" w14:textId="49ED63A3" w:rsidR="00130CB0" w:rsidRPr="00D640B7" w:rsidRDefault="00130CB0" w:rsidP="00130CB0">
            <w:pPr>
              <w:rPr>
                <w:sz w:val="18"/>
                <w:szCs w:val="18"/>
              </w:rPr>
            </w:pPr>
            <w:r w:rsidRPr="00D640B7">
              <w:rPr>
                <w:sz w:val="18"/>
                <w:szCs w:val="18"/>
              </w:rPr>
              <w:t xml:space="preserve">  Нелихвени</w:t>
            </w:r>
          </w:p>
        </w:tc>
        <w:tc>
          <w:tcPr>
            <w:tcW w:w="1147" w:type="dxa"/>
            <w:tcBorders>
              <w:top w:val="nil"/>
              <w:left w:val="nil"/>
              <w:bottom w:val="nil"/>
              <w:right w:val="nil"/>
            </w:tcBorders>
            <w:shd w:val="clear" w:color="auto" w:fill="auto"/>
            <w:noWrap/>
            <w:vAlign w:val="bottom"/>
            <w:hideMark/>
          </w:tcPr>
          <w:p w14:paraId="4B38BDD9" w14:textId="77777777" w:rsidR="00130CB0" w:rsidRPr="00D640B7" w:rsidRDefault="00130CB0" w:rsidP="00130CB0">
            <w:pPr>
              <w:jc w:val="right"/>
              <w:rPr>
                <w:sz w:val="18"/>
                <w:szCs w:val="18"/>
              </w:rPr>
            </w:pPr>
            <w:r w:rsidRPr="00D640B7">
              <w:rPr>
                <w:sz w:val="18"/>
                <w:szCs w:val="18"/>
              </w:rPr>
              <w:t>77 857,2</w:t>
            </w:r>
          </w:p>
        </w:tc>
        <w:tc>
          <w:tcPr>
            <w:tcW w:w="1227" w:type="dxa"/>
            <w:tcBorders>
              <w:top w:val="nil"/>
              <w:left w:val="nil"/>
              <w:bottom w:val="nil"/>
              <w:right w:val="nil"/>
            </w:tcBorders>
            <w:shd w:val="clear" w:color="auto" w:fill="auto"/>
            <w:noWrap/>
            <w:vAlign w:val="bottom"/>
            <w:hideMark/>
          </w:tcPr>
          <w:p w14:paraId="5AD813CF" w14:textId="2A0777E7" w:rsidR="00130CB0" w:rsidRPr="00387A3E" w:rsidRDefault="00130CB0" w:rsidP="00130CB0">
            <w:pPr>
              <w:jc w:val="right"/>
              <w:rPr>
                <w:color w:val="0070C0"/>
                <w:sz w:val="18"/>
                <w:szCs w:val="18"/>
              </w:rPr>
            </w:pPr>
            <w:r>
              <w:rPr>
                <w:sz w:val="18"/>
                <w:szCs w:val="18"/>
              </w:rPr>
              <w:t>52 844,7</w:t>
            </w:r>
          </w:p>
        </w:tc>
        <w:tc>
          <w:tcPr>
            <w:tcW w:w="1222" w:type="dxa"/>
            <w:tcBorders>
              <w:top w:val="nil"/>
              <w:left w:val="nil"/>
              <w:bottom w:val="nil"/>
              <w:right w:val="nil"/>
            </w:tcBorders>
            <w:shd w:val="clear" w:color="auto" w:fill="auto"/>
            <w:noWrap/>
            <w:vAlign w:val="bottom"/>
            <w:hideMark/>
          </w:tcPr>
          <w:p w14:paraId="2E7CCE35" w14:textId="4DD3074F" w:rsidR="00130CB0" w:rsidRPr="00387A3E" w:rsidRDefault="00130CB0" w:rsidP="00130CB0">
            <w:pPr>
              <w:jc w:val="right"/>
              <w:rPr>
                <w:color w:val="0070C0"/>
                <w:sz w:val="18"/>
                <w:szCs w:val="18"/>
              </w:rPr>
            </w:pPr>
            <w:r>
              <w:rPr>
                <w:sz w:val="18"/>
                <w:szCs w:val="18"/>
              </w:rPr>
              <w:t>50 425,5</w:t>
            </w:r>
          </w:p>
        </w:tc>
        <w:tc>
          <w:tcPr>
            <w:tcW w:w="1199" w:type="dxa"/>
            <w:tcBorders>
              <w:top w:val="nil"/>
              <w:left w:val="nil"/>
              <w:bottom w:val="nil"/>
              <w:right w:val="nil"/>
            </w:tcBorders>
            <w:shd w:val="clear" w:color="auto" w:fill="auto"/>
            <w:noWrap/>
            <w:vAlign w:val="bottom"/>
            <w:hideMark/>
          </w:tcPr>
          <w:p w14:paraId="04FF9136" w14:textId="3FC6CFC4" w:rsidR="00130CB0" w:rsidRPr="00387A3E" w:rsidRDefault="00130CB0" w:rsidP="00130CB0">
            <w:pPr>
              <w:jc w:val="right"/>
              <w:rPr>
                <w:color w:val="0070C0"/>
                <w:sz w:val="18"/>
                <w:szCs w:val="18"/>
              </w:rPr>
            </w:pPr>
            <w:r>
              <w:rPr>
                <w:sz w:val="18"/>
                <w:szCs w:val="18"/>
              </w:rPr>
              <w:t>2 419,3</w:t>
            </w:r>
          </w:p>
        </w:tc>
        <w:tc>
          <w:tcPr>
            <w:tcW w:w="1209" w:type="dxa"/>
            <w:tcBorders>
              <w:top w:val="nil"/>
              <w:left w:val="nil"/>
              <w:bottom w:val="nil"/>
              <w:right w:val="single" w:sz="8" w:space="0" w:color="auto"/>
            </w:tcBorders>
            <w:shd w:val="clear" w:color="auto" w:fill="auto"/>
            <w:noWrap/>
            <w:vAlign w:val="bottom"/>
            <w:hideMark/>
          </w:tcPr>
          <w:p w14:paraId="5B7282CE" w14:textId="09F765F7" w:rsidR="00130CB0" w:rsidRPr="00387A3E" w:rsidRDefault="00130CB0" w:rsidP="00130CB0">
            <w:pPr>
              <w:jc w:val="right"/>
              <w:rPr>
                <w:color w:val="0070C0"/>
                <w:sz w:val="18"/>
                <w:szCs w:val="18"/>
              </w:rPr>
            </w:pPr>
            <w:r>
              <w:rPr>
                <w:sz w:val="18"/>
                <w:szCs w:val="18"/>
              </w:rPr>
              <w:t>67,9%</w:t>
            </w:r>
          </w:p>
        </w:tc>
      </w:tr>
      <w:tr w:rsidR="00130CB0" w:rsidRPr="00387A3E" w14:paraId="32AE31E1" w14:textId="77777777" w:rsidTr="00201ED1">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509BB615" w14:textId="77777777" w:rsidR="00130CB0" w:rsidRPr="00D640B7" w:rsidRDefault="00130CB0" w:rsidP="00130CB0">
            <w:pPr>
              <w:rPr>
                <w:sz w:val="18"/>
                <w:szCs w:val="18"/>
              </w:rPr>
            </w:pPr>
            <w:r w:rsidRPr="00D640B7">
              <w:rPr>
                <w:sz w:val="18"/>
                <w:szCs w:val="18"/>
              </w:rPr>
              <w:t xml:space="preserve">  Лихвени</w:t>
            </w:r>
          </w:p>
        </w:tc>
        <w:tc>
          <w:tcPr>
            <w:tcW w:w="1147" w:type="dxa"/>
            <w:tcBorders>
              <w:top w:val="nil"/>
              <w:left w:val="nil"/>
              <w:bottom w:val="nil"/>
              <w:right w:val="nil"/>
            </w:tcBorders>
            <w:shd w:val="clear" w:color="auto" w:fill="auto"/>
            <w:noWrap/>
            <w:vAlign w:val="bottom"/>
            <w:hideMark/>
          </w:tcPr>
          <w:p w14:paraId="00A52112" w14:textId="77777777" w:rsidR="00130CB0" w:rsidRPr="00D640B7" w:rsidRDefault="00130CB0" w:rsidP="00130CB0">
            <w:pPr>
              <w:jc w:val="right"/>
              <w:rPr>
                <w:sz w:val="18"/>
                <w:szCs w:val="18"/>
              </w:rPr>
            </w:pPr>
            <w:r w:rsidRPr="00D640B7">
              <w:rPr>
                <w:sz w:val="18"/>
                <w:szCs w:val="18"/>
              </w:rPr>
              <w:t>1 010,6</w:t>
            </w:r>
          </w:p>
        </w:tc>
        <w:tc>
          <w:tcPr>
            <w:tcW w:w="1227" w:type="dxa"/>
            <w:tcBorders>
              <w:top w:val="nil"/>
              <w:left w:val="nil"/>
              <w:bottom w:val="nil"/>
              <w:right w:val="nil"/>
            </w:tcBorders>
            <w:shd w:val="clear" w:color="auto" w:fill="auto"/>
            <w:noWrap/>
            <w:vAlign w:val="bottom"/>
            <w:hideMark/>
          </w:tcPr>
          <w:p w14:paraId="59F2500F" w14:textId="2ED3254F" w:rsidR="00130CB0" w:rsidRPr="00387A3E" w:rsidRDefault="00130CB0" w:rsidP="00130CB0">
            <w:pPr>
              <w:jc w:val="right"/>
              <w:rPr>
                <w:color w:val="0070C0"/>
                <w:sz w:val="18"/>
                <w:szCs w:val="18"/>
              </w:rPr>
            </w:pPr>
            <w:r>
              <w:rPr>
                <w:sz w:val="18"/>
                <w:szCs w:val="18"/>
              </w:rPr>
              <w:t>895,4</w:t>
            </w:r>
          </w:p>
        </w:tc>
        <w:tc>
          <w:tcPr>
            <w:tcW w:w="1222" w:type="dxa"/>
            <w:tcBorders>
              <w:top w:val="nil"/>
              <w:left w:val="nil"/>
              <w:bottom w:val="nil"/>
              <w:right w:val="nil"/>
            </w:tcBorders>
            <w:shd w:val="clear" w:color="auto" w:fill="auto"/>
            <w:noWrap/>
            <w:vAlign w:val="bottom"/>
            <w:hideMark/>
          </w:tcPr>
          <w:p w14:paraId="3FF622D9" w14:textId="5DC88303" w:rsidR="00130CB0" w:rsidRPr="00387A3E" w:rsidRDefault="00130CB0" w:rsidP="00130CB0">
            <w:pPr>
              <w:jc w:val="right"/>
              <w:rPr>
                <w:color w:val="0070C0"/>
                <w:sz w:val="18"/>
                <w:szCs w:val="18"/>
              </w:rPr>
            </w:pPr>
            <w:r>
              <w:rPr>
                <w:sz w:val="18"/>
                <w:szCs w:val="18"/>
              </w:rPr>
              <w:t>895,4</w:t>
            </w:r>
          </w:p>
        </w:tc>
        <w:tc>
          <w:tcPr>
            <w:tcW w:w="1199" w:type="dxa"/>
            <w:tcBorders>
              <w:top w:val="nil"/>
              <w:left w:val="nil"/>
              <w:bottom w:val="nil"/>
              <w:right w:val="nil"/>
            </w:tcBorders>
            <w:shd w:val="clear" w:color="auto" w:fill="auto"/>
            <w:noWrap/>
            <w:vAlign w:val="bottom"/>
          </w:tcPr>
          <w:p w14:paraId="60A3A424" w14:textId="77777777" w:rsidR="00130CB0" w:rsidRPr="00387A3E" w:rsidRDefault="00130CB0" w:rsidP="00130CB0">
            <w:pPr>
              <w:jc w:val="right"/>
              <w:rPr>
                <w:color w:val="0070C0"/>
                <w:sz w:val="18"/>
                <w:szCs w:val="18"/>
              </w:rPr>
            </w:pPr>
          </w:p>
        </w:tc>
        <w:tc>
          <w:tcPr>
            <w:tcW w:w="1209" w:type="dxa"/>
            <w:tcBorders>
              <w:top w:val="nil"/>
              <w:left w:val="nil"/>
              <w:bottom w:val="nil"/>
              <w:right w:val="single" w:sz="4" w:space="0" w:color="auto"/>
            </w:tcBorders>
            <w:shd w:val="clear" w:color="auto" w:fill="auto"/>
            <w:noWrap/>
            <w:vAlign w:val="bottom"/>
            <w:hideMark/>
          </w:tcPr>
          <w:p w14:paraId="00DCD398" w14:textId="514D694E" w:rsidR="00130CB0" w:rsidRPr="00387A3E" w:rsidRDefault="00130CB0" w:rsidP="00130CB0">
            <w:pPr>
              <w:jc w:val="right"/>
              <w:rPr>
                <w:color w:val="0070C0"/>
                <w:sz w:val="18"/>
                <w:szCs w:val="18"/>
              </w:rPr>
            </w:pPr>
            <w:r>
              <w:rPr>
                <w:sz w:val="18"/>
                <w:szCs w:val="18"/>
              </w:rPr>
              <w:t>88,6%</w:t>
            </w:r>
          </w:p>
        </w:tc>
      </w:tr>
      <w:tr w:rsidR="00130CB0" w:rsidRPr="00387A3E" w14:paraId="5B7A5038" w14:textId="77777777" w:rsidTr="00201ED1">
        <w:trPr>
          <w:trHeight w:val="250"/>
        </w:trPr>
        <w:tc>
          <w:tcPr>
            <w:tcW w:w="4250" w:type="dxa"/>
            <w:tcBorders>
              <w:top w:val="nil"/>
              <w:left w:val="single" w:sz="8" w:space="0" w:color="auto"/>
              <w:bottom w:val="nil"/>
              <w:right w:val="single" w:sz="4" w:space="0" w:color="auto"/>
            </w:tcBorders>
            <w:noWrap/>
            <w:vAlign w:val="bottom"/>
          </w:tcPr>
          <w:p w14:paraId="5FBC5F67" w14:textId="77777777" w:rsidR="00130CB0" w:rsidRPr="00D640B7" w:rsidRDefault="00130CB0" w:rsidP="00130CB0">
            <w:pPr>
              <w:rPr>
                <w:sz w:val="18"/>
                <w:szCs w:val="18"/>
              </w:rPr>
            </w:pPr>
            <w:r w:rsidRPr="00D640B7">
              <w:rPr>
                <w:sz w:val="18"/>
                <w:szCs w:val="18"/>
                <w:lang w:val="ru-RU"/>
              </w:rPr>
              <w:t xml:space="preserve">  </w:t>
            </w:r>
            <w:r w:rsidRPr="00D640B7">
              <w:rPr>
                <w:sz w:val="18"/>
                <w:szCs w:val="18"/>
              </w:rPr>
              <w:t>Резерв за неотложни и непредвидени разходи</w:t>
            </w:r>
          </w:p>
        </w:tc>
        <w:tc>
          <w:tcPr>
            <w:tcW w:w="1147" w:type="dxa"/>
            <w:tcBorders>
              <w:top w:val="nil"/>
              <w:left w:val="nil"/>
              <w:right w:val="nil"/>
            </w:tcBorders>
            <w:shd w:val="clear" w:color="auto" w:fill="auto"/>
            <w:noWrap/>
            <w:vAlign w:val="bottom"/>
          </w:tcPr>
          <w:p w14:paraId="58A4CF84" w14:textId="77777777" w:rsidR="00130CB0" w:rsidRPr="00D640B7" w:rsidRDefault="00130CB0" w:rsidP="00130CB0">
            <w:pPr>
              <w:jc w:val="right"/>
              <w:rPr>
                <w:sz w:val="18"/>
                <w:szCs w:val="18"/>
              </w:rPr>
            </w:pPr>
            <w:r w:rsidRPr="00D640B7">
              <w:rPr>
                <w:sz w:val="18"/>
                <w:szCs w:val="18"/>
              </w:rPr>
              <w:t>370,2</w:t>
            </w:r>
          </w:p>
        </w:tc>
        <w:tc>
          <w:tcPr>
            <w:tcW w:w="1227" w:type="dxa"/>
            <w:tcBorders>
              <w:top w:val="nil"/>
              <w:left w:val="nil"/>
              <w:bottom w:val="nil"/>
              <w:right w:val="nil"/>
            </w:tcBorders>
            <w:shd w:val="clear" w:color="auto" w:fill="auto"/>
            <w:noWrap/>
            <w:vAlign w:val="bottom"/>
          </w:tcPr>
          <w:p w14:paraId="45B9DC0F" w14:textId="77777777" w:rsidR="00130CB0" w:rsidRPr="00387A3E" w:rsidRDefault="00130CB0" w:rsidP="00130CB0">
            <w:pPr>
              <w:jc w:val="right"/>
              <w:rPr>
                <w:color w:val="0070C0"/>
                <w:sz w:val="18"/>
                <w:szCs w:val="18"/>
              </w:rPr>
            </w:pPr>
          </w:p>
        </w:tc>
        <w:tc>
          <w:tcPr>
            <w:tcW w:w="1222" w:type="dxa"/>
            <w:tcBorders>
              <w:top w:val="nil"/>
              <w:left w:val="nil"/>
              <w:bottom w:val="nil"/>
              <w:right w:val="nil"/>
            </w:tcBorders>
            <w:shd w:val="clear" w:color="auto" w:fill="auto"/>
            <w:noWrap/>
            <w:vAlign w:val="bottom"/>
          </w:tcPr>
          <w:p w14:paraId="063C14E1" w14:textId="77777777" w:rsidR="00130CB0" w:rsidRPr="00387A3E" w:rsidRDefault="00130CB0" w:rsidP="00130CB0">
            <w:pPr>
              <w:rPr>
                <w:color w:val="0070C0"/>
                <w:sz w:val="20"/>
                <w:szCs w:val="20"/>
              </w:rPr>
            </w:pPr>
          </w:p>
        </w:tc>
        <w:tc>
          <w:tcPr>
            <w:tcW w:w="1199" w:type="dxa"/>
            <w:tcBorders>
              <w:top w:val="nil"/>
              <w:left w:val="nil"/>
              <w:bottom w:val="nil"/>
              <w:right w:val="nil"/>
            </w:tcBorders>
            <w:shd w:val="clear" w:color="auto" w:fill="auto"/>
            <w:noWrap/>
            <w:vAlign w:val="bottom"/>
          </w:tcPr>
          <w:p w14:paraId="49F99EA8" w14:textId="77777777" w:rsidR="00130CB0" w:rsidRPr="00387A3E" w:rsidRDefault="00130CB0" w:rsidP="00130CB0">
            <w:pPr>
              <w:rPr>
                <w:color w:val="0070C0"/>
                <w:sz w:val="20"/>
                <w:szCs w:val="20"/>
              </w:rPr>
            </w:pPr>
          </w:p>
        </w:tc>
        <w:tc>
          <w:tcPr>
            <w:tcW w:w="1209" w:type="dxa"/>
            <w:tcBorders>
              <w:top w:val="nil"/>
              <w:left w:val="nil"/>
              <w:bottom w:val="nil"/>
              <w:right w:val="single" w:sz="4" w:space="0" w:color="auto"/>
            </w:tcBorders>
            <w:shd w:val="clear" w:color="auto" w:fill="auto"/>
            <w:noWrap/>
            <w:vAlign w:val="bottom"/>
          </w:tcPr>
          <w:p w14:paraId="08485F3D" w14:textId="69C92E66" w:rsidR="00130CB0" w:rsidRPr="00387A3E" w:rsidRDefault="00130CB0" w:rsidP="00130CB0">
            <w:pPr>
              <w:rPr>
                <w:color w:val="0070C0"/>
                <w:sz w:val="18"/>
                <w:szCs w:val="18"/>
              </w:rPr>
            </w:pPr>
            <w:r>
              <w:rPr>
                <w:sz w:val="18"/>
                <w:szCs w:val="18"/>
              </w:rPr>
              <w:t> </w:t>
            </w:r>
          </w:p>
        </w:tc>
      </w:tr>
      <w:tr w:rsidR="00130CB0" w:rsidRPr="00387A3E" w14:paraId="587D047B" w14:textId="77777777" w:rsidTr="00201ED1">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7E6462DC" w14:textId="77777777" w:rsidR="00130CB0" w:rsidRPr="00D640B7" w:rsidRDefault="00130CB0" w:rsidP="00130CB0">
            <w:pPr>
              <w:rPr>
                <w:sz w:val="18"/>
                <w:szCs w:val="18"/>
              </w:rPr>
            </w:pPr>
            <w:r w:rsidRPr="00D640B7">
              <w:rPr>
                <w:sz w:val="18"/>
                <w:szCs w:val="18"/>
              </w:rPr>
              <w:t xml:space="preserve">  Вноска за общия бюджет на ЕС</w:t>
            </w:r>
          </w:p>
        </w:tc>
        <w:tc>
          <w:tcPr>
            <w:tcW w:w="1147" w:type="dxa"/>
            <w:tcBorders>
              <w:top w:val="nil"/>
              <w:left w:val="nil"/>
              <w:bottom w:val="single" w:sz="4" w:space="0" w:color="auto"/>
              <w:right w:val="nil"/>
            </w:tcBorders>
            <w:shd w:val="clear" w:color="auto" w:fill="auto"/>
            <w:noWrap/>
            <w:vAlign w:val="bottom"/>
            <w:hideMark/>
          </w:tcPr>
          <w:p w14:paraId="6C318F0D" w14:textId="77777777" w:rsidR="00130CB0" w:rsidRPr="00D640B7" w:rsidRDefault="00130CB0" w:rsidP="00130CB0">
            <w:pPr>
              <w:jc w:val="right"/>
              <w:rPr>
                <w:sz w:val="18"/>
                <w:szCs w:val="18"/>
              </w:rPr>
            </w:pPr>
            <w:r w:rsidRPr="00D640B7">
              <w:rPr>
                <w:sz w:val="18"/>
                <w:szCs w:val="18"/>
              </w:rPr>
              <w:t>2 271,1</w:t>
            </w:r>
          </w:p>
        </w:tc>
        <w:tc>
          <w:tcPr>
            <w:tcW w:w="1227" w:type="dxa"/>
            <w:tcBorders>
              <w:top w:val="nil"/>
              <w:left w:val="nil"/>
              <w:bottom w:val="single" w:sz="4" w:space="0" w:color="auto"/>
              <w:right w:val="nil"/>
            </w:tcBorders>
            <w:shd w:val="clear" w:color="auto" w:fill="auto"/>
            <w:noWrap/>
            <w:vAlign w:val="bottom"/>
            <w:hideMark/>
          </w:tcPr>
          <w:p w14:paraId="4449CCC0" w14:textId="0BE83DA4" w:rsidR="00130CB0" w:rsidRPr="00387A3E" w:rsidRDefault="00130CB0" w:rsidP="00130CB0">
            <w:pPr>
              <w:jc w:val="right"/>
              <w:rPr>
                <w:color w:val="0070C0"/>
                <w:sz w:val="18"/>
                <w:szCs w:val="18"/>
              </w:rPr>
            </w:pPr>
            <w:r>
              <w:rPr>
                <w:sz w:val="18"/>
                <w:szCs w:val="18"/>
              </w:rPr>
              <w:t>1 120,9</w:t>
            </w:r>
          </w:p>
        </w:tc>
        <w:tc>
          <w:tcPr>
            <w:tcW w:w="1222" w:type="dxa"/>
            <w:tcBorders>
              <w:top w:val="nil"/>
              <w:left w:val="nil"/>
              <w:bottom w:val="single" w:sz="4" w:space="0" w:color="auto"/>
              <w:right w:val="nil"/>
            </w:tcBorders>
            <w:shd w:val="clear" w:color="auto" w:fill="auto"/>
            <w:noWrap/>
            <w:vAlign w:val="bottom"/>
            <w:hideMark/>
          </w:tcPr>
          <w:p w14:paraId="5E40B24C" w14:textId="4FDB2DE6" w:rsidR="00130CB0" w:rsidRPr="00387A3E" w:rsidRDefault="00130CB0" w:rsidP="00130CB0">
            <w:pPr>
              <w:jc w:val="right"/>
              <w:rPr>
                <w:color w:val="0070C0"/>
                <w:sz w:val="18"/>
                <w:szCs w:val="18"/>
              </w:rPr>
            </w:pPr>
            <w:r>
              <w:rPr>
                <w:sz w:val="18"/>
                <w:szCs w:val="18"/>
              </w:rPr>
              <w:t>1 120,9</w:t>
            </w:r>
          </w:p>
        </w:tc>
        <w:tc>
          <w:tcPr>
            <w:tcW w:w="1199" w:type="dxa"/>
            <w:tcBorders>
              <w:top w:val="nil"/>
              <w:left w:val="nil"/>
              <w:bottom w:val="single" w:sz="4" w:space="0" w:color="auto"/>
              <w:right w:val="nil"/>
            </w:tcBorders>
            <w:shd w:val="clear" w:color="auto" w:fill="auto"/>
            <w:noWrap/>
            <w:vAlign w:val="bottom"/>
          </w:tcPr>
          <w:p w14:paraId="7304F190" w14:textId="77777777" w:rsidR="00130CB0" w:rsidRPr="00387A3E" w:rsidRDefault="00130CB0" w:rsidP="00130CB0">
            <w:pPr>
              <w:jc w:val="right"/>
              <w:rPr>
                <w:color w:val="0070C0"/>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14:paraId="1FB406FE" w14:textId="16FAFDDE" w:rsidR="00130CB0" w:rsidRPr="00387A3E" w:rsidRDefault="00130CB0" w:rsidP="00130CB0">
            <w:pPr>
              <w:jc w:val="right"/>
              <w:rPr>
                <w:color w:val="0070C0"/>
                <w:sz w:val="18"/>
                <w:szCs w:val="18"/>
              </w:rPr>
            </w:pPr>
            <w:r>
              <w:rPr>
                <w:sz w:val="18"/>
                <w:szCs w:val="18"/>
              </w:rPr>
              <w:t>49,4%</w:t>
            </w:r>
          </w:p>
        </w:tc>
      </w:tr>
      <w:tr w:rsidR="00130CB0" w:rsidRPr="00387A3E" w14:paraId="181920EF" w14:textId="77777777" w:rsidTr="00201ED1">
        <w:trPr>
          <w:trHeight w:val="250"/>
        </w:trPr>
        <w:tc>
          <w:tcPr>
            <w:tcW w:w="42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21C417" w14:textId="77777777" w:rsidR="00130CB0" w:rsidRPr="00D640B7" w:rsidRDefault="00130CB0" w:rsidP="00130CB0">
            <w:pPr>
              <w:rPr>
                <w:sz w:val="18"/>
                <w:szCs w:val="18"/>
              </w:rPr>
            </w:pPr>
            <w:r w:rsidRPr="00D640B7">
              <w:rPr>
                <w:sz w:val="18"/>
                <w:szCs w:val="18"/>
              </w:rPr>
              <w:t>Трансфери</w:t>
            </w:r>
            <w:r w:rsidRPr="00D640B7">
              <w:rPr>
                <w:sz w:val="18"/>
                <w:szCs w:val="18"/>
                <w:lang w:val="en-US"/>
              </w:rPr>
              <w:t xml:space="preserve"> </w:t>
            </w:r>
            <w:r w:rsidRPr="00D640B7">
              <w:rPr>
                <w:sz w:val="18"/>
                <w:szCs w:val="18"/>
              </w:rPr>
              <w:t>-</w:t>
            </w:r>
            <w:r w:rsidRPr="00D640B7">
              <w:rPr>
                <w:sz w:val="18"/>
                <w:szCs w:val="18"/>
                <w:lang w:val="en-US"/>
              </w:rPr>
              <w:t xml:space="preserve"> </w:t>
            </w:r>
            <w:r w:rsidRPr="00D640B7">
              <w:rPr>
                <w:sz w:val="18"/>
                <w:szCs w:val="18"/>
              </w:rPr>
              <w:t>нето</w:t>
            </w:r>
          </w:p>
        </w:tc>
        <w:tc>
          <w:tcPr>
            <w:tcW w:w="1147" w:type="dxa"/>
            <w:tcBorders>
              <w:top w:val="single" w:sz="4" w:space="0" w:color="auto"/>
              <w:left w:val="nil"/>
              <w:bottom w:val="single" w:sz="4" w:space="0" w:color="auto"/>
              <w:right w:val="nil"/>
            </w:tcBorders>
            <w:shd w:val="clear" w:color="auto" w:fill="auto"/>
            <w:noWrap/>
            <w:vAlign w:val="bottom"/>
            <w:hideMark/>
          </w:tcPr>
          <w:p w14:paraId="5D6C854A" w14:textId="77777777" w:rsidR="00130CB0" w:rsidRPr="00D640B7" w:rsidRDefault="00130CB0" w:rsidP="00130CB0">
            <w:pPr>
              <w:jc w:val="right"/>
              <w:rPr>
                <w:sz w:val="18"/>
                <w:szCs w:val="18"/>
              </w:rPr>
            </w:pPr>
          </w:p>
        </w:tc>
        <w:tc>
          <w:tcPr>
            <w:tcW w:w="1227" w:type="dxa"/>
            <w:tcBorders>
              <w:top w:val="single" w:sz="4" w:space="0" w:color="auto"/>
              <w:left w:val="nil"/>
              <w:bottom w:val="single" w:sz="4" w:space="0" w:color="auto"/>
              <w:right w:val="nil"/>
            </w:tcBorders>
            <w:shd w:val="clear" w:color="auto" w:fill="auto"/>
            <w:noWrap/>
            <w:vAlign w:val="bottom"/>
            <w:hideMark/>
          </w:tcPr>
          <w:p w14:paraId="2742470B" w14:textId="77777777" w:rsidR="00130CB0" w:rsidRPr="00387A3E" w:rsidRDefault="00130CB0" w:rsidP="00130CB0">
            <w:pPr>
              <w:jc w:val="right"/>
              <w:rPr>
                <w:color w:val="0070C0"/>
                <w:sz w:val="18"/>
                <w:szCs w:val="18"/>
              </w:rPr>
            </w:pPr>
          </w:p>
        </w:tc>
        <w:tc>
          <w:tcPr>
            <w:tcW w:w="1222" w:type="dxa"/>
            <w:tcBorders>
              <w:top w:val="single" w:sz="4" w:space="0" w:color="auto"/>
              <w:left w:val="nil"/>
              <w:bottom w:val="single" w:sz="4" w:space="0" w:color="auto"/>
              <w:right w:val="nil"/>
            </w:tcBorders>
            <w:shd w:val="clear" w:color="auto" w:fill="auto"/>
            <w:noWrap/>
            <w:vAlign w:val="bottom"/>
            <w:hideMark/>
          </w:tcPr>
          <w:p w14:paraId="34AC3EB3" w14:textId="69B04BCF" w:rsidR="00130CB0" w:rsidRPr="00387A3E" w:rsidRDefault="00130CB0" w:rsidP="00130CB0">
            <w:pPr>
              <w:jc w:val="right"/>
              <w:rPr>
                <w:color w:val="0070C0"/>
                <w:sz w:val="18"/>
                <w:szCs w:val="18"/>
              </w:rPr>
            </w:pPr>
            <w:r>
              <w:rPr>
                <w:sz w:val="18"/>
                <w:szCs w:val="18"/>
              </w:rPr>
              <w:t>-446,0</w:t>
            </w:r>
          </w:p>
        </w:tc>
        <w:tc>
          <w:tcPr>
            <w:tcW w:w="1199" w:type="dxa"/>
            <w:tcBorders>
              <w:top w:val="single" w:sz="4" w:space="0" w:color="auto"/>
              <w:left w:val="nil"/>
              <w:bottom w:val="single" w:sz="4" w:space="0" w:color="auto"/>
              <w:right w:val="nil"/>
            </w:tcBorders>
            <w:shd w:val="clear" w:color="auto" w:fill="auto"/>
            <w:noWrap/>
            <w:vAlign w:val="bottom"/>
            <w:hideMark/>
          </w:tcPr>
          <w:p w14:paraId="4EEE1A5D" w14:textId="1A62B7F0" w:rsidR="00130CB0" w:rsidRPr="00387A3E" w:rsidRDefault="00130CB0" w:rsidP="00130CB0">
            <w:pPr>
              <w:jc w:val="right"/>
              <w:rPr>
                <w:color w:val="0070C0"/>
                <w:sz w:val="18"/>
                <w:szCs w:val="18"/>
              </w:rPr>
            </w:pPr>
            <w:r>
              <w:rPr>
                <w:sz w:val="18"/>
                <w:szCs w:val="18"/>
              </w:rPr>
              <w:t>446,0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1F764A9D" w14:textId="58B22526" w:rsidR="00130CB0" w:rsidRPr="00387A3E" w:rsidRDefault="00130CB0" w:rsidP="00130CB0">
            <w:pPr>
              <w:rPr>
                <w:b/>
                <w:bCs/>
                <w:color w:val="0070C0"/>
                <w:sz w:val="18"/>
                <w:szCs w:val="18"/>
              </w:rPr>
            </w:pPr>
            <w:r>
              <w:rPr>
                <w:b/>
                <w:bCs/>
                <w:sz w:val="18"/>
                <w:szCs w:val="18"/>
              </w:rPr>
              <w:t> </w:t>
            </w:r>
          </w:p>
        </w:tc>
      </w:tr>
      <w:tr w:rsidR="00130CB0" w:rsidRPr="00387A3E" w14:paraId="1CE8CB9E" w14:textId="77777777" w:rsidTr="00201ED1">
        <w:trPr>
          <w:trHeight w:val="265"/>
        </w:trPr>
        <w:tc>
          <w:tcPr>
            <w:tcW w:w="4250" w:type="dxa"/>
            <w:tcBorders>
              <w:top w:val="single" w:sz="4" w:space="0" w:color="auto"/>
              <w:left w:val="single" w:sz="8" w:space="0" w:color="auto"/>
              <w:bottom w:val="single" w:sz="8" w:space="0" w:color="auto"/>
              <w:right w:val="single" w:sz="4" w:space="0" w:color="auto"/>
            </w:tcBorders>
            <w:shd w:val="clear" w:color="000000" w:fill="FFFFFF" w:themeFill="background1"/>
            <w:noWrap/>
            <w:vAlign w:val="bottom"/>
            <w:hideMark/>
          </w:tcPr>
          <w:p w14:paraId="171137A2" w14:textId="77777777" w:rsidR="00130CB0" w:rsidRPr="00D640B7" w:rsidRDefault="00130CB0" w:rsidP="00130CB0">
            <w:pPr>
              <w:rPr>
                <w:b/>
                <w:bCs/>
                <w:sz w:val="18"/>
                <w:szCs w:val="18"/>
              </w:rPr>
            </w:pPr>
            <w:r w:rsidRPr="00D640B7">
              <w:rPr>
                <w:b/>
                <w:bCs/>
                <w:sz w:val="18"/>
                <w:szCs w:val="18"/>
              </w:rPr>
              <w:t>БЮДЖЕТНО САЛДО</w:t>
            </w:r>
          </w:p>
        </w:tc>
        <w:tc>
          <w:tcPr>
            <w:tcW w:w="1147" w:type="dxa"/>
            <w:tcBorders>
              <w:top w:val="single" w:sz="4" w:space="0" w:color="auto"/>
              <w:left w:val="single" w:sz="4" w:space="0" w:color="auto"/>
              <w:bottom w:val="single" w:sz="8" w:space="0" w:color="auto"/>
              <w:right w:val="nil"/>
            </w:tcBorders>
            <w:shd w:val="clear" w:color="auto" w:fill="auto"/>
            <w:noWrap/>
            <w:vAlign w:val="bottom"/>
            <w:hideMark/>
          </w:tcPr>
          <w:p w14:paraId="0A900E48" w14:textId="77777777" w:rsidR="00130CB0" w:rsidRPr="00D640B7" w:rsidRDefault="00130CB0" w:rsidP="00130CB0">
            <w:pPr>
              <w:jc w:val="right"/>
              <w:rPr>
                <w:b/>
                <w:bCs/>
                <w:sz w:val="18"/>
                <w:szCs w:val="18"/>
              </w:rPr>
            </w:pPr>
            <w:r w:rsidRPr="00D640B7">
              <w:rPr>
                <w:b/>
                <w:bCs/>
                <w:sz w:val="18"/>
                <w:szCs w:val="18"/>
              </w:rPr>
              <w:t>-6 219,3</w:t>
            </w:r>
          </w:p>
        </w:tc>
        <w:tc>
          <w:tcPr>
            <w:tcW w:w="1227" w:type="dxa"/>
            <w:tcBorders>
              <w:top w:val="single" w:sz="4" w:space="0" w:color="auto"/>
              <w:left w:val="nil"/>
              <w:bottom w:val="single" w:sz="4" w:space="0" w:color="auto"/>
              <w:right w:val="nil"/>
            </w:tcBorders>
            <w:shd w:val="clear" w:color="auto" w:fill="auto"/>
            <w:noWrap/>
            <w:vAlign w:val="bottom"/>
            <w:hideMark/>
          </w:tcPr>
          <w:p w14:paraId="53809E1F" w14:textId="79742C6A" w:rsidR="00130CB0" w:rsidRPr="00387A3E" w:rsidRDefault="00130CB0" w:rsidP="00130CB0">
            <w:pPr>
              <w:jc w:val="right"/>
              <w:rPr>
                <w:b/>
                <w:bCs/>
                <w:color w:val="0070C0"/>
                <w:sz w:val="18"/>
                <w:szCs w:val="18"/>
              </w:rPr>
            </w:pPr>
            <w:r>
              <w:rPr>
                <w:b/>
                <w:bCs/>
                <w:sz w:val="18"/>
                <w:szCs w:val="18"/>
              </w:rPr>
              <w:t>-2 829,9</w:t>
            </w:r>
          </w:p>
        </w:tc>
        <w:tc>
          <w:tcPr>
            <w:tcW w:w="1222" w:type="dxa"/>
            <w:tcBorders>
              <w:top w:val="single" w:sz="4" w:space="0" w:color="auto"/>
              <w:left w:val="nil"/>
              <w:bottom w:val="single" w:sz="4" w:space="0" w:color="auto"/>
              <w:right w:val="nil"/>
            </w:tcBorders>
            <w:shd w:val="clear" w:color="auto" w:fill="auto"/>
            <w:noWrap/>
            <w:vAlign w:val="bottom"/>
            <w:hideMark/>
          </w:tcPr>
          <w:p w14:paraId="083EED6C" w14:textId="3385B69F" w:rsidR="00130CB0" w:rsidRPr="00387A3E" w:rsidRDefault="00130CB0" w:rsidP="00130CB0">
            <w:pPr>
              <w:jc w:val="right"/>
              <w:rPr>
                <w:b/>
                <w:bCs/>
                <w:color w:val="0070C0"/>
                <w:sz w:val="18"/>
                <w:szCs w:val="18"/>
              </w:rPr>
            </w:pPr>
            <w:r>
              <w:rPr>
                <w:b/>
                <w:bCs/>
                <w:sz w:val="18"/>
                <w:szCs w:val="18"/>
              </w:rPr>
              <w:t>-3 213,1</w:t>
            </w:r>
          </w:p>
        </w:tc>
        <w:tc>
          <w:tcPr>
            <w:tcW w:w="1199" w:type="dxa"/>
            <w:tcBorders>
              <w:top w:val="single" w:sz="4" w:space="0" w:color="auto"/>
              <w:left w:val="nil"/>
              <w:bottom w:val="single" w:sz="4" w:space="0" w:color="auto"/>
              <w:right w:val="nil"/>
            </w:tcBorders>
            <w:shd w:val="clear" w:color="auto" w:fill="auto"/>
            <w:noWrap/>
            <w:vAlign w:val="bottom"/>
            <w:hideMark/>
          </w:tcPr>
          <w:p w14:paraId="7126F9C2" w14:textId="5F649A45" w:rsidR="00130CB0" w:rsidRPr="00387A3E" w:rsidRDefault="00130CB0" w:rsidP="00130CB0">
            <w:pPr>
              <w:jc w:val="right"/>
              <w:rPr>
                <w:b/>
                <w:bCs/>
                <w:color w:val="0070C0"/>
                <w:sz w:val="18"/>
                <w:szCs w:val="18"/>
              </w:rPr>
            </w:pPr>
            <w:r>
              <w:rPr>
                <w:b/>
                <w:bCs/>
                <w:sz w:val="18"/>
                <w:szCs w:val="18"/>
              </w:rPr>
              <w:t>383,2</w:t>
            </w:r>
          </w:p>
        </w:tc>
        <w:tc>
          <w:tcPr>
            <w:tcW w:w="1209" w:type="dxa"/>
            <w:tcBorders>
              <w:top w:val="single" w:sz="4" w:space="0" w:color="auto"/>
              <w:left w:val="nil"/>
              <w:bottom w:val="single" w:sz="4" w:space="0" w:color="auto"/>
              <w:right w:val="single" w:sz="4" w:space="0" w:color="auto"/>
            </w:tcBorders>
            <w:shd w:val="clear" w:color="auto" w:fill="auto"/>
            <w:noWrap/>
            <w:vAlign w:val="bottom"/>
          </w:tcPr>
          <w:p w14:paraId="7F488A26" w14:textId="77AF95D4" w:rsidR="00130CB0" w:rsidRPr="00387A3E" w:rsidRDefault="00130CB0" w:rsidP="00130CB0">
            <w:pPr>
              <w:rPr>
                <w:b/>
                <w:bCs/>
                <w:color w:val="0070C0"/>
                <w:sz w:val="18"/>
                <w:szCs w:val="18"/>
              </w:rPr>
            </w:pPr>
            <w:r>
              <w:rPr>
                <w:b/>
                <w:bCs/>
                <w:sz w:val="18"/>
                <w:szCs w:val="18"/>
              </w:rPr>
              <w:t> </w:t>
            </w:r>
          </w:p>
        </w:tc>
      </w:tr>
    </w:tbl>
    <w:p w14:paraId="29D830F6" w14:textId="77777777" w:rsidR="001F66D5" w:rsidRPr="00387A3E" w:rsidRDefault="001F66D5" w:rsidP="001F66D5">
      <w:pPr>
        <w:ind w:left="360"/>
        <w:jc w:val="both"/>
        <w:rPr>
          <w:color w:val="0070C0"/>
          <w:sz w:val="22"/>
        </w:rPr>
      </w:pPr>
    </w:p>
    <w:p w14:paraId="65DB088F" w14:textId="77777777" w:rsidR="001F66D5" w:rsidRPr="00387A3E" w:rsidRDefault="001F66D5" w:rsidP="001F66D5">
      <w:pPr>
        <w:tabs>
          <w:tab w:val="num" w:pos="2880"/>
        </w:tabs>
        <w:jc w:val="both"/>
        <w:rPr>
          <w:rFonts w:eastAsia="Calibri"/>
          <w:color w:val="0070C0"/>
        </w:rPr>
      </w:pPr>
    </w:p>
    <w:p w14:paraId="14EBF5AB" w14:textId="28E8AF87" w:rsidR="00E16AF6" w:rsidRPr="00387A3E" w:rsidRDefault="00E16AF6" w:rsidP="00E86EAF">
      <w:pPr>
        <w:numPr>
          <w:ilvl w:val="1"/>
          <w:numId w:val="9"/>
        </w:numPr>
        <w:tabs>
          <w:tab w:val="num" w:pos="426"/>
        </w:tabs>
        <w:ind w:left="0" w:firstLine="0"/>
        <w:jc w:val="both"/>
        <w:rPr>
          <w:rFonts w:eastAsia="Calibri"/>
          <w:color w:val="0070C0"/>
        </w:rPr>
      </w:pPr>
      <w:r w:rsidRPr="00FC15A9">
        <w:rPr>
          <w:b/>
        </w:rPr>
        <w:t>Приходите, помощите и даренията по консолидираната фискална програма</w:t>
      </w:r>
      <w:r w:rsidRPr="00FC15A9">
        <w:t xml:space="preserve"> (КФП) за</w:t>
      </w:r>
      <w:r w:rsidRPr="00FC15A9">
        <w:rPr>
          <w:b/>
        </w:rPr>
        <w:t xml:space="preserve"> </w:t>
      </w:r>
      <w:r w:rsidRPr="00FC15A9">
        <w:t xml:space="preserve">деветмесечието на 2024 г. </w:t>
      </w:r>
      <w:r w:rsidRPr="00FC15A9">
        <w:rPr>
          <w:bCs/>
        </w:rPr>
        <w:t xml:space="preserve">са в размер на </w:t>
      </w:r>
      <w:r w:rsidRPr="00FC15A9">
        <w:rPr>
          <w:b/>
          <w:bCs/>
          <w:lang w:val="en-US"/>
        </w:rPr>
        <w:t>52 031</w:t>
      </w:r>
      <w:r w:rsidRPr="00FC15A9">
        <w:rPr>
          <w:b/>
          <w:bCs/>
        </w:rPr>
        <w:t>,3</w:t>
      </w:r>
      <w:r w:rsidRPr="00FC15A9">
        <w:rPr>
          <w:b/>
          <w:bCs/>
          <w:lang w:val="ru-RU"/>
        </w:rPr>
        <w:t> </w:t>
      </w:r>
      <w:r w:rsidRPr="00FC15A9">
        <w:rPr>
          <w:b/>
          <w:bCs/>
        </w:rPr>
        <w:t xml:space="preserve">млн. лв., което представлява </w:t>
      </w:r>
      <w:r w:rsidRPr="00FC15A9">
        <w:rPr>
          <w:b/>
          <w:bCs/>
          <w:lang w:val="en-US"/>
        </w:rPr>
        <w:t>69</w:t>
      </w:r>
      <w:r w:rsidRPr="00FC15A9">
        <w:rPr>
          <w:b/>
          <w:bCs/>
        </w:rPr>
        <w:t xml:space="preserve">,1 % от разчетите към ЗДБРБ за 2024 година. </w:t>
      </w:r>
      <w:r w:rsidRPr="00FC15A9">
        <w:rPr>
          <w:rFonts w:eastAsia="Calibri"/>
        </w:rPr>
        <w:t>Постъпленията нарастват с 4 377,6 млн. лв. (9,2 %) спрямо отчетените към септември 2023 г. Сравнени със същия период на 2023 г.</w:t>
      </w:r>
      <w:r w:rsidR="00AC3F86">
        <w:rPr>
          <w:rFonts w:eastAsia="Calibri"/>
        </w:rPr>
        <w:t>,</w:t>
      </w:r>
      <w:r w:rsidRPr="00FC15A9">
        <w:rPr>
          <w:rFonts w:eastAsia="Calibri"/>
        </w:rPr>
        <w:t xml:space="preserve"> данъчните приходи нарастват номинално с 4 917,9 млн. лв. (13,2 %), неданъчните приходи намаляват с 1 365,7 млн. лв. (15,9 %), а постъпленията в частта на помощите и даренията (основно грантове по програмите и фондовете на ЕС) са повече с 825,4 млн. лева.</w:t>
      </w:r>
    </w:p>
    <w:p w14:paraId="3B3C629C" w14:textId="6A892EAE" w:rsidR="00E16AF6" w:rsidRPr="007E5897" w:rsidRDefault="00E16AF6" w:rsidP="00E16AF6">
      <w:pPr>
        <w:spacing w:before="120"/>
        <w:jc w:val="both"/>
      </w:pPr>
      <w:r w:rsidRPr="007E5897">
        <w:t>Общата сума</w:t>
      </w:r>
      <w:r w:rsidRPr="007E5897">
        <w:rPr>
          <w:b/>
        </w:rPr>
        <w:t xml:space="preserve"> </w:t>
      </w:r>
      <w:r w:rsidRPr="007E5897">
        <w:t>на</w:t>
      </w:r>
      <w:r w:rsidRPr="007E5897">
        <w:rPr>
          <w:b/>
        </w:rPr>
        <w:t xml:space="preserve"> </w:t>
      </w:r>
      <w:r w:rsidRPr="007E5897">
        <w:rPr>
          <w:b/>
          <w:i/>
        </w:rPr>
        <w:t>данъчните постъпления</w:t>
      </w:r>
      <w:r w:rsidRPr="007E5897">
        <w:t xml:space="preserve"> (вкл. приходите от осигурителни вноски) е в размер на </w:t>
      </w:r>
      <w:r w:rsidRPr="007E5897">
        <w:rPr>
          <w:b/>
          <w:bCs/>
          <w:i/>
        </w:rPr>
        <w:t xml:space="preserve">42 291,9 </w:t>
      </w:r>
      <w:r w:rsidRPr="007E5897">
        <w:rPr>
          <w:b/>
          <w:i/>
        </w:rPr>
        <w:t>млн. лв.</w:t>
      </w:r>
      <w:r w:rsidRPr="007E5897">
        <w:rPr>
          <w:b/>
          <w:i/>
          <w:lang w:val="ru-RU"/>
        </w:rPr>
        <w:t>,</w:t>
      </w:r>
      <w:r w:rsidRPr="007E5897">
        <w:rPr>
          <w:b/>
          <w:i/>
        </w:rPr>
        <w:t xml:space="preserve"> </w:t>
      </w:r>
      <w:r w:rsidRPr="007E5897">
        <w:t xml:space="preserve">което представлява 73,0 % от разчетените за годината и формират 81,3 % от общите постъпления по КФП за периода. За сравнение изпълнението на разчетите за годината при данъчните приходи </w:t>
      </w:r>
      <w:r w:rsidR="003145C2">
        <w:t>за</w:t>
      </w:r>
      <w:r w:rsidRPr="007E5897">
        <w:t xml:space="preserve"> </w:t>
      </w:r>
      <w:r w:rsidR="003145C2">
        <w:t>деветмесечието</w:t>
      </w:r>
      <w:r w:rsidRPr="007E5897">
        <w:t xml:space="preserve"> на 2023 г. бе </w:t>
      </w:r>
      <w:r w:rsidR="001D7141">
        <w:rPr>
          <w:lang w:val="en-US"/>
        </w:rPr>
        <w:t>70</w:t>
      </w:r>
      <w:r w:rsidR="001D7141">
        <w:t>,3</w:t>
      </w:r>
      <w:bookmarkStart w:id="1" w:name="_GoBack"/>
      <w:bookmarkEnd w:id="1"/>
      <w:r w:rsidRPr="007E5897">
        <w:t xml:space="preserve"> на сто.</w:t>
      </w:r>
    </w:p>
    <w:p w14:paraId="169FCB13" w14:textId="77777777" w:rsidR="00E16AF6" w:rsidRPr="00083907" w:rsidRDefault="00E16AF6" w:rsidP="00E16AF6">
      <w:pPr>
        <w:spacing w:before="120"/>
        <w:jc w:val="both"/>
      </w:pPr>
      <w:r w:rsidRPr="00013F76">
        <w:t xml:space="preserve">Приходите в частта на </w:t>
      </w:r>
      <w:r w:rsidRPr="00013F76">
        <w:rPr>
          <w:i/>
        </w:rPr>
        <w:t xml:space="preserve">преките данъци </w:t>
      </w:r>
      <w:r w:rsidRPr="00013F76">
        <w:t xml:space="preserve">възлизат на 8 414,2 млн. лв., което представлява 65,4 % от разчета за 2024 г. и ръст от </w:t>
      </w:r>
      <w:r w:rsidRPr="00013F76">
        <w:rPr>
          <w:rFonts w:eastAsia="Calibri"/>
        </w:rPr>
        <w:t>1 012,3 млн. лв. (13,7 %) спрямо отчетените към септември 2023 г</w:t>
      </w:r>
      <w:r w:rsidRPr="00013F76">
        <w:t xml:space="preserve">. </w:t>
      </w:r>
      <w:r w:rsidRPr="00083907">
        <w:t xml:space="preserve">Приходите от </w:t>
      </w:r>
      <w:r w:rsidRPr="00083907">
        <w:rPr>
          <w:i/>
        </w:rPr>
        <w:t>косвени данъци</w:t>
      </w:r>
      <w:r w:rsidRPr="00083907">
        <w:t xml:space="preserve"> са в размер на 18 855,3 </w:t>
      </w:r>
      <w:r w:rsidRPr="00083907">
        <w:rPr>
          <w:bCs/>
          <w:iCs/>
        </w:rPr>
        <w:t>млн. лв.</w:t>
      </w:r>
      <w:r w:rsidRPr="00083907">
        <w:t>, което представлява 73,9</w:t>
      </w:r>
      <w:r w:rsidRPr="00083907">
        <w:rPr>
          <w:lang w:val="en-US"/>
        </w:rPr>
        <w:t> </w:t>
      </w:r>
      <w:r w:rsidRPr="00083907">
        <w:t>% от предвидените в ЗДБРБ за 2024 г. и</w:t>
      </w:r>
      <w:r w:rsidRPr="00083907">
        <w:rPr>
          <w:bCs/>
        </w:rPr>
        <w:t xml:space="preserve"> ръст от</w:t>
      </w:r>
      <w:r w:rsidRPr="00083907">
        <w:t xml:space="preserve"> 2 403,1 млн. лв. </w:t>
      </w:r>
      <w:r w:rsidRPr="00083907">
        <w:rPr>
          <w:lang w:val="en-US"/>
        </w:rPr>
        <w:t>(</w:t>
      </w:r>
      <w:r w:rsidRPr="00083907">
        <w:t>14,6 %</w:t>
      </w:r>
      <w:r w:rsidRPr="00083907">
        <w:rPr>
          <w:lang w:val="en-US"/>
        </w:rPr>
        <w:t>)</w:t>
      </w:r>
      <w:r w:rsidRPr="00083907">
        <w:t xml:space="preserve"> спрямо отчетените към септември 2023 г. Постъпленията от </w:t>
      </w:r>
      <w:r w:rsidRPr="00083907">
        <w:rPr>
          <w:i/>
        </w:rPr>
        <w:t>други данъци</w:t>
      </w:r>
      <w:r w:rsidRPr="00083907">
        <w:t xml:space="preserve"> (включват други данъци по ЗКПО, имуществени и др. данъци) са в размер на 1 810,2</w:t>
      </w:r>
      <w:r w:rsidRPr="00083907">
        <w:rPr>
          <w:lang w:val="ru-RU"/>
        </w:rPr>
        <w:t xml:space="preserve"> </w:t>
      </w:r>
      <w:r w:rsidRPr="00083907">
        <w:t>млн. лв. (в т. ч. 412,3 млн. лв. по бюджета на Фонд "Сигурност на електроенергийната система"</w:t>
      </w:r>
      <w:r w:rsidRPr="00083907">
        <w:rPr>
          <w:lang w:val="en-US"/>
        </w:rPr>
        <w:t xml:space="preserve"> - </w:t>
      </w:r>
      <w:r w:rsidRPr="00083907">
        <w:t>ФСЕС при 802,8 млн. лв. към септември 2023 г.), което представлява 97,8 % от годишния разчет и спад от 326,1 млн. лв. спрямо отчетените към септември 2023 г. Отчита се базов ефект в частта на другите данъци основно</w:t>
      </w:r>
      <w:r w:rsidRPr="00083907">
        <w:rPr>
          <w:lang w:val="en-US"/>
        </w:rPr>
        <w:t xml:space="preserve"> </w:t>
      </w:r>
      <w:r w:rsidRPr="00083907">
        <w:t>в две направления. Първо, целевите вноски от производителите на електрическа енергия</w:t>
      </w:r>
      <w:r w:rsidRPr="00083907">
        <w:rPr>
          <w:lang w:val="en-US"/>
        </w:rPr>
        <w:t xml:space="preserve"> </w:t>
      </w:r>
      <w:r w:rsidRPr="00083907">
        <w:t xml:space="preserve">по бюджета на ФСЕС намаляват във връзка с нормализирането на цените на електрическата енергия на Българската независима енергийна борса. Второ, постъпленията намаляват от временната солидарна вноска </w:t>
      </w:r>
      <w:r w:rsidRPr="00083907">
        <w:rPr>
          <w:lang w:val="en-US"/>
        </w:rPr>
        <w:t>(</w:t>
      </w:r>
      <w:r w:rsidRPr="00083907">
        <w:t>която е</w:t>
      </w:r>
      <w:r w:rsidRPr="00083907">
        <w:rPr>
          <w:lang w:val="en-US"/>
        </w:rPr>
        <w:t xml:space="preserve"> с </w:t>
      </w:r>
      <w:r w:rsidRPr="00CC4129">
        <w:t>изтекъл срок на действие и не се прилага през 2024 година</w:t>
      </w:r>
      <w:r w:rsidRPr="00083907">
        <w:rPr>
          <w:lang w:val="en-US"/>
        </w:rPr>
        <w:t xml:space="preserve">) </w:t>
      </w:r>
      <w:r w:rsidRPr="00083907">
        <w:t xml:space="preserve">за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член 14 от Регламент (ЕС) 2022/1854 на Съвета от 6 октомври 2022 г. относно спешна намеса за справяне с високите цени на енергията. Приходите от </w:t>
      </w:r>
      <w:r w:rsidRPr="00083907">
        <w:rPr>
          <w:i/>
        </w:rPr>
        <w:t>социални и здравноосигурителни вноски</w:t>
      </w:r>
      <w:r w:rsidRPr="00083907">
        <w:t xml:space="preserve"> са в размер на 13 212,2 млн. лв. или 74,5 % от разчета за 2024 година и ръст от 1 828,6 млн. лв. </w:t>
      </w:r>
      <w:r w:rsidRPr="00083907">
        <w:rPr>
          <w:lang w:val="ru-RU"/>
        </w:rPr>
        <w:t>(</w:t>
      </w:r>
      <w:r w:rsidRPr="00083907">
        <w:t>16,1 %</w:t>
      </w:r>
      <w:r w:rsidRPr="00083907">
        <w:rPr>
          <w:lang w:val="ru-RU"/>
        </w:rPr>
        <w:t>)</w:t>
      </w:r>
      <w:r w:rsidRPr="00083907">
        <w:t xml:space="preserve"> спрямо отчетените за същия период на 2023 година. </w:t>
      </w:r>
    </w:p>
    <w:p w14:paraId="61971399" w14:textId="77777777" w:rsidR="00EA7657" w:rsidRDefault="00E16AF6" w:rsidP="00BD7E29">
      <w:pPr>
        <w:spacing w:before="120"/>
        <w:jc w:val="both"/>
        <w:rPr>
          <w:color w:val="0070C0"/>
        </w:rPr>
      </w:pPr>
      <w:r w:rsidRPr="003A5375">
        <w:rPr>
          <w:b/>
          <w:bCs/>
          <w:i/>
          <w:iCs/>
        </w:rPr>
        <w:t>Неданъчните приходи</w:t>
      </w:r>
      <w:r w:rsidRPr="003A5375">
        <w:rPr>
          <w:b/>
          <w:bCs/>
          <w:iCs/>
        </w:rPr>
        <w:t xml:space="preserve"> </w:t>
      </w:r>
      <w:r w:rsidRPr="003A5375">
        <w:t xml:space="preserve">са в размер на </w:t>
      </w:r>
      <w:r w:rsidRPr="003A5375">
        <w:rPr>
          <w:b/>
          <w:i/>
        </w:rPr>
        <w:t>7 218,8</w:t>
      </w:r>
      <w:r w:rsidRPr="003A5375">
        <w:rPr>
          <w:rFonts w:eastAsia="Calibri"/>
          <w:bCs/>
        </w:rPr>
        <w:t xml:space="preserve"> млн. лв., което представлява 70,4 % от годишните разчети. Неданъчните приходи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Pr="003A5375">
        <w:rPr>
          <w:rFonts w:eastAsia="Calibri"/>
        </w:rPr>
        <w:t>.</w:t>
      </w:r>
      <w:r w:rsidRPr="00387A3E">
        <w:rPr>
          <w:color w:val="0070C0"/>
        </w:rPr>
        <w:t xml:space="preserve"> </w:t>
      </w:r>
    </w:p>
    <w:p w14:paraId="6F4C0081" w14:textId="77777777" w:rsidR="00E16AF6" w:rsidRPr="0024664A" w:rsidRDefault="00E16AF6" w:rsidP="00E16AF6">
      <w:pPr>
        <w:spacing w:before="120" w:after="120"/>
        <w:jc w:val="both"/>
      </w:pPr>
      <w:r w:rsidRPr="0024664A">
        <w:t xml:space="preserve">Постъпленията от </w:t>
      </w:r>
      <w:r w:rsidRPr="0024664A">
        <w:rPr>
          <w:b/>
          <w:i/>
        </w:rPr>
        <w:t>помощи</w:t>
      </w:r>
      <w:r w:rsidRPr="0024664A">
        <w:t xml:space="preserve"> </w:t>
      </w:r>
      <w:r w:rsidRPr="0024664A">
        <w:rPr>
          <w:b/>
          <w:i/>
        </w:rPr>
        <w:t>и дарения</w:t>
      </w:r>
      <w:r w:rsidRPr="0024664A">
        <w:t xml:space="preserve"> към септември 2024 г. са в размер на </w:t>
      </w:r>
      <w:r w:rsidRPr="0024664A">
        <w:rPr>
          <w:b/>
          <w:i/>
          <w:lang w:val="en-US"/>
        </w:rPr>
        <w:t>2 520</w:t>
      </w:r>
      <w:r w:rsidRPr="0024664A">
        <w:rPr>
          <w:b/>
          <w:i/>
        </w:rPr>
        <w:t xml:space="preserve">,5 млн. лв. </w:t>
      </w:r>
      <w:r w:rsidRPr="0024664A">
        <w:t xml:space="preserve"> </w:t>
      </w:r>
    </w:p>
    <w:p w14:paraId="51BC409C" w14:textId="77777777" w:rsidR="00E16AF6" w:rsidRPr="00387A3E" w:rsidRDefault="00E16AF6" w:rsidP="00E16AF6">
      <w:pPr>
        <w:spacing w:before="120" w:after="120"/>
        <w:jc w:val="both"/>
        <w:rPr>
          <w:color w:val="0070C0"/>
        </w:rPr>
      </w:pPr>
    </w:p>
    <w:p w14:paraId="3E07824E" w14:textId="77777777" w:rsidR="00E16AF6" w:rsidRPr="00E77B4B" w:rsidRDefault="00E16AF6" w:rsidP="00E16AF6">
      <w:pPr>
        <w:spacing w:after="120"/>
        <w:jc w:val="both"/>
        <w:rPr>
          <w:color w:val="0070C0"/>
        </w:rPr>
      </w:pPr>
      <w:r w:rsidRPr="00E77B4B">
        <w:rPr>
          <w:rFonts w:eastAsia="Calibri"/>
          <w:noProof/>
          <w:color w:val="0070C0"/>
          <w:lang w:eastAsia="bg-BG"/>
        </w:rPr>
        <w:drawing>
          <wp:inline distT="0" distB="0" distL="0" distR="0" wp14:anchorId="1A65B3CA" wp14:editId="4AAF0028">
            <wp:extent cx="5842000" cy="2362200"/>
            <wp:effectExtent l="0" t="0" r="635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1EB7D0" w14:textId="77777777" w:rsidR="00E16AF6" w:rsidRPr="00341360" w:rsidRDefault="00E16AF6" w:rsidP="00E16AF6">
      <w:pPr>
        <w:jc w:val="both"/>
        <w:rPr>
          <w:rFonts w:eastAsia="Calibri"/>
          <w:b/>
        </w:rPr>
      </w:pPr>
      <w:bookmarkStart w:id="2" w:name="_MON_1562495641"/>
      <w:bookmarkStart w:id="3" w:name="_MON_1562495680"/>
      <w:bookmarkStart w:id="4" w:name="_MON_1562495725"/>
      <w:bookmarkStart w:id="5" w:name="_MON_1562495759"/>
      <w:bookmarkStart w:id="6" w:name="_MON_1562495782"/>
      <w:bookmarkStart w:id="7" w:name="_MON_1562495848"/>
      <w:bookmarkStart w:id="8" w:name="_MON_1562495926"/>
      <w:bookmarkStart w:id="9" w:name="_MON_1562495995"/>
      <w:bookmarkStart w:id="10" w:name="_MON_1562496100"/>
      <w:bookmarkStart w:id="11" w:name="_MON_1562496172"/>
      <w:bookmarkStart w:id="12" w:name="_MON_1562496201"/>
      <w:bookmarkStart w:id="13" w:name="_MON_1562496223"/>
      <w:bookmarkStart w:id="14" w:name="_MON_1562496546"/>
      <w:bookmarkStart w:id="15" w:name="_MON_1562494801"/>
      <w:bookmarkStart w:id="16" w:name="_MON_1562575628"/>
      <w:bookmarkStart w:id="17" w:name="_MON_1562575824"/>
      <w:bookmarkStart w:id="18" w:name="_MON_1562575867"/>
      <w:bookmarkStart w:id="19" w:name="_MON_1562494914"/>
      <w:bookmarkStart w:id="20" w:name="_MON_1562495064"/>
      <w:bookmarkStart w:id="21" w:name="_MON_1562495152"/>
      <w:bookmarkStart w:id="22" w:name="_MON_1562495221"/>
      <w:bookmarkStart w:id="23" w:name="_MON_1562495389"/>
      <w:bookmarkStart w:id="24" w:name="_MON_1522508180"/>
      <w:bookmarkStart w:id="25" w:name="_MON_1522508239"/>
      <w:bookmarkStart w:id="26" w:name="_MON_1522508269"/>
      <w:bookmarkStart w:id="27" w:name="_MON_1522508157"/>
      <w:bookmarkStart w:id="28" w:name="_MON_1549360449"/>
      <w:bookmarkStart w:id="29" w:name="_MON_1549360548"/>
      <w:bookmarkStart w:id="30" w:name="_MON_1549360567"/>
      <w:bookmarkStart w:id="31" w:name="_MON_1562165742"/>
      <w:bookmarkStart w:id="32" w:name="_MON_1562165832"/>
      <w:bookmarkStart w:id="33" w:name="_MON_1562165842"/>
      <w:bookmarkStart w:id="34" w:name="_MON_1562166008"/>
      <w:bookmarkStart w:id="35" w:name="_MON_1562166044"/>
      <w:bookmarkStart w:id="36" w:name="_MON_1522569064"/>
      <w:bookmarkStart w:id="37" w:name="_MON_152256926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27E795C" w14:textId="086B20D8" w:rsidR="00E16AF6" w:rsidRPr="00E77B4B" w:rsidRDefault="00E16AF6" w:rsidP="00E16AF6">
      <w:pPr>
        <w:jc w:val="both"/>
        <w:rPr>
          <w:color w:val="0070C0"/>
          <w:lang w:val="ru-RU"/>
        </w:rPr>
      </w:pPr>
      <w:r w:rsidRPr="00341360">
        <w:rPr>
          <w:rFonts w:eastAsia="Calibri"/>
          <w:b/>
        </w:rPr>
        <w:t>Разходите</w:t>
      </w:r>
      <w:r w:rsidRPr="00341360">
        <w:rPr>
          <w:rFonts w:eastAsia="Calibri"/>
        </w:rPr>
        <w:t xml:space="preserve"> по КФП (вкл. вноската на Република България в бюджета на ЕС) към септември 2024 г. възлизат на 54 861,1 млн. лв., което е 67,3 % от годишните разчети. </w:t>
      </w:r>
      <w:r w:rsidRPr="00341360">
        <w:rPr>
          <w:rFonts w:eastAsia="Calibri"/>
          <w:lang w:val="ru-RU"/>
        </w:rPr>
        <w:t xml:space="preserve">В отделните разходни показатели нарастване има основно при социалните разходи, вследствие на изплатените по-високи пенсии след влезлите в сила увеличения от юли 2023 г. и юли 2024 г., както и при разходите за персонал, след увеличението на възнагражденията на педагогическия персонал и при други администрации </w:t>
      </w:r>
      <w:r>
        <w:rPr>
          <w:rFonts w:eastAsia="Calibri"/>
          <w:lang w:val="ru-RU"/>
        </w:rPr>
        <w:t>със</w:t>
      </w:r>
      <w:r w:rsidRPr="00341360">
        <w:rPr>
          <w:rFonts w:eastAsia="Calibri"/>
          <w:lang w:val="ru-RU"/>
        </w:rPr>
        <w:t xml:space="preserve"> ЗДБРБ за 2023 г. и ЗДБРБ за 2024 г., и други.</w:t>
      </w:r>
      <w:r w:rsidRPr="00341360">
        <w:rPr>
          <w:lang w:val="ru-RU"/>
        </w:rPr>
        <w:t xml:space="preserve">  </w:t>
      </w:r>
    </w:p>
    <w:p w14:paraId="59028D3F" w14:textId="77777777" w:rsidR="00E16AF6" w:rsidRPr="00E77B4B" w:rsidRDefault="00E16AF6" w:rsidP="00E16AF6">
      <w:pPr>
        <w:spacing w:before="120" w:after="120"/>
        <w:jc w:val="both"/>
        <w:rPr>
          <w:color w:val="0070C0"/>
        </w:rPr>
      </w:pPr>
      <w:r w:rsidRPr="00727822">
        <w:rPr>
          <w:rFonts w:eastAsia="Calibri"/>
          <w:b/>
          <w:bCs/>
          <w:i/>
        </w:rPr>
        <w:t>Нелихвените разходи</w:t>
      </w:r>
      <w:r w:rsidRPr="00727822">
        <w:rPr>
          <w:rFonts w:eastAsia="Calibri"/>
          <w:bCs/>
        </w:rPr>
        <w:t xml:space="preserve"> към септември 2024 г. са в размер на 52 844,7 млн. лв., което </w:t>
      </w:r>
      <w:r w:rsidRPr="002030C1">
        <w:rPr>
          <w:rFonts w:eastAsia="Calibri"/>
          <w:bCs/>
        </w:rPr>
        <w:t xml:space="preserve">представлява 67,9 % от годишния разчет. </w:t>
      </w:r>
      <w:r w:rsidRPr="002030C1">
        <w:rPr>
          <w:rFonts w:eastAsia="Calibri"/>
          <w:bCs/>
          <w:i/>
        </w:rPr>
        <w:t>Текущите нелихвени разходи</w:t>
      </w:r>
      <w:r w:rsidRPr="002030C1">
        <w:rPr>
          <w:rFonts w:eastAsia="Calibri"/>
          <w:bCs/>
        </w:rPr>
        <w:t xml:space="preserve"> са в размер на 49 111,9 млн. лв. </w:t>
      </w:r>
      <w:r w:rsidRPr="002030C1">
        <w:rPr>
          <w:rFonts w:eastAsia="Calibri"/>
          <w:bCs/>
          <w:i/>
        </w:rPr>
        <w:t>Капиталовите разходи</w:t>
      </w:r>
      <w:r w:rsidRPr="002030C1">
        <w:rPr>
          <w:rFonts w:eastAsia="Calibri"/>
          <w:bCs/>
        </w:rPr>
        <w:t xml:space="preserve"> (вкл. нетния прираст на държавния резерв) възлизат на 3 701,0 млн. лв. </w:t>
      </w:r>
      <w:r w:rsidRPr="002030C1">
        <w:rPr>
          <w:rFonts w:eastAsia="Calibri"/>
          <w:bCs/>
          <w:i/>
        </w:rPr>
        <w:t>Предоставените текущи и капиталови трансфери за чужбина</w:t>
      </w:r>
      <w:r w:rsidRPr="002030C1">
        <w:rPr>
          <w:rFonts w:eastAsia="Calibri"/>
          <w:bCs/>
        </w:rPr>
        <w:t xml:space="preserve"> са в размер на 31,8 млн. лв. </w:t>
      </w:r>
      <w:r w:rsidRPr="002030C1">
        <w:rPr>
          <w:rFonts w:eastAsia="Calibri"/>
          <w:b/>
          <w:bCs/>
          <w:i/>
        </w:rPr>
        <w:t>Лихвените плащания</w:t>
      </w:r>
      <w:r w:rsidRPr="002030C1">
        <w:rPr>
          <w:rFonts w:eastAsia="Calibri"/>
          <w:bCs/>
        </w:rPr>
        <w:t xml:space="preserve"> са в размер на 895,4 млн. лв. (88,6 % от планираните за годината и ръст от 161,9</w:t>
      </w:r>
      <w:r w:rsidRPr="002030C1">
        <w:rPr>
          <w:rFonts w:eastAsia="Calibri"/>
          <w:bCs/>
          <w:lang w:val="en-US"/>
        </w:rPr>
        <w:t> </w:t>
      </w:r>
      <w:r w:rsidRPr="002030C1">
        <w:rPr>
          <w:rFonts w:eastAsia="Calibri"/>
          <w:bCs/>
        </w:rPr>
        <w:t>млн. лв. спрямо същия период на 2023 г.).</w:t>
      </w:r>
    </w:p>
    <w:p w14:paraId="51F18706" w14:textId="77777777" w:rsidR="00E16AF6" w:rsidRPr="00A46945" w:rsidRDefault="00E16AF6" w:rsidP="00E16AF6">
      <w:pPr>
        <w:spacing w:before="120" w:after="120"/>
        <w:jc w:val="both"/>
      </w:pPr>
      <w:r w:rsidRPr="00A46945">
        <w:t>Разходите по КФП по основните разходни групи към септември 2023 г. и 2024 г. са представени на следната графика:</w:t>
      </w:r>
    </w:p>
    <w:p w14:paraId="39D5C28D" w14:textId="77777777" w:rsidR="00E16AF6" w:rsidRPr="00E77B4B" w:rsidRDefault="00E16AF6" w:rsidP="00E16AF6">
      <w:pPr>
        <w:spacing w:before="120" w:after="120"/>
        <w:jc w:val="both"/>
        <w:rPr>
          <w:color w:val="0070C0"/>
        </w:rPr>
      </w:pPr>
      <w:r w:rsidRPr="00E77B4B">
        <w:rPr>
          <w:noProof/>
          <w:color w:val="0070C0"/>
          <w:highlight w:val="yellow"/>
          <w:lang w:eastAsia="bg-BG"/>
        </w:rPr>
        <w:drawing>
          <wp:inline distT="0" distB="0" distL="0" distR="0" wp14:anchorId="36A5EC14" wp14:editId="165E842C">
            <wp:extent cx="6057900" cy="26670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957F1A" w14:textId="77777777" w:rsidR="00E16AF6" w:rsidRPr="0092172D" w:rsidRDefault="00E16AF6" w:rsidP="00E16AF6">
      <w:pPr>
        <w:ind w:left="360"/>
        <w:jc w:val="both"/>
        <w:rPr>
          <w:sz w:val="18"/>
          <w:szCs w:val="16"/>
        </w:rPr>
      </w:pPr>
      <w:r w:rsidRPr="0092172D">
        <w:rPr>
          <w:sz w:val="18"/>
          <w:szCs w:val="16"/>
          <w:lang w:val="ru-RU"/>
        </w:rPr>
        <w:t>*</w:t>
      </w:r>
      <w:r w:rsidRPr="0092172D">
        <w:rPr>
          <w:sz w:val="16"/>
          <w:szCs w:val="16"/>
          <w:lang w:val="ru-RU"/>
        </w:rPr>
        <w:t xml:space="preserve">  </w:t>
      </w:r>
      <w:r w:rsidRPr="0092172D">
        <w:rPr>
          <w:sz w:val="18"/>
          <w:szCs w:val="16"/>
        </w:rPr>
        <w:t xml:space="preserve">Вкл. нетния прираст на държавния резерв </w:t>
      </w:r>
    </w:p>
    <w:p w14:paraId="7A39E727" w14:textId="77777777" w:rsidR="00E16AF6" w:rsidRPr="00E77B4B" w:rsidRDefault="00E16AF6" w:rsidP="00E16AF6">
      <w:pPr>
        <w:spacing w:after="120"/>
        <w:jc w:val="both"/>
        <w:rPr>
          <w:color w:val="0070C0"/>
          <w:sz w:val="2"/>
        </w:rPr>
      </w:pPr>
    </w:p>
    <w:p w14:paraId="4D5CBD4D" w14:textId="77777777" w:rsidR="001F66D5" w:rsidRPr="00387A3E" w:rsidRDefault="001F66D5" w:rsidP="001F66D5">
      <w:pPr>
        <w:spacing w:after="120"/>
        <w:jc w:val="both"/>
        <w:rPr>
          <w:color w:val="0070C0"/>
          <w:sz w:val="2"/>
        </w:rPr>
      </w:pPr>
    </w:p>
    <w:p w14:paraId="79D71460" w14:textId="77777777" w:rsidR="001F66D5" w:rsidRPr="00387A3E" w:rsidRDefault="001F66D5" w:rsidP="001F66D5">
      <w:pPr>
        <w:spacing w:after="120"/>
        <w:jc w:val="both"/>
        <w:rPr>
          <w:color w:val="0070C0"/>
          <w:sz w:val="2"/>
        </w:rPr>
      </w:pPr>
    </w:p>
    <w:p w14:paraId="36A0769C" w14:textId="77777777" w:rsidR="007A0B0A" w:rsidRPr="00362186" w:rsidRDefault="007A0B0A" w:rsidP="00E86EAF">
      <w:pPr>
        <w:pStyle w:val="ListParagraph"/>
        <w:numPr>
          <w:ilvl w:val="0"/>
          <w:numId w:val="19"/>
        </w:numPr>
        <w:tabs>
          <w:tab w:val="left" w:pos="426"/>
        </w:tabs>
        <w:spacing w:before="240" w:line="240" w:lineRule="auto"/>
        <w:ind w:left="0" w:firstLine="0"/>
        <w:contextualSpacing w:val="0"/>
        <w:rPr>
          <w:rFonts w:ascii="Times New Roman" w:hAnsi="Times New Roman"/>
        </w:rPr>
      </w:pPr>
      <w:r w:rsidRPr="00362186">
        <w:rPr>
          <w:rFonts w:ascii="Times New Roman" w:hAnsi="Times New Roman"/>
          <w:b/>
        </w:rPr>
        <w:t>Частта от вноската на Република България в общия бюджет на ЕС</w:t>
      </w:r>
      <w:r w:rsidRPr="00362186">
        <w:rPr>
          <w:rFonts w:ascii="Times New Roman" w:hAnsi="Times New Roman"/>
        </w:rPr>
        <w:t>, изплатена към 30.09.2024</w:t>
      </w:r>
      <w:r w:rsidRPr="00362186">
        <w:rPr>
          <w:rFonts w:ascii="Times New Roman" w:hAnsi="Times New Roman"/>
          <w:lang w:val="en-US"/>
        </w:rPr>
        <w:t> </w:t>
      </w:r>
      <w:r w:rsidRPr="00362186">
        <w:rPr>
          <w:rFonts w:ascii="Times New Roman" w:hAnsi="Times New Roman"/>
        </w:rPr>
        <w:t xml:space="preserve">г. </w:t>
      </w:r>
      <w:r w:rsidRPr="00362186">
        <w:rPr>
          <w:rFonts w:ascii="Times New Roman" w:hAnsi="Times New Roman"/>
          <w:bCs/>
        </w:rPr>
        <w:t xml:space="preserve">от централния бюджет, възлиза на </w:t>
      </w:r>
      <w:r w:rsidRPr="00362186">
        <w:rPr>
          <w:rFonts w:ascii="Times New Roman" w:hAnsi="Times New Roman"/>
          <w:b/>
          <w:bCs/>
          <w:lang w:val="ru-RU"/>
        </w:rPr>
        <w:t xml:space="preserve">1 120,9 </w:t>
      </w:r>
      <w:r w:rsidRPr="00362186">
        <w:rPr>
          <w:rFonts w:ascii="Times New Roman" w:hAnsi="Times New Roman"/>
          <w:b/>
          <w:bCs/>
        </w:rPr>
        <w:t>млн. лв.</w:t>
      </w:r>
      <w:r w:rsidRPr="00362186">
        <w:rPr>
          <w:rFonts w:ascii="Times New Roman" w:hAnsi="Times New Roman"/>
          <w:bCs/>
        </w:rPr>
        <w:t>, което е в изпълнение на действащото към момента законодателство в областта на собствените ресурси на ЕС</w:t>
      </w:r>
      <w:r w:rsidRPr="00362186">
        <w:rPr>
          <w:rFonts w:ascii="Times New Roman" w:hAnsi="Times New Roman"/>
        </w:rPr>
        <w:t xml:space="preserve">. </w:t>
      </w:r>
    </w:p>
    <w:p w14:paraId="04E4F670" w14:textId="599FC4EA" w:rsidR="00F77552" w:rsidRPr="00601996" w:rsidRDefault="007A0B0A" w:rsidP="001A2571">
      <w:pPr>
        <w:jc w:val="both"/>
        <w:rPr>
          <w:bCs/>
        </w:rPr>
      </w:pPr>
      <w:r w:rsidRPr="00C6619C">
        <w:rPr>
          <w:b/>
        </w:rPr>
        <w:t xml:space="preserve">Бюджетното салдо </w:t>
      </w:r>
      <w:r w:rsidRPr="00C6619C">
        <w:rPr>
          <w:bCs/>
        </w:rPr>
        <w:t xml:space="preserve">по консолидираната фискална програма </w:t>
      </w:r>
      <w:r w:rsidRPr="00C6619C">
        <w:t>към септември 2024 г.</w:t>
      </w:r>
      <w:r w:rsidRPr="00C6619C">
        <w:rPr>
          <w:bCs/>
        </w:rPr>
        <w:t xml:space="preserve"> е отрицателно в размер на 2 829,9 млн. лв. (1,4 % от прогнозния БВП). </w:t>
      </w:r>
      <w:r w:rsidR="00F77552" w:rsidRPr="00D31EC8">
        <w:rPr>
          <w:bCs/>
        </w:rPr>
        <w:t>В мотивите към законопроекта за държавния бюджет за настоящата година е заложен индикативен размер на дефицита по КФП за годината в размер на 6</w:t>
      </w:r>
      <w:r w:rsidR="00F042BD" w:rsidRPr="00D31EC8">
        <w:rPr>
          <w:bCs/>
        </w:rPr>
        <w:t> </w:t>
      </w:r>
      <w:r w:rsidR="00F77552" w:rsidRPr="00D31EC8">
        <w:rPr>
          <w:bCs/>
        </w:rPr>
        <w:t>2</w:t>
      </w:r>
      <w:r w:rsidR="00F042BD" w:rsidRPr="00D31EC8">
        <w:rPr>
          <w:bCs/>
        </w:rPr>
        <w:t>19,3</w:t>
      </w:r>
      <w:r w:rsidR="00F77552" w:rsidRPr="00D31EC8">
        <w:rPr>
          <w:bCs/>
        </w:rPr>
        <w:t xml:space="preserve"> м</w:t>
      </w:r>
      <w:r w:rsidR="00F042BD" w:rsidRPr="00D31EC8">
        <w:rPr>
          <w:bCs/>
        </w:rPr>
        <w:t>лн</w:t>
      </w:r>
      <w:r w:rsidR="00F77552" w:rsidRPr="00D31EC8">
        <w:rPr>
          <w:bCs/>
        </w:rPr>
        <w:t>. лв. (3 на сто от прогнозния БВП</w:t>
      </w:r>
      <w:r w:rsidR="00F77552" w:rsidRPr="00601996">
        <w:rPr>
          <w:bCs/>
        </w:rPr>
        <w:t xml:space="preserve"> в макрорамката на бюджета). </w:t>
      </w:r>
    </w:p>
    <w:p w14:paraId="5ECEE361" w14:textId="77777777" w:rsidR="00F77552" w:rsidRPr="00601996" w:rsidRDefault="00F77552" w:rsidP="001A2571">
      <w:pPr>
        <w:jc w:val="both"/>
        <w:rPr>
          <w:bCs/>
          <w:sz w:val="2"/>
          <w:szCs w:val="2"/>
        </w:rPr>
      </w:pPr>
    </w:p>
    <w:p w14:paraId="41F5DF06" w14:textId="782FA668" w:rsidR="00F77552" w:rsidRPr="000D41A3" w:rsidRDefault="00F77552" w:rsidP="001A2571">
      <w:pPr>
        <w:spacing w:before="120"/>
        <w:jc w:val="both"/>
        <w:rPr>
          <w:bCs/>
        </w:rPr>
      </w:pPr>
      <w:r w:rsidRPr="00601996">
        <w:rPr>
          <w:bCs/>
        </w:rPr>
        <w:t>Освен регулярните месечни разходи за персонал, издръжка и тези в социалната сфера (за пенсии и здравноосигурителни плащания), през месец</w:t>
      </w:r>
      <w:r w:rsidR="00AC3F86">
        <w:rPr>
          <w:bCs/>
        </w:rPr>
        <w:t xml:space="preserve"> септември 2024 г.</w:t>
      </w:r>
      <w:r w:rsidRPr="00601996">
        <w:rPr>
          <w:bCs/>
        </w:rPr>
        <w:t xml:space="preserve"> бяха извършени и разходи по обслужване на държавния дълг, вкл. плащания за лихви (373</w:t>
      </w:r>
      <w:r>
        <w:rPr>
          <w:bCs/>
        </w:rPr>
        <w:t>,</w:t>
      </w:r>
      <w:r w:rsidRPr="00601996">
        <w:rPr>
          <w:bCs/>
        </w:rPr>
        <w:t>4 млн. лв.), социални плащания на МТСП (еднократни помощи на семейства с деца от първи до четвърти и осми клас за учебната 2024/2025 година, целеви помощи за новия отоплителен сезон, плащания по механизма за лична помощ по Закона за личната помощ и др.), и други.</w:t>
      </w:r>
    </w:p>
    <w:p w14:paraId="55F18003" w14:textId="16FD2891" w:rsidR="001F66D5" w:rsidRPr="00565218" w:rsidRDefault="001F66D5" w:rsidP="00E86EAF">
      <w:pPr>
        <w:numPr>
          <w:ilvl w:val="0"/>
          <w:numId w:val="7"/>
        </w:numPr>
        <w:tabs>
          <w:tab w:val="num" w:pos="0"/>
          <w:tab w:val="left" w:pos="426"/>
          <w:tab w:val="left" w:pos="720"/>
        </w:tabs>
        <w:spacing w:before="120" w:after="60"/>
        <w:ind w:left="0" w:firstLine="0"/>
        <w:jc w:val="both"/>
        <w:rPr>
          <w:sz w:val="22"/>
        </w:rPr>
      </w:pPr>
      <w:r w:rsidRPr="00565218">
        <w:rPr>
          <w:b/>
          <w:szCs w:val="28"/>
        </w:rPr>
        <w:t>Общият размер</w:t>
      </w:r>
      <w:r w:rsidRPr="00565218">
        <w:rPr>
          <w:bCs/>
          <w:sz w:val="22"/>
        </w:rPr>
        <w:t xml:space="preserve"> </w:t>
      </w:r>
      <w:r w:rsidRPr="00565218">
        <w:rPr>
          <w:b/>
          <w:bCs/>
          <w:szCs w:val="28"/>
        </w:rPr>
        <w:t>на касовите постъпления от ЕС</w:t>
      </w:r>
      <w:r w:rsidRPr="00565218">
        <w:rPr>
          <w:bCs/>
          <w:szCs w:val="28"/>
        </w:rPr>
        <w:t xml:space="preserve"> (от Структурните и Кохезионния фондове, от</w:t>
      </w:r>
      <w:r w:rsidRPr="00565218">
        <w:rPr>
          <w:szCs w:val="28"/>
        </w:rPr>
        <w:t xml:space="preserve"> ЕЗФРСР и ЕФМДР</w:t>
      </w:r>
      <w:r w:rsidRPr="00565218">
        <w:rPr>
          <w:bCs/>
          <w:szCs w:val="28"/>
        </w:rPr>
        <w:t xml:space="preserve">, от средства за директни плащания към земеделските производители и плащания по пазарни мерки и др.) за </w:t>
      </w:r>
      <w:r w:rsidR="008F320E" w:rsidRPr="00565218">
        <w:t xml:space="preserve">деветмесечието </w:t>
      </w:r>
      <w:r w:rsidRPr="00565218">
        <w:t>на 2024 </w:t>
      </w:r>
      <w:r w:rsidRPr="00565218">
        <w:rPr>
          <w:bCs/>
          <w:szCs w:val="28"/>
        </w:rPr>
        <w:t xml:space="preserve"> г. е </w:t>
      </w:r>
      <w:r w:rsidR="00565218" w:rsidRPr="00565218">
        <w:rPr>
          <w:b/>
          <w:bCs/>
          <w:szCs w:val="28"/>
        </w:rPr>
        <w:t>4 031,7</w:t>
      </w:r>
      <w:r w:rsidRPr="00565218">
        <w:rPr>
          <w:b/>
          <w:bCs/>
          <w:szCs w:val="28"/>
        </w:rPr>
        <w:t> млн. лв.</w:t>
      </w:r>
      <w:r w:rsidRPr="00565218">
        <w:rPr>
          <w:b/>
          <w:szCs w:val="28"/>
        </w:rPr>
        <w:t xml:space="preserve"> </w:t>
      </w:r>
      <w:r w:rsidRPr="00565218">
        <w:rPr>
          <w:b/>
          <w:bCs/>
          <w:szCs w:val="28"/>
        </w:rPr>
        <w:t>Нетните постъпления от ЕС към 30.0</w:t>
      </w:r>
      <w:r w:rsidR="00565218" w:rsidRPr="00565218">
        <w:rPr>
          <w:b/>
          <w:bCs/>
          <w:szCs w:val="28"/>
        </w:rPr>
        <w:t>9</w:t>
      </w:r>
      <w:r w:rsidRPr="00565218">
        <w:rPr>
          <w:b/>
          <w:bCs/>
          <w:szCs w:val="28"/>
        </w:rPr>
        <w:t xml:space="preserve">.2024 г. </w:t>
      </w:r>
      <w:r w:rsidRPr="00565218">
        <w:rPr>
          <w:bCs/>
          <w:szCs w:val="28"/>
        </w:rPr>
        <w:t xml:space="preserve">(касови постъпления от ЕС, намалени с вноската в общия бюджет на ЕС) са положителни в размер на </w:t>
      </w:r>
      <w:r w:rsidRPr="00565218">
        <w:rPr>
          <w:b/>
          <w:bCs/>
          <w:szCs w:val="28"/>
        </w:rPr>
        <w:t>2</w:t>
      </w:r>
      <w:r w:rsidR="00565218" w:rsidRPr="00565218">
        <w:rPr>
          <w:b/>
          <w:bCs/>
          <w:szCs w:val="28"/>
        </w:rPr>
        <w:t> 910,7</w:t>
      </w:r>
      <w:r w:rsidRPr="00565218">
        <w:rPr>
          <w:b/>
          <w:bCs/>
          <w:szCs w:val="28"/>
        </w:rPr>
        <w:t xml:space="preserve"> млн. лева</w:t>
      </w:r>
      <w:r w:rsidRPr="00565218">
        <w:rPr>
          <w:sz w:val="22"/>
        </w:rPr>
        <w:t>.</w:t>
      </w:r>
    </w:p>
    <w:p w14:paraId="2CC8D6AC" w14:textId="1871744F" w:rsidR="001F66D5" w:rsidRPr="00A23DE2" w:rsidRDefault="001F66D5" w:rsidP="00E86EAF">
      <w:pPr>
        <w:numPr>
          <w:ilvl w:val="2"/>
          <w:numId w:val="11"/>
        </w:numPr>
        <w:tabs>
          <w:tab w:val="left" w:pos="426"/>
        </w:tabs>
        <w:spacing w:before="120" w:after="240"/>
        <w:ind w:left="0" w:firstLine="0"/>
        <w:jc w:val="both"/>
        <w:rPr>
          <w:sz w:val="8"/>
          <w:szCs w:val="8"/>
        </w:rPr>
      </w:pPr>
      <w:r w:rsidRPr="00A23DE2">
        <w:rPr>
          <w:b/>
        </w:rPr>
        <w:t>Фискалният резерв</w:t>
      </w:r>
      <w:r w:rsidRPr="00A23DE2">
        <w:rPr>
          <w:b/>
          <w:bCs/>
          <w:vertAlign w:val="superscript"/>
          <w:lang w:eastAsia="bg-BG"/>
        </w:rPr>
        <w:footnoteReference w:id="5"/>
      </w:r>
      <w:r w:rsidRPr="00A23DE2">
        <w:rPr>
          <w:bCs/>
          <w:lang w:eastAsia="bg-BG"/>
        </w:rPr>
        <w:t xml:space="preserve"> </w:t>
      </w:r>
      <w:r w:rsidRPr="00A23DE2">
        <w:rPr>
          <w:bCs/>
        </w:rPr>
        <w:t>към 30.0</w:t>
      </w:r>
      <w:r w:rsidR="00A23DE2">
        <w:rPr>
          <w:bCs/>
        </w:rPr>
        <w:t>9</w:t>
      </w:r>
      <w:r w:rsidRPr="00A23DE2">
        <w:rPr>
          <w:bCs/>
        </w:rPr>
        <w:t xml:space="preserve">.2024 г. е </w:t>
      </w:r>
      <w:r w:rsidR="00A23DE2" w:rsidRPr="00A23DE2">
        <w:rPr>
          <w:b/>
          <w:bCs/>
        </w:rPr>
        <w:t>14 838,2 млн. лв</w:t>
      </w:r>
      <w:r w:rsidR="00A23DE2" w:rsidRPr="00A23DE2">
        <w:rPr>
          <w:bCs/>
        </w:rPr>
        <w:t>., в т. ч. 13 401,6  млн. лв. депозити на фискалния резерв в БНБ и банки и 1 436,6 млн. лв. вземания от фондовете на Европейския съюз за сертифицирани разходи, аванси и други</w:t>
      </w:r>
      <w:r w:rsidRPr="00A23DE2">
        <w:rPr>
          <w:bCs/>
          <w:lang w:eastAsia="bg-BG"/>
        </w:rPr>
        <w:t>.</w:t>
      </w:r>
      <w:r w:rsidRPr="00A23DE2">
        <w:rPr>
          <w:bCs/>
        </w:rPr>
        <w:t xml:space="preserve"> </w:t>
      </w:r>
    </w:p>
    <w:p w14:paraId="2FE04752" w14:textId="77777777" w:rsidR="001F66D5" w:rsidRPr="00387A3E" w:rsidRDefault="001F66D5" w:rsidP="001F66D5">
      <w:pPr>
        <w:tabs>
          <w:tab w:val="left" w:pos="426"/>
        </w:tabs>
        <w:spacing w:before="120" w:after="120"/>
        <w:jc w:val="both"/>
        <w:rPr>
          <w:color w:val="0070C0"/>
          <w:sz w:val="8"/>
          <w:szCs w:val="8"/>
        </w:rPr>
      </w:pPr>
    </w:p>
    <w:p w14:paraId="4A1CEF87" w14:textId="77777777" w:rsidR="001F66D5" w:rsidRPr="00387A3E" w:rsidRDefault="001F66D5" w:rsidP="001F66D5">
      <w:pPr>
        <w:tabs>
          <w:tab w:val="left" w:pos="426"/>
        </w:tabs>
        <w:spacing w:before="120" w:after="120"/>
        <w:jc w:val="both"/>
        <w:rPr>
          <w:color w:val="0070C0"/>
          <w:sz w:val="8"/>
          <w:szCs w:val="8"/>
        </w:rPr>
      </w:pPr>
    </w:p>
    <w:p w14:paraId="531DE69B" w14:textId="77777777" w:rsidR="001F66D5" w:rsidRPr="00387A3E" w:rsidRDefault="001F66D5" w:rsidP="001F66D5">
      <w:pPr>
        <w:rPr>
          <w:color w:val="0070C0"/>
          <w:sz w:val="8"/>
          <w:szCs w:val="8"/>
        </w:rPr>
      </w:pPr>
      <w:r w:rsidRPr="00387A3E">
        <w:rPr>
          <w:color w:val="0070C0"/>
          <w:sz w:val="8"/>
          <w:szCs w:val="8"/>
        </w:rPr>
        <w:br w:type="page"/>
      </w:r>
    </w:p>
    <w:p w14:paraId="3D24BCF9" w14:textId="3B801275" w:rsidR="001F66D5" w:rsidRPr="00EF72DF" w:rsidRDefault="001F66D5" w:rsidP="00E86EAF">
      <w:pPr>
        <w:keepNext/>
        <w:numPr>
          <w:ilvl w:val="0"/>
          <w:numId w:val="8"/>
        </w:numPr>
        <w:spacing w:before="360"/>
        <w:ind w:right="-108"/>
        <w:jc w:val="both"/>
        <w:outlineLvl w:val="0"/>
        <w:rPr>
          <w:b/>
          <w:bCs/>
        </w:rPr>
      </w:pPr>
      <w:r w:rsidRPr="00EF72DF">
        <w:rPr>
          <w:b/>
          <w:bCs/>
        </w:rPr>
        <w:t>Изпълнение на държавния бюджет</w:t>
      </w:r>
      <w:r w:rsidRPr="00EF72DF">
        <w:rPr>
          <w:b/>
          <w:sz w:val="20"/>
          <w:szCs w:val="20"/>
          <w:vertAlign w:val="superscript"/>
        </w:rPr>
        <w:footnoteReference w:id="6"/>
      </w:r>
      <w:r w:rsidRPr="00EF72DF">
        <w:rPr>
          <w:b/>
          <w:bCs/>
        </w:rPr>
        <w:t xml:space="preserve"> за </w:t>
      </w:r>
      <w:r w:rsidR="00EF72DF" w:rsidRPr="00EF72DF">
        <w:rPr>
          <w:b/>
          <w:bCs/>
        </w:rPr>
        <w:t xml:space="preserve">деветмесечието </w:t>
      </w:r>
      <w:r w:rsidRPr="00EF72DF">
        <w:rPr>
          <w:b/>
          <w:bCs/>
        </w:rPr>
        <w:t>на 2024 г.</w:t>
      </w:r>
    </w:p>
    <w:p w14:paraId="3B2C84A9" w14:textId="77777777" w:rsidR="00E86EAF" w:rsidRPr="003D30CD" w:rsidRDefault="00E86EAF" w:rsidP="00E86EAF">
      <w:pPr>
        <w:pStyle w:val="BodyTextIndent"/>
        <w:tabs>
          <w:tab w:val="left" w:pos="1080"/>
        </w:tabs>
        <w:spacing w:before="120" w:after="0"/>
        <w:ind w:left="0"/>
        <w:jc w:val="both"/>
      </w:pPr>
      <w:r w:rsidRPr="003D30CD">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35EA0F7A" w14:textId="77777777" w:rsidR="00E86EAF" w:rsidRPr="00387A3E" w:rsidRDefault="00E86EAF" w:rsidP="00E86EAF">
      <w:pPr>
        <w:spacing w:after="120"/>
        <w:ind w:right="-244"/>
        <w:rPr>
          <w:b/>
          <w:bCs/>
          <w:color w:val="0070C0"/>
          <w:sz w:val="20"/>
          <w:szCs w:val="20"/>
        </w:rPr>
      </w:pPr>
      <w:r w:rsidRPr="00387A3E">
        <w:rPr>
          <w:b/>
          <w:bCs/>
          <w:color w:val="0070C0"/>
          <w:sz w:val="20"/>
          <w:szCs w:val="20"/>
        </w:rPr>
        <w:t xml:space="preserve">          </w:t>
      </w:r>
    </w:p>
    <w:p w14:paraId="6F608B1E" w14:textId="77777777" w:rsidR="00E86EAF" w:rsidRPr="002F6170" w:rsidRDefault="00E86EAF" w:rsidP="00E86EAF">
      <w:pPr>
        <w:spacing w:after="120"/>
        <w:ind w:right="-244" w:firstLine="284"/>
        <w:rPr>
          <w:b/>
          <w:bCs/>
          <w:sz w:val="20"/>
          <w:szCs w:val="20"/>
          <w:lang w:eastAsia="bg-BG"/>
        </w:rPr>
      </w:pPr>
      <w:r w:rsidRPr="002F6170">
        <w:rPr>
          <w:b/>
          <w:bCs/>
          <w:sz w:val="20"/>
          <w:szCs w:val="20"/>
          <w:lang w:eastAsia="bg-BG"/>
        </w:rPr>
        <w:t>Таблица</w:t>
      </w:r>
      <w:r w:rsidRPr="002F6170">
        <w:rPr>
          <w:vertAlign w:val="superscript"/>
          <w:lang w:eastAsia="bg-BG"/>
        </w:rPr>
        <w:footnoteReference w:id="7"/>
      </w:r>
      <w:r w:rsidRPr="002F6170">
        <w:rPr>
          <w:b/>
          <w:bCs/>
          <w:sz w:val="20"/>
          <w:szCs w:val="20"/>
          <w:lang w:eastAsia="bg-BG"/>
        </w:rPr>
        <w:t xml:space="preserve">        </w:t>
      </w:r>
      <w:r w:rsidRPr="002F6170">
        <w:rPr>
          <w:b/>
          <w:bCs/>
          <w:sz w:val="20"/>
          <w:szCs w:val="20"/>
          <w:lang w:eastAsia="bg-BG"/>
        </w:rPr>
        <w:tab/>
      </w:r>
      <w:r w:rsidRPr="002F6170">
        <w:rPr>
          <w:b/>
          <w:bCs/>
          <w:sz w:val="20"/>
          <w:szCs w:val="20"/>
          <w:lang w:eastAsia="bg-BG"/>
        </w:rPr>
        <w:tab/>
        <w:t xml:space="preserve">                                          </w:t>
      </w:r>
      <w:r w:rsidRPr="002F6170">
        <w:rPr>
          <w:b/>
          <w:bCs/>
          <w:sz w:val="20"/>
          <w:szCs w:val="20"/>
          <w:lang w:eastAsia="bg-BG"/>
        </w:rPr>
        <w:tab/>
      </w:r>
      <w:r w:rsidRPr="002F6170">
        <w:rPr>
          <w:b/>
          <w:bCs/>
          <w:sz w:val="20"/>
          <w:szCs w:val="20"/>
          <w:lang w:eastAsia="bg-BG"/>
        </w:rPr>
        <w:tab/>
      </w:r>
      <w:r w:rsidRPr="002F6170">
        <w:rPr>
          <w:b/>
          <w:bCs/>
          <w:sz w:val="20"/>
          <w:szCs w:val="20"/>
          <w:lang w:eastAsia="bg-BG"/>
        </w:rPr>
        <w:tab/>
      </w:r>
      <w:r w:rsidRPr="002F6170">
        <w:rPr>
          <w:b/>
          <w:bCs/>
          <w:sz w:val="20"/>
          <w:szCs w:val="20"/>
          <w:lang w:eastAsia="bg-BG"/>
        </w:rPr>
        <w:tab/>
      </w:r>
      <w:r w:rsidRPr="002F6170">
        <w:rPr>
          <w:b/>
          <w:bCs/>
          <w:sz w:val="20"/>
          <w:szCs w:val="20"/>
          <w:lang w:eastAsia="bg-BG"/>
        </w:rPr>
        <w:tab/>
        <w:t xml:space="preserve">         (млн. лв.)</w:t>
      </w: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E86EAF" w:rsidRPr="002F6170" w14:paraId="1F702856" w14:textId="77777777" w:rsidTr="009543C0">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65C5E8E5" w14:textId="77777777" w:rsidR="00E86EAF" w:rsidRPr="002F6170" w:rsidRDefault="00E86EAF" w:rsidP="009543C0">
            <w:pPr>
              <w:jc w:val="center"/>
              <w:rPr>
                <w:b/>
                <w:bCs/>
                <w:sz w:val="18"/>
                <w:szCs w:val="18"/>
                <w:lang w:eastAsia="bg-BG"/>
              </w:rPr>
            </w:pPr>
            <w:r w:rsidRPr="002F6170">
              <w:rPr>
                <w:b/>
                <w:bCs/>
                <w:sz w:val="18"/>
                <w:szCs w:val="18"/>
                <w:lang w:eastAsia="bg-BG"/>
              </w:rPr>
              <w:t>ПОКАЗАТЕЛИ</w:t>
            </w:r>
          </w:p>
        </w:tc>
        <w:tc>
          <w:tcPr>
            <w:tcW w:w="1276" w:type="dxa"/>
            <w:tcBorders>
              <w:top w:val="single" w:sz="8" w:space="0" w:color="auto"/>
              <w:left w:val="nil"/>
              <w:bottom w:val="single" w:sz="4" w:space="0" w:color="auto"/>
              <w:right w:val="nil"/>
            </w:tcBorders>
            <w:shd w:val="clear" w:color="auto" w:fill="auto"/>
            <w:vAlign w:val="center"/>
          </w:tcPr>
          <w:p w14:paraId="748481B7" w14:textId="77777777" w:rsidR="00E86EAF" w:rsidRPr="002F6170" w:rsidRDefault="00E86EAF" w:rsidP="009543C0">
            <w:pPr>
              <w:jc w:val="center"/>
              <w:rPr>
                <w:b/>
                <w:bCs/>
                <w:sz w:val="18"/>
                <w:szCs w:val="18"/>
                <w:lang w:eastAsia="bg-BG"/>
              </w:rPr>
            </w:pPr>
            <w:r w:rsidRPr="002F6170">
              <w:rPr>
                <w:b/>
                <w:bCs/>
                <w:sz w:val="18"/>
                <w:szCs w:val="18"/>
                <w:lang w:eastAsia="bg-BG"/>
              </w:rPr>
              <w:t xml:space="preserve">ЗДБРБ    </w:t>
            </w:r>
            <w:r w:rsidRPr="002F6170">
              <w:rPr>
                <w:b/>
                <w:bCs/>
                <w:sz w:val="18"/>
                <w:szCs w:val="18"/>
                <w:highlight w:val="yellow"/>
                <w:lang w:eastAsia="bg-BG"/>
              </w:rPr>
              <w:t xml:space="preserve"> </w:t>
            </w:r>
            <w:r w:rsidRPr="002F6170">
              <w:rPr>
                <w:b/>
                <w:bCs/>
                <w:sz w:val="18"/>
                <w:szCs w:val="18"/>
                <w:lang w:eastAsia="bg-BG"/>
              </w:rPr>
              <w:t>2024 г.</w:t>
            </w:r>
          </w:p>
        </w:tc>
        <w:tc>
          <w:tcPr>
            <w:tcW w:w="1616" w:type="dxa"/>
            <w:tcBorders>
              <w:top w:val="single" w:sz="8" w:space="0" w:color="auto"/>
              <w:left w:val="nil"/>
              <w:bottom w:val="single" w:sz="4" w:space="0" w:color="auto"/>
              <w:right w:val="nil"/>
            </w:tcBorders>
            <w:shd w:val="clear" w:color="auto" w:fill="auto"/>
            <w:vAlign w:val="center"/>
          </w:tcPr>
          <w:p w14:paraId="1A71323C" w14:textId="77777777" w:rsidR="00E86EAF" w:rsidRPr="002F6170" w:rsidRDefault="00E86EAF" w:rsidP="009543C0">
            <w:pPr>
              <w:jc w:val="center"/>
              <w:rPr>
                <w:b/>
                <w:bCs/>
                <w:sz w:val="18"/>
                <w:szCs w:val="18"/>
                <w:lang w:eastAsia="bg-BG"/>
              </w:rPr>
            </w:pPr>
            <w:r w:rsidRPr="002F6170">
              <w:rPr>
                <w:b/>
                <w:bCs/>
                <w:sz w:val="18"/>
                <w:szCs w:val="18"/>
                <w:lang w:eastAsia="bg-BG"/>
              </w:rPr>
              <w:t xml:space="preserve">Отчет </w:t>
            </w:r>
          </w:p>
          <w:p w14:paraId="03A0D8E1" w14:textId="77777777" w:rsidR="00E86EAF" w:rsidRPr="002F6170" w:rsidRDefault="00E86EAF" w:rsidP="009543C0">
            <w:pPr>
              <w:jc w:val="center"/>
              <w:rPr>
                <w:b/>
                <w:bCs/>
                <w:sz w:val="18"/>
                <w:szCs w:val="18"/>
                <w:lang w:eastAsia="bg-BG"/>
              </w:rPr>
            </w:pPr>
            <w:r w:rsidRPr="002F6170">
              <w:rPr>
                <w:b/>
                <w:bCs/>
                <w:sz w:val="18"/>
                <w:szCs w:val="18"/>
                <w:lang w:eastAsia="bg-BG"/>
              </w:rPr>
              <w:t>септември 2024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4CACE23D" w14:textId="77777777" w:rsidR="00E86EAF" w:rsidRPr="002F6170" w:rsidRDefault="00E86EAF" w:rsidP="009543C0">
            <w:pPr>
              <w:jc w:val="center"/>
              <w:rPr>
                <w:b/>
                <w:bCs/>
                <w:sz w:val="18"/>
                <w:szCs w:val="18"/>
                <w:lang w:eastAsia="bg-BG"/>
              </w:rPr>
            </w:pPr>
            <w:r w:rsidRPr="002F6170">
              <w:rPr>
                <w:b/>
                <w:bCs/>
                <w:sz w:val="18"/>
                <w:szCs w:val="18"/>
                <w:lang w:eastAsia="bg-BG"/>
              </w:rPr>
              <w:t>Изпълнение спрямо ЗДБРБ 2024 г.</w:t>
            </w:r>
          </w:p>
        </w:tc>
      </w:tr>
      <w:tr w:rsidR="00E86EAF" w:rsidRPr="002F6170" w14:paraId="40D7269C" w14:textId="77777777" w:rsidTr="009543C0">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CC82D7B" w14:textId="77777777" w:rsidR="00E86EAF" w:rsidRPr="002F6170" w:rsidRDefault="00E86EAF" w:rsidP="009543C0">
            <w:pPr>
              <w:rPr>
                <w:b/>
                <w:bCs/>
                <w:sz w:val="18"/>
                <w:szCs w:val="18"/>
                <w:lang w:eastAsia="bg-BG"/>
              </w:rPr>
            </w:pPr>
            <w:r w:rsidRPr="002F6170">
              <w:rPr>
                <w:b/>
                <w:bCs/>
                <w:sz w:val="18"/>
                <w:szCs w:val="18"/>
                <w:lang w:eastAsia="bg-BG"/>
              </w:rPr>
              <w:t>Общо приходи, помощи и дарения</w:t>
            </w:r>
          </w:p>
        </w:tc>
        <w:tc>
          <w:tcPr>
            <w:tcW w:w="1276" w:type="dxa"/>
            <w:tcBorders>
              <w:top w:val="nil"/>
              <w:left w:val="nil"/>
              <w:bottom w:val="nil"/>
              <w:right w:val="nil"/>
            </w:tcBorders>
            <w:shd w:val="clear" w:color="auto" w:fill="auto"/>
            <w:noWrap/>
            <w:vAlign w:val="bottom"/>
          </w:tcPr>
          <w:p w14:paraId="1685910B" w14:textId="77777777" w:rsidR="00E86EAF" w:rsidRPr="002F6170" w:rsidRDefault="00E86EAF" w:rsidP="009543C0">
            <w:pPr>
              <w:jc w:val="right"/>
              <w:rPr>
                <w:b/>
                <w:bCs/>
                <w:sz w:val="18"/>
                <w:szCs w:val="18"/>
                <w:lang w:eastAsia="bg-BG"/>
              </w:rPr>
            </w:pPr>
            <w:r w:rsidRPr="002F6170">
              <w:rPr>
                <w:b/>
                <w:bCs/>
                <w:sz w:val="18"/>
                <w:szCs w:val="18"/>
                <w:lang w:eastAsia="bg-BG"/>
              </w:rPr>
              <w:t>43 406,5</w:t>
            </w:r>
          </w:p>
        </w:tc>
        <w:tc>
          <w:tcPr>
            <w:tcW w:w="1616" w:type="dxa"/>
            <w:tcBorders>
              <w:top w:val="nil"/>
              <w:left w:val="nil"/>
              <w:bottom w:val="nil"/>
              <w:right w:val="nil"/>
            </w:tcBorders>
            <w:shd w:val="clear" w:color="auto" w:fill="auto"/>
            <w:noWrap/>
            <w:vAlign w:val="bottom"/>
          </w:tcPr>
          <w:p w14:paraId="1D19FFCE" w14:textId="77777777" w:rsidR="00E86EAF" w:rsidRPr="002F6170" w:rsidRDefault="00E86EAF" w:rsidP="009543C0">
            <w:pPr>
              <w:jc w:val="right"/>
              <w:rPr>
                <w:b/>
                <w:bCs/>
                <w:sz w:val="18"/>
                <w:szCs w:val="18"/>
                <w:lang w:eastAsia="bg-BG"/>
              </w:rPr>
            </w:pPr>
            <w:r w:rsidRPr="002F6170">
              <w:rPr>
                <w:b/>
                <w:bCs/>
                <w:sz w:val="18"/>
                <w:szCs w:val="18"/>
                <w:lang w:eastAsia="bg-BG"/>
              </w:rPr>
              <w:t>31 206,3</w:t>
            </w:r>
          </w:p>
        </w:tc>
        <w:tc>
          <w:tcPr>
            <w:tcW w:w="1304" w:type="dxa"/>
            <w:tcBorders>
              <w:top w:val="single" w:sz="4" w:space="0" w:color="auto"/>
              <w:left w:val="nil"/>
              <w:bottom w:val="nil"/>
              <w:right w:val="single" w:sz="8" w:space="0" w:color="auto"/>
            </w:tcBorders>
            <w:shd w:val="clear" w:color="auto" w:fill="auto"/>
            <w:noWrap/>
            <w:vAlign w:val="bottom"/>
          </w:tcPr>
          <w:p w14:paraId="09774D24" w14:textId="77777777" w:rsidR="00E86EAF" w:rsidRPr="002F6170" w:rsidRDefault="00E86EAF" w:rsidP="009543C0">
            <w:pPr>
              <w:jc w:val="right"/>
              <w:rPr>
                <w:b/>
                <w:bCs/>
                <w:sz w:val="18"/>
                <w:szCs w:val="18"/>
                <w:lang w:eastAsia="bg-BG"/>
              </w:rPr>
            </w:pPr>
            <w:r w:rsidRPr="002F6170">
              <w:rPr>
                <w:b/>
                <w:bCs/>
                <w:sz w:val="18"/>
                <w:szCs w:val="18"/>
                <w:lang w:eastAsia="bg-BG"/>
              </w:rPr>
              <w:t>71,9%</w:t>
            </w:r>
          </w:p>
        </w:tc>
      </w:tr>
      <w:tr w:rsidR="00E86EAF" w:rsidRPr="002F6170" w14:paraId="4A21CE0C" w14:textId="77777777" w:rsidTr="009543C0">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18F101EB" w14:textId="77777777" w:rsidR="00E86EAF" w:rsidRPr="002F6170" w:rsidRDefault="00E86EAF" w:rsidP="009543C0">
            <w:pPr>
              <w:rPr>
                <w:sz w:val="18"/>
                <w:szCs w:val="18"/>
                <w:lang w:eastAsia="bg-BG"/>
              </w:rPr>
            </w:pPr>
            <w:r w:rsidRPr="002F6170">
              <w:rPr>
                <w:sz w:val="18"/>
                <w:szCs w:val="18"/>
                <w:lang w:eastAsia="bg-BG"/>
              </w:rPr>
              <w:t xml:space="preserve">   -Данъчни приходи</w:t>
            </w:r>
          </w:p>
        </w:tc>
        <w:tc>
          <w:tcPr>
            <w:tcW w:w="1276" w:type="dxa"/>
            <w:tcBorders>
              <w:top w:val="single" w:sz="4" w:space="0" w:color="auto"/>
              <w:left w:val="nil"/>
              <w:right w:val="nil"/>
            </w:tcBorders>
            <w:shd w:val="clear" w:color="auto" w:fill="auto"/>
            <w:noWrap/>
            <w:vAlign w:val="bottom"/>
          </w:tcPr>
          <w:p w14:paraId="70E366A4" w14:textId="77777777" w:rsidR="00E86EAF" w:rsidRPr="002F6170" w:rsidRDefault="00E86EAF" w:rsidP="009543C0">
            <w:pPr>
              <w:jc w:val="right"/>
              <w:rPr>
                <w:sz w:val="18"/>
                <w:szCs w:val="18"/>
                <w:lang w:eastAsia="bg-BG"/>
              </w:rPr>
            </w:pPr>
            <w:r w:rsidRPr="002F6170">
              <w:rPr>
                <w:sz w:val="18"/>
                <w:szCs w:val="18"/>
                <w:lang w:eastAsia="bg-BG"/>
              </w:rPr>
              <w:t>38 616,0</w:t>
            </w:r>
          </w:p>
        </w:tc>
        <w:tc>
          <w:tcPr>
            <w:tcW w:w="1616" w:type="dxa"/>
            <w:tcBorders>
              <w:top w:val="single" w:sz="4" w:space="0" w:color="auto"/>
              <w:left w:val="nil"/>
              <w:bottom w:val="nil"/>
              <w:right w:val="nil"/>
            </w:tcBorders>
            <w:shd w:val="clear" w:color="auto" w:fill="auto"/>
            <w:noWrap/>
            <w:vAlign w:val="bottom"/>
          </w:tcPr>
          <w:p w14:paraId="5EE58C59" w14:textId="77777777" w:rsidR="00E86EAF" w:rsidRPr="002F6170" w:rsidRDefault="00E86EAF" w:rsidP="009543C0">
            <w:pPr>
              <w:jc w:val="right"/>
              <w:rPr>
                <w:sz w:val="18"/>
                <w:szCs w:val="18"/>
                <w:lang w:eastAsia="bg-BG"/>
              </w:rPr>
            </w:pPr>
            <w:r w:rsidRPr="002F6170">
              <w:rPr>
                <w:sz w:val="18"/>
                <w:szCs w:val="18"/>
                <w:lang w:eastAsia="bg-BG"/>
              </w:rPr>
              <w:t>27 439,5</w:t>
            </w:r>
          </w:p>
        </w:tc>
        <w:tc>
          <w:tcPr>
            <w:tcW w:w="1304" w:type="dxa"/>
            <w:tcBorders>
              <w:top w:val="single" w:sz="4" w:space="0" w:color="auto"/>
              <w:left w:val="nil"/>
              <w:bottom w:val="nil"/>
              <w:right w:val="single" w:sz="8" w:space="0" w:color="auto"/>
            </w:tcBorders>
            <w:shd w:val="clear" w:color="auto" w:fill="auto"/>
            <w:noWrap/>
            <w:vAlign w:val="bottom"/>
          </w:tcPr>
          <w:p w14:paraId="27462C64" w14:textId="77777777" w:rsidR="00E86EAF" w:rsidRPr="002F6170" w:rsidRDefault="00E86EAF" w:rsidP="009543C0">
            <w:pPr>
              <w:jc w:val="right"/>
              <w:rPr>
                <w:sz w:val="18"/>
                <w:szCs w:val="18"/>
                <w:lang w:eastAsia="bg-BG"/>
              </w:rPr>
            </w:pPr>
            <w:r w:rsidRPr="002F6170">
              <w:rPr>
                <w:sz w:val="18"/>
                <w:szCs w:val="18"/>
                <w:lang w:eastAsia="bg-BG"/>
              </w:rPr>
              <w:t>71,1%</w:t>
            </w:r>
          </w:p>
        </w:tc>
      </w:tr>
      <w:tr w:rsidR="00E86EAF" w:rsidRPr="002F6170" w14:paraId="0B479AD5" w14:textId="77777777" w:rsidTr="009543C0">
        <w:trPr>
          <w:trHeight w:val="80"/>
          <w:jc w:val="center"/>
        </w:trPr>
        <w:tc>
          <w:tcPr>
            <w:tcW w:w="4854" w:type="dxa"/>
            <w:tcBorders>
              <w:left w:val="single" w:sz="8" w:space="0" w:color="auto"/>
              <w:right w:val="single" w:sz="8" w:space="0" w:color="auto"/>
            </w:tcBorders>
            <w:shd w:val="clear" w:color="auto" w:fill="auto"/>
            <w:noWrap/>
            <w:vAlign w:val="bottom"/>
          </w:tcPr>
          <w:p w14:paraId="0DEA7469" w14:textId="77777777" w:rsidR="00E86EAF" w:rsidRPr="002F6170" w:rsidRDefault="00E86EAF" w:rsidP="009543C0">
            <w:pPr>
              <w:rPr>
                <w:sz w:val="18"/>
                <w:szCs w:val="18"/>
                <w:lang w:eastAsia="bg-BG"/>
              </w:rPr>
            </w:pPr>
            <w:r w:rsidRPr="002F6170">
              <w:rPr>
                <w:sz w:val="18"/>
                <w:szCs w:val="18"/>
                <w:lang w:eastAsia="bg-BG"/>
              </w:rPr>
              <w:t xml:space="preserve">      Преки </w:t>
            </w:r>
          </w:p>
        </w:tc>
        <w:tc>
          <w:tcPr>
            <w:tcW w:w="1276" w:type="dxa"/>
            <w:tcBorders>
              <w:left w:val="nil"/>
              <w:bottom w:val="nil"/>
              <w:right w:val="nil"/>
            </w:tcBorders>
            <w:shd w:val="clear" w:color="auto" w:fill="auto"/>
            <w:noWrap/>
            <w:vAlign w:val="bottom"/>
          </w:tcPr>
          <w:p w14:paraId="76808FA5" w14:textId="77777777" w:rsidR="00E86EAF" w:rsidRPr="002F6170" w:rsidRDefault="00E86EAF" w:rsidP="009543C0">
            <w:pPr>
              <w:jc w:val="right"/>
              <w:rPr>
                <w:sz w:val="18"/>
                <w:szCs w:val="18"/>
                <w:lang w:eastAsia="bg-BG"/>
              </w:rPr>
            </w:pPr>
            <w:r w:rsidRPr="002F6170">
              <w:rPr>
                <w:sz w:val="18"/>
                <w:szCs w:val="18"/>
                <w:lang w:eastAsia="bg-BG"/>
              </w:rPr>
              <w:t>12 835,0</w:t>
            </w:r>
          </w:p>
        </w:tc>
        <w:tc>
          <w:tcPr>
            <w:tcW w:w="1616" w:type="dxa"/>
            <w:tcBorders>
              <w:left w:val="nil"/>
              <w:bottom w:val="nil"/>
              <w:right w:val="nil"/>
            </w:tcBorders>
            <w:shd w:val="clear" w:color="auto" w:fill="auto"/>
            <w:noWrap/>
            <w:vAlign w:val="bottom"/>
          </w:tcPr>
          <w:p w14:paraId="3D13B34A" w14:textId="77777777" w:rsidR="00E86EAF" w:rsidRPr="002F6170" w:rsidRDefault="00E86EAF" w:rsidP="009543C0">
            <w:pPr>
              <w:jc w:val="right"/>
              <w:rPr>
                <w:sz w:val="18"/>
                <w:szCs w:val="18"/>
                <w:lang w:eastAsia="bg-BG"/>
              </w:rPr>
            </w:pPr>
            <w:r w:rsidRPr="002F6170">
              <w:rPr>
                <w:sz w:val="18"/>
                <w:szCs w:val="18"/>
                <w:lang w:eastAsia="bg-BG"/>
              </w:rPr>
              <w:t>8 404,8</w:t>
            </w:r>
          </w:p>
        </w:tc>
        <w:tc>
          <w:tcPr>
            <w:tcW w:w="1304" w:type="dxa"/>
            <w:tcBorders>
              <w:left w:val="nil"/>
              <w:bottom w:val="nil"/>
              <w:right w:val="single" w:sz="8" w:space="0" w:color="auto"/>
            </w:tcBorders>
            <w:shd w:val="clear" w:color="auto" w:fill="auto"/>
            <w:noWrap/>
            <w:vAlign w:val="bottom"/>
          </w:tcPr>
          <w:p w14:paraId="37D1EB96" w14:textId="77777777" w:rsidR="00E86EAF" w:rsidRPr="002F6170" w:rsidRDefault="00E86EAF" w:rsidP="009543C0">
            <w:pPr>
              <w:jc w:val="right"/>
              <w:rPr>
                <w:sz w:val="18"/>
                <w:szCs w:val="18"/>
                <w:lang w:eastAsia="bg-BG"/>
              </w:rPr>
            </w:pPr>
            <w:r w:rsidRPr="002F6170">
              <w:rPr>
                <w:sz w:val="18"/>
                <w:szCs w:val="18"/>
                <w:lang w:eastAsia="bg-BG"/>
              </w:rPr>
              <w:t>65,5%</w:t>
            </w:r>
          </w:p>
        </w:tc>
      </w:tr>
      <w:tr w:rsidR="00E86EAF" w:rsidRPr="002F6170" w14:paraId="7495F049" w14:textId="77777777" w:rsidTr="009543C0">
        <w:trPr>
          <w:trHeight w:val="165"/>
          <w:jc w:val="center"/>
        </w:trPr>
        <w:tc>
          <w:tcPr>
            <w:tcW w:w="4854" w:type="dxa"/>
            <w:tcBorders>
              <w:left w:val="single" w:sz="8" w:space="0" w:color="auto"/>
              <w:right w:val="single" w:sz="8" w:space="0" w:color="auto"/>
            </w:tcBorders>
            <w:shd w:val="clear" w:color="auto" w:fill="auto"/>
            <w:noWrap/>
            <w:vAlign w:val="bottom"/>
          </w:tcPr>
          <w:p w14:paraId="550B9FD7" w14:textId="77777777" w:rsidR="00E86EAF" w:rsidRPr="002F6170" w:rsidRDefault="00E86EAF" w:rsidP="009543C0">
            <w:pPr>
              <w:rPr>
                <w:sz w:val="18"/>
                <w:szCs w:val="18"/>
                <w:lang w:eastAsia="bg-BG"/>
              </w:rPr>
            </w:pPr>
            <w:r w:rsidRPr="002F6170">
              <w:rPr>
                <w:sz w:val="18"/>
                <w:szCs w:val="18"/>
                <w:lang w:eastAsia="bg-BG"/>
              </w:rPr>
              <w:t xml:space="preserve">     </w:t>
            </w:r>
            <w:r w:rsidRPr="002F6170">
              <w:rPr>
                <w:sz w:val="18"/>
                <w:szCs w:val="18"/>
                <w:lang w:val="en-US" w:eastAsia="bg-BG"/>
              </w:rPr>
              <w:t xml:space="preserve"> </w:t>
            </w:r>
            <w:r w:rsidRPr="002F6170">
              <w:rPr>
                <w:sz w:val="18"/>
                <w:szCs w:val="18"/>
                <w:lang w:eastAsia="bg-BG"/>
              </w:rPr>
              <w:t xml:space="preserve">Косвени </w:t>
            </w:r>
          </w:p>
        </w:tc>
        <w:tc>
          <w:tcPr>
            <w:tcW w:w="1276" w:type="dxa"/>
            <w:tcBorders>
              <w:left w:val="nil"/>
              <w:bottom w:val="nil"/>
              <w:right w:val="nil"/>
            </w:tcBorders>
            <w:shd w:val="clear" w:color="auto" w:fill="auto"/>
            <w:noWrap/>
            <w:vAlign w:val="bottom"/>
          </w:tcPr>
          <w:p w14:paraId="39FFD95E" w14:textId="77777777" w:rsidR="00E86EAF" w:rsidRPr="002F6170" w:rsidRDefault="00E86EAF" w:rsidP="009543C0">
            <w:pPr>
              <w:jc w:val="right"/>
              <w:rPr>
                <w:sz w:val="18"/>
                <w:szCs w:val="18"/>
                <w:lang w:eastAsia="bg-BG"/>
              </w:rPr>
            </w:pPr>
            <w:r w:rsidRPr="002F6170">
              <w:rPr>
                <w:sz w:val="18"/>
                <w:szCs w:val="18"/>
                <w:lang w:eastAsia="bg-BG"/>
              </w:rPr>
              <w:t>25 504,1</w:t>
            </w:r>
          </w:p>
        </w:tc>
        <w:tc>
          <w:tcPr>
            <w:tcW w:w="1616" w:type="dxa"/>
            <w:tcBorders>
              <w:left w:val="nil"/>
              <w:bottom w:val="nil"/>
              <w:right w:val="nil"/>
            </w:tcBorders>
            <w:shd w:val="clear" w:color="auto" w:fill="auto"/>
            <w:noWrap/>
            <w:vAlign w:val="bottom"/>
          </w:tcPr>
          <w:p w14:paraId="2742B1F5" w14:textId="77777777" w:rsidR="00E86EAF" w:rsidRPr="002F6170" w:rsidRDefault="00E86EAF" w:rsidP="009543C0">
            <w:pPr>
              <w:jc w:val="right"/>
              <w:rPr>
                <w:sz w:val="18"/>
                <w:szCs w:val="18"/>
                <w:lang w:eastAsia="bg-BG"/>
              </w:rPr>
            </w:pPr>
            <w:r w:rsidRPr="002F6170">
              <w:rPr>
                <w:sz w:val="18"/>
                <w:szCs w:val="18"/>
                <w:lang w:eastAsia="bg-BG"/>
              </w:rPr>
              <w:t>18 855,3</w:t>
            </w:r>
          </w:p>
        </w:tc>
        <w:tc>
          <w:tcPr>
            <w:tcW w:w="1304" w:type="dxa"/>
            <w:tcBorders>
              <w:left w:val="nil"/>
              <w:bottom w:val="nil"/>
              <w:right w:val="single" w:sz="8" w:space="0" w:color="auto"/>
            </w:tcBorders>
            <w:shd w:val="clear" w:color="auto" w:fill="auto"/>
            <w:noWrap/>
            <w:vAlign w:val="bottom"/>
          </w:tcPr>
          <w:p w14:paraId="44B1D06E" w14:textId="77777777" w:rsidR="00E86EAF" w:rsidRPr="002F6170" w:rsidRDefault="00E86EAF" w:rsidP="009543C0">
            <w:pPr>
              <w:jc w:val="right"/>
              <w:rPr>
                <w:sz w:val="18"/>
                <w:szCs w:val="18"/>
                <w:lang w:eastAsia="bg-BG"/>
              </w:rPr>
            </w:pPr>
            <w:r w:rsidRPr="002F6170">
              <w:rPr>
                <w:sz w:val="18"/>
                <w:szCs w:val="18"/>
                <w:lang w:eastAsia="bg-BG"/>
              </w:rPr>
              <w:t>73,9%</w:t>
            </w:r>
          </w:p>
        </w:tc>
      </w:tr>
      <w:tr w:rsidR="00E86EAF" w:rsidRPr="002F6170" w14:paraId="3DBF7719" w14:textId="77777777" w:rsidTr="009543C0">
        <w:trPr>
          <w:trHeight w:val="165"/>
          <w:jc w:val="center"/>
        </w:trPr>
        <w:tc>
          <w:tcPr>
            <w:tcW w:w="4854" w:type="dxa"/>
            <w:tcBorders>
              <w:left w:val="single" w:sz="8" w:space="0" w:color="auto"/>
              <w:right w:val="single" w:sz="8" w:space="0" w:color="auto"/>
            </w:tcBorders>
            <w:shd w:val="clear" w:color="auto" w:fill="auto"/>
            <w:noWrap/>
            <w:vAlign w:val="bottom"/>
          </w:tcPr>
          <w:p w14:paraId="3730290A" w14:textId="77777777" w:rsidR="00E86EAF" w:rsidRPr="002F6170" w:rsidRDefault="00E86EAF" w:rsidP="009543C0">
            <w:pPr>
              <w:rPr>
                <w:sz w:val="18"/>
                <w:szCs w:val="18"/>
                <w:lang w:eastAsia="bg-BG"/>
              </w:rPr>
            </w:pPr>
            <w:r w:rsidRPr="002F6170">
              <w:rPr>
                <w:sz w:val="18"/>
                <w:szCs w:val="18"/>
                <w:lang w:eastAsia="bg-BG"/>
              </w:rPr>
              <w:t xml:space="preserve">     </w:t>
            </w:r>
            <w:r w:rsidRPr="002F6170">
              <w:rPr>
                <w:sz w:val="18"/>
                <w:szCs w:val="18"/>
                <w:lang w:val="en-US" w:eastAsia="bg-BG"/>
              </w:rPr>
              <w:t xml:space="preserve"> </w:t>
            </w:r>
            <w:r w:rsidRPr="002F6170">
              <w:rPr>
                <w:sz w:val="18"/>
                <w:szCs w:val="18"/>
                <w:lang w:eastAsia="bg-BG"/>
              </w:rPr>
              <w:t xml:space="preserve">Други </w:t>
            </w:r>
          </w:p>
        </w:tc>
        <w:tc>
          <w:tcPr>
            <w:tcW w:w="1276" w:type="dxa"/>
            <w:tcBorders>
              <w:top w:val="nil"/>
              <w:left w:val="nil"/>
              <w:bottom w:val="nil"/>
              <w:right w:val="nil"/>
            </w:tcBorders>
            <w:shd w:val="clear" w:color="auto" w:fill="auto"/>
            <w:noWrap/>
            <w:vAlign w:val="bottom"/>
          </w:tcPr>
          <w:p w14:paraId="4DA33CAC" w14:textId="77777777" w:rsidR="00E86EAF" w:rsidRPr="002F6170" w:rsidRDefault="00E86EAF" w:rsidP="009543C0">
            <w:pPr>
              <w:jc w:val="right"/>
              <w:rPr>
                <w:sz w:val="18"/>
                <w:szCs w:val="18"/>
                <w:lang w:eastAsia="bg-BG"/>
              </w:rPr>
            </w:pPr>
            <w:r w:rsidRPr="002F6170">
              <w:rPr>
                <w:sz w:val="18"/>
                <w:szCs w:val="18"/>
                <w:lang w:eastAsia="bg-BG"/>
              </w:rPr>
              <w:t>276,9</w:t>
            </w:r>
          </w:p>
        </w:tc>
        <w:tc>
          <w:tcPr>
            <w:tcW w:w="1616" w:type="dxa"/>
            <w:tcBorders>
              <w:top w:val="nil"/>
              <w:left w:val="nil"/>
              <w:bottom w:val="nil"/>
              <w:right w:val="nil"/>
            </w:tcBorders>
            <w:shd w:val="clear" w:color="auto" w:fill="auto"/>
            <w:noWrap/>
            <w:vAlign w:val="bottom"/>
          </w:tcPr>
          <w:p w14:paraId="0A5B7CBC" w14:textId="77777777" w:rsidR="00E86EAF" w:rsidRPr="002F6170" w:rsidRDefault="00E86EAF" w:rsidP="009543C0">
            <w:pPr>
              <w:jc w:val="right"/>
              <w:rPr>
                <w:sz w:val="18"/>
                <w:szCs w:val="18"/>
                <w:lang w:eastAsia="bg-BG"/>
              </w:rPr>
            </w:pPr>
            <w:r w:rsidRPr="002F6170">
              <w:rPr>
                <w:sz w:val="18"/>
                <w:szCs w:val="18"/>
                <w:lang w:eastAsia="bg-BG"/>
              </w:rPr>
              <w:t>179,4</w:t>
            </w:r>
          </w:p>
        </w:tc>
        <w:tc>
          <w:tcPr>
            <w:tcW w:w="1304" w:type="dxa"/>
            <w:tcBorders>
              <w:top w:val="nil"/>
              <w:left w:val="nil"/>
              <w:bottom w:val="nil"/>
              <w:right w:val="single" w:sz="8" w:space="0" w:color="auto"/>
            </w:tcBorders>
            <w:shd w:val="clear" w:color="auto" w:fill="auto"/>
            <w:noWrap/>
            <w:vAlign w:val="bottom"/>
          </w:tcPr>
          <w:p w14:paraId="72CD0180" w14:textId="77777777" w:rsidR="00E86EAF" w:rsidRPr="002F6170" w:rsidRDefault="00E86EAF" w:rsidP="009543C0">
            <w:pPr>
              <w:jc w:val="right"/>
              <w:rPr>
                <w:sz w:val="18"/>
                <w:szCs w:val="18"/>
                <w:lang w:eastAsia="bg-BG"/>
              </w:rPr>
            </w:pPr>
            <w:r w:rsidRPr="002F6170">
              <w:rPr>
                <w:sz w:val="18"/>
                <w:szCs w:val="18"/>
                <w:lang w:eastAsia="bg-BG"/>
              </w:rPr>
              <w:t>64,8%</w:t>
            </w:r>
          </w:p>
        </w:tc>
      </w:tr>
      <w:tr w:rsidR="00E86EAF" w:rsidRPr="002F6170" w14:paraId="71536F27" w14:textId="77777777" w:rsidTr="009543C0">
        <w:trPr>
          <w:trHeight w:val="165"/>
          <w:jc w:val="center"/>
        </w:trPr>
        <w:tc>
          <w:tcPr>
            <w:tcW w:w="4854" w:type="dxa"/>
            <w:tcBorders>
              <w:left w:val="single" w:sz="8" w:space="0" w:color="auto"/>
              <w:right w:val="single" w:sz="8" w:space="0" w:color="auto"/>
            </w:tcBorders>
            <w:shd w:val="clear" w:color="auto" w:fill="auto"/>
            <w:noWrap/>
            <w:vAlign w:val="bottom"/>
          </w:tcPr>
          <w:p w14:paraId="7548CDA0" w14:textId="77777777" w:rsidR="00E86EAF" w:rsidRPr="002F6170" w:rsidRDefault="00E86EAF" w:rsidP="009543C0">
            <w:pPr>
              <w:rPr>
                <w:sz w:val="18"/>
                <w:szCs w:val="18"/>
                <w:lang w:eastAsia="bg-BG"/>
              </w:rPr>
            </w:pPr>
            <w:r w:rsidRPr="002F6170">
              <w:rPr>
                <w:sz w:val="18"/>
                <w:szCs w:val="18"/>
                <w:lang w:eastAsia="bg-BG"/>
              </w:rPr>
              <w:t xml:space="preserve">   -Неданъчни приходи</w:t>
            </w:r>
          </w:p>
        </w:tc>
        <w:tc>
          <w:tcPr>
            <w:tcW w:w="1276" w:type="dxa"/>
            <w:tcBorders>
              <w:top w:val="nil"/>
              <w:left w:val="nil"/>
              <w:bottom w:val="nil"/>
              <w:right w:val="nil"/>
            </w:tcBorders>
            <w:shd w:val="clear" w:color="auto" w:fill="auto"/>
            <w:noWrap/>
            <w:vAlign w:val="bottom"/>
          </w:tcPr>
          <w:p w14:paraId="05056146" w14:textId="77777777" w:rsidR="00E86EAF" w:rsidRPr="002F6170" w:rsidRDefault="00E86EAF" w:rsidP="009543C0">
            <w:pPr>
              <w:jc w:val="right"/>
              <w:rPr>
                <w:sz w:val="18"/>
                <w:szCs w:val="18"/>
                <w:lang w:eastAsia="bg-BG"/>
              </w:rPr>
            </w:pPr>
            <w:r w:rsidRPr="002F6170">
              <w:rPr>
                <w:sz w:val="18"/>
                <w:szCs w:val="18"/>
                <w:lang w:eastAsia="bg-BG"/>
              </w:rPr>
              <w:t>4 790,0</w:t>
            </w:r>
          </w:p>
        </w:tc>
        <w:tc>
          <w:tcPr>
            <w:tcW w:w="1616" w:type="dxa"/>
            <w:tcBorders>
              <w:top w:val="nil"/>
              <w:left w:val="nil"/>
              <w:bottom w:val="nil"/>
              <w:right w:val="nil"/>
            </w:tcBorders>
            <w:shd w:val="clear" w:color="auto" w:fill="auto"/>
            <w:noWrap/>
            <w:vAlign w:val="bottom"/>
          </w:tcPr>
          <w:p w14:paraId="3A716E81" w14:textId="77777777" w:rsidR="00E86EAF" w:rsidRPr="002F6170" w:rsidRDefault="00E86EAF" w:rsidP="009543C0">
            <w:pPr>
              <w:jc w:val="right"/>
              <w:rPr>
                <w:sz w:val="18"/>
                <w:szCs w:val="18"/>
                <w:lang w:eastAsia="bg-BG"/>
              </w:rPr>
            </w:pPr>
            <w:r w:rsidRPr="002F6170">
              <w:rPr>
                <w:sz w:val="18"/>
                <w:szCs w:val="18"/>
                <w:lang w:eastAsia="bg-BG"/>
              </w:rPr>
              <w:t>3 703,5</w:t>
            </w:r>
          </w:p>
        </w:tc>
        <w:tc>
          <w:tcPr>
            <w:tcW w:w="1304" w:type="dxa"/>
            <w:tcBorders>
              <w:top w:val="nil"/>
              <w:left w:val="nil"/>
              <w:bottom w:val="nil"/>
              <w:right w:val="single" w:sz="8" w:space="0" w:color="auto"/>
            </w:tcBorders>
            <w:shd w:val="clear" w:color="auto" w:fill="auto"/>
            <w:noWrap/>
            <w:vAlign w:val="bottom"/>
          </w:tcPr>
          <w:p w14:paraId="2CA92DEC" w14:textId="77777777" w:rsidR="00E86EAF" w:rsidRPr="002F6170" w:rsidRDefault="00E86EAF" w:rsidP="009543C0">
            <w:pPr>
              <w:jc w:val="right"/>
              <w:rPr>
                <w:sz w:val="18"/>
                <w:szCs w:val="18"/>
                <w:lang w:eastAsia="bg-BG"/>
              </w:rPr>
            </w:pPr>
            <w:r w:rsidRPr="002F6170">
              <w:rPr>
                <w:sz w:val="18"/>
                <w:szCs w:val="18"/>
                <w:lang w:eastAsia="bg-BG"/>
              </w:rPr>
              <w:t>77,3%</w:t>
            </w:r>
          </w:p>
        </w:tc>
      </w:tr>
      <w:tr w:rsidR="00E86EAF" w:rsidRPr="002F6170" w14:paraId="1AA630D3" w14:textId="77777777" w:rsidTr="009543C0">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14:paraId="28DC22C1" w14:textId="77777777" w:rsidR="00E86EAF" w:rsidRPr="002F6170" w:rsidRDefault="00E86EAF" w:rsidP="009543C0">
            <w:pPr>
              <w:rPr>
                <w:sz w:val="18"/>
                <w:szCs w:val="18"/>
                <w:lang w:eastAsia="bg-BG"/>
              </w:rPr>
            </w:pPr>
            <w:r w:rsidRPr="002F6170">
              <w:rPr>
                <w:sz w:val="18"/>
                <w:szCs w:val="18"/>
                <w:lang w:eastAsia="bg-BG"/>
              </w:rPr>
              <w:t xml:space="preserve">   -Помощи и дарения</w:t>
            </w:r>
          </w:p>
        </w:tc>
        <w:tc>
          <w:tcPr>
            <w:tcW w:w="1276" w:type="dxa"/>
            <w:tcBorders>
              <w:top w:val="nil"/>
              <w:left w:val="nil"/>
              <w:bottom w:val="nil"/>
              <w:right w:val="nil"/>
            </w:tcBorders>
            <w:shd w:val="clear" w:color="auto" w:fill="auto"/>
            <w:noWrap/>
            <w:vAlign w:val="bottom"/>
          </w:tcPr>
          <w:p w14:paraId="202E1C0F" w14:textId="77777777" w:rsidR="00E86EAF" w:rsidRPr="002F6170" w:rsidRDefault="00E86EAF" w:rsidP="009543C0">
            <w:pPr>
              <w:jc w:val="right"/>
              <w:rPr>
                <w:sz w:val="18"/>
                <w:szCs w:val="18"/>
                <w:lang w:eastAsia="bg-BG"/>
              </w:rPr>
            </w:pPr>
            <w:r w:rsidRPr="002F6170">
              <w:rPr>
                <w:sz w:val="18"/>
                <w:szCs w:val="18"/>
                <w:lang w:eastAsia="bg-BG"/>
              </w:rPr>
              <w:t>0,5</w:t>
            </w:r>
          </w:p>
        </w:tc>
        <w:tc>
          <w:tcPr>
            <w:tcW w:w="1616" w:type="dxa"/>
            <w:tcBorders>
              <w:top w:val="nil"/>
              <w:left w:val="nil"/>
              <w:bottom w:val="nil"/>
              <w:right w:val="nil"/>
            </w:tcBorders>
            <w:shd w:val="clear" w:color="auto" w:fill="auto"/>
            <w:noWrap/>
            <w:vAlign w:val="bottom"/>
          </w:tcPr>
          <w:p w14:paraId="23F72C0A" w14:textId="77777777" w:rsidR="00E86EAF" w:rsidRPr="002F6170" w:rsidRDefault="00E86EAF" w:rsidP="009543C0">
            <w:pPr>
              <w:jc w:val="right"/>
              <w:rPr>
                <w:sz w:val="18"/>
                <w:szCs w:val="18"/>
                <w:lang w:eastAsia="bg-BG"/>
              </w:rPr>
            </w:pPr>
            <w:r w:rsidRPr="002F6170">
              <w:rPr>
                <w:sz w:val="18"/>
                <w:szCs w:val="18"/>
                <w:lang w:eastAsia="bg-BG"/>
              </w:rPr>
              <w:t>63,2</w:t>
            </w:r>
          </w:p>
        </w:tc>
        <w:tc>
          <w:tcPr>
            <w:tcW w:w="1304" w:type="dxa"/>
            <w:tcBorders>
              <w:top w:val="nil"/>
              <w:left w:val="nil"/>
              <w:bottom w:val="nil"/>
              <w:right w:val="single" w:sz="8" w:space="0" w:color="auto"/>
            </w:tcBorders>
            <w:shd w:val="clear" w:color="auto" w:fill="auto"/>
            <w:noWrap/>
            <w:vAlign w:val="bottom"/>
          </w:tcPr>
          <w:p w14:paraId="5C614523" w14:textId="77777777" w:rsidR="00E86EAF" w:rsidRPr="002F6170" w:rsidRDefault="00E86EAF" w:rsidP="009543C0">
            <w:pPr>
              <w:jc w:val="right"/>
              <w:rPr>
                <w:sz w:val="18"/>
                <w:szCs w:val="18"/>
                <w:lang w:eastAsia="bg-BG"/>
              </w:rPr>
            </w:pPr>
          </w:p>
        </w:tc>
      </w:tr>
      <w:tr w:rsidR="00E86EAF" w:rsidRPr="002F6170" w14:paraId="2787C30B" w14:textId="77777777" w:rsidTr="009543C0">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BD1B6" w14:textId="77777777" w:rsidR="00E86EAF" w:rsidRPr="002F6170" w:rsidRDefault="00E86EAF" w:rsidP="009543C0">
            <w:pPr>
              <w:rPr>
                <w:b/>
                <w:bCs/>
                <w:sz w:val="18"/>
                <w:szCs w:val="18"/>
                <w:lang w:eastAsia="bg-BG"/>
              </w:rPr>
            </w:pPr>
            <w:r w:rsidRPr="002F6170">
              <w:rPr>
                <w:b/>
                <w:bCs/>
                <w:sz w:val="18"/>
                <w:szCs w:val="18"/>
                <w:lang w:eastAsia="bg-BG"/>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14:paraId="7E9922C2" w14:textId="77777777" w:rsidR="00E86EAF" w:rsidRPr="002F6170" w:rsidRDefault="00E86EAF" w:rsidP="009543C0">
            <w:pPr>
              <w:jc w:val="right"/>
              <w:rPr>
                <w:b/>
                <w:bCs/>
                <w:sz w:val="18"/>
                <w:szCs w:val="18"/>
                <w:lang w:eastAsia="bg-BG"/>
              </w:rPr>
            </w:pPr>
            <w:r w:rsidRPr="002F6170">
              <w:rPr>
                <w:b/>
                <w:bCs/>
                <w:sz w:val="18"/>
                <w:szCs w:val="18"/>
                <w:lang w:eastAsia="bg-BG"/>
              </w:rPr>
              <w:t>51 439,0</w:t>
            </w:r>
          </w:p>
        </w:tc>
        <w:tc>
          <w:tcPr>
            <w:tcW w:w="1616" w:type="dxa"/>
            <w:tcBorders>
              <w:top w:val="single" w:sz="4" w:space="0" w:color="auto"/>
              <w:left w:val="nil"/>
              <w:bottom w:val="single" w:sz="4" w:space="0" w:color="auto"/>
              <w:right w:val="nil"/>
            </w:tcBorders>
            <w:shd w:val="clear" w:color="auto" w:fill="auto"/>
            <w:noWrap/>
            <w:vAlign w:val="bottom"/>
          </w:tcPr>
          <w:p w14:paraId="53D75F31" w14:textId="77777777" w:rsidR="00E86EAF" w:rsidRPr="002F6170" w:rsidRDefault="00E86EAF" w:rsidP="009543C0">
            <w:pPr>
              <w:jc w:val="right"/>
              <w:rPr>
                <w:b/>
                <w:bCs/>
                <w:sz w:val="18"/>
                <w:szCs w:val="18"/>
                <w:lang w:eastAsia="bg-BG"/>
              </w:rPr>
            </w:pPr>
            <w:r w:rsidRPr="002F6170">
              <w:rPr>
                <w:b/>
                <w:bCs/>
                <w:sz w:val="18"/>
                <w:szCs w:val="18"/>
                <w:lang w:eastAsia="bg-BG"/>
              </w:rPr>
              <w:t>35 338,0</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086BB83D" w14:textId="77777777" w:rsidR="00E86EAF" w:rsidRPr="002F6170" w:rsidRDefault="00E86EAF" w:rsidP="009543C0">
            <w:pPr>
              <w:jc w:val="right"/>
              <w:rPr>
                <w:b/>
                <w:bCs/>
                <w:sz w:val="18"/>
                <w:szCs w:val="18"/>
                <w:lang w:eastAsia="bg-BG"/>
              </w:rPr>
            </w:pPr>
            <w:r w:rsidRPr="002F6170">
              <w:rPr>
                <w:b/>
                <w:bCs/>
                <w:sz w:val="18"/>
                <w:szCs w:val="18"/>
                <w:lang w:eastAsia="bg-BG"/>
              </w:rPr>
              <w:t>68,7%</w:t>
            </w:r>
          </w:p>
        </w:tc>
      </w:tr>
      <w:tr w:rsidR="00E86EAF" w:rsidRPr="002F6170" w14:paraId="1E34F3AD" w14:textId="77777777" w:rsidTr="009543C0">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1E525065" w14:textId="77777777" w:rsidR="00E86EAF" w:rsidRPr="002F6170" w:rsidRDefault="00E86EAF" w:rsidP="009543C0">
            <w:pPr>
              <w:rPr>
                <w:sz w:val="18"/>
                <w:szCs w:val="18"/>
                <w:lang w:eastAsia="bg-BG"/>
              </w:rPr>
            </w:pPr>
            <w:r w:rsidRPr="002F6170">
              <w:rPr>
                <w:sz w:val="18"/>
                <w:szCs w:val="18"/>
                <w:lang w:eastAsia="bg-BG"/>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14:paraId="56E2EC89" w14:textId="77777777" w:rsidR="00E86EAF" w:rsidRPr="002F6170" w:rsidRDefault="00E86EAF" w:rsidP="009543C0">
            <w:pPr>
              <w:jc w:val="right"/>
              <w:rPr>
                <w:sz w:val="18"/>
                <w:szCs w:val="18"/>
                <w:lang w:eastAsia="bg-BG"/>
              </w:rPr>
            </w:pPr>
            <w:r w:rsidRPr="002F6170">
              <w:rPr>
                <w:sz w:val="18"/>
                <w:szCs w:val="18"/>
                <w:lang w:eastAsia="bg-BG"/>
              </w:rPr>
              <w:t>22 561,5</w:t>
            </w:r>
          </w:p>
        </w:tc>
        <w:tc>
          <w:tcPr>
            <w:tcW w:w="1616" w:type="dxa"/>
            <w:tcBorders>
              <w:top w:val="single" w:sz="4" w:space="0" w:color="auto"/>
              <w:left w:val="nil"/>
              <w:bottom w:val="nil"/>
              <w:right w:val="nil"/>
            </w:tcBorders>
            <w:shd w:val="clear" w:color="auto" w:fill="auto"/>
            <w:noWrap/>
            <w:vAlign w:val="bottom"/>
          </w:tcPr>
          <w:p w14:paraId="5A99264D" w14:textId="77777777" w:rsidR="00E86EAF" w:rsidRPr="002F6170" w:rsidRDefault="00E86EAF" w:rsidP="009543C0">
            <w:pPr>
              <w:jc w:val="right"/>
              <w:rPr>
                <w:sz w:val="18"/>
                <w:szCs w:val="18"/>
                <w:lang w:eastAsia="bg-BG"/>
              </w:rPr>
            </w:pPr>
            <w:r w:rsidRPr="002F6170">
              <w:rPr>
                <w:sz w:val="18"/>
                <w:szCs w:val="18"/>
                <w:lang w:eastAsia="bg-BG"/>
              </w:rPr>
              <w:t>13 194,2</w:t>
            </w:r>
          </w:p>
        </w:tc>
        <w:tc>
          <w:tcPr>
            <w:tcW w:w="1304" w:type="dxa"/>
            <w:tcBorders>
              <w:top w:val="single" w:sz="4" w:space="0" w:color="auto"/>
              <w:left w:val="nil"/>
              <w:bottom w:val="nil"/>
              <w:right w:val="single" w:sz="8" w:space="0" w:color="auto"/>
            </w:tcBorders>
            <w:shd w:val="clear" w:color="auto" w:fill="auto"/>
            <w:noWrap/>
            <w:vAlign w:val="bottom"/>
          </w:tcPr>
          <w:p w14:paraId="405F2C58" w14:textId="77777777" w:rsidR="00E86EAF" w:rsidRPr="002F6170" w:rsidRDefault="00E86EAF" w:rsidP="009543C0">
            <w:pPr>
              <w:jc w:val="right"/>
              <w:rPr>
                <w:sz w:val="18"/>
                <w:szCs w:val="18"/>
                <w:lang w:eastAsia="bg-BG"/>
              </w:rPr>
            </w:pPr>
            <w:r w:rsidRPr="002F6170">
              <w:rPr>
                <w:sz w:val="18"/>
                <w:szCs w:val="18"/>
                <w:lang w:eastAsia="bg-BG"/>
              </w:rPr>
              <w:t>58,5%</w:t>
            </w:r>
          </w:p>
        </w:tc>
      </w:tr>
      <w:tr w:rsidR="00E86EAF" w:rsidRPr="002F6170" w14:paraId="4403842C" w14:textId="77777777" w:rsidTr="009543C0">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7075072A" w14:textId="77777777" w:rsidR="00E86EAF" w:rsidRPr="002F6170" w:rsidRDefault="00E86EAF" w:rsidP="009543C0">
            <w:pPr>
              <w:rPr>
                <w:sz w:val="18"/>
                <w:szCs w:val="18"/>
                <w:lang w:eastAsia="bg-BG"/>
              </w:rPr>
            </w:pPr>
            <w:r w:rsidRPr="002F6170">
              <w:rPr>
                <w:sz w:val="18"/>
                <w:szCs w:val="18"/>
                <w:lang w:eastAsia="bg-BG"/>
              </w:rPr>
              <w:t xml:space="preserve">   -Лихви</w:t>
            </w:r>
          </w:p>
        </w:tc>
        <w:tc>
          <w:tcPr>
            <w:tcW w:w="1276" w:type="dxa"/>
            <w:tcBorders>
              <w:top w:val="nil"/>
              <w:left w:val="nil"/>
              <w:bottom w:val="nil"/>
              <w:right w:val="nil"/>
            </w:tcBorders>
            <w:shd w:val="clear" w:color="auto" w:fill="auto"/>
            <w:noWrap/>
            <w:vAlign w:val="bottom"/>
          </w:tcPr>
          <w:p w14:paraId="54A0D5DC" w14:textId="77777777" w:rsidR="00E86EAF" w:rsidRPr="002F6170" w:rsidRDefault="00E86EAF" w:rsidP="009543C0">
            <w:pPr>
              <w:jc w:val="right"/>
              <w:rPr>
                <w:sz w:val="18"/>
                <w:szCs w:val="18"/>
                <w:lang w:eastAsia="bg-BG"/>
              </w:rPr>
            </w:pPr>
            <w:r w:rsidRPr="002F6170">
              <w:rPr>
                <w:sz w:val="18"/>
                <w:szCs w:val="18"/>
                <w:lang w:eastAsia="bg-BG"/>
              </w:rPr>
              <w:t>966,8</w:t>
            </w:r>
          </w:p>
        </w:tc>
        <w:tc>
          <w:tcPr>
            <w:tcW w:w="1616" w:type="dxa"/>
            <w:tcBorders>
              <w:top w:val="nil"/>
              <w:left w:val="nil"/>
              <w:bottom w:val="nil"/>
              <w:right w:val="nil"/>
            </w:tcBorders>
            <w:shd w:val="clear" w:color="auto" w:fill="auto"/>
            <w:noWrap/>
            <w:vAlign w:val="bottom"/>
          </w:tcPr>
          <w:p w14:paraId="39393FA6" w14:textId="77777777" w:rsidR="00E86EAF" w:rsidRPr="002F6170" w:rsidRDefault="00E86EAF" w:rsidP="009543C0">
            <w:pPr>
              <w:jc w:val="right"/>
              <w:rPr>
                <w:sz w:val="18"/>
                <w:szCs w:val="18"/>
                <w:lang w:eastAsia="bg-BG"/>
              </w:rPr>
            </w:pPr>
            <w:r w:rsidRPr="002F6170">
              <w:rPr>
                <w:sz w:val="18"/>
                <w:szCs w:val="18"/>
                <w:lang w:eastAsia="bg-BG"/>
              </w:rPr>
              <w:t>854,8</w:t>
            </w:r>
          </w:p>
        </w:tc>
        <w:tc>
          <w:tcPr>
            <w:tcW w:w="1304" w:type="dxa"/>
            <w:tcBorders>
              <w:top w:val="nil"/>
              <w:left w:val="nil"/>
              <w:bottom w:val="nil"/>
              <w:right w:val="single" w:sz="8" w:space="0" w:color="auto"/>
            </w:tcBorders>
            <w:shd w:val="clear" w:color="auto" w:fill="auto"/>
            <w:noWrap/>
            <w:vAlign w:val="bottom"/>
          </w:tcPr>
          <w:p w14:paraId="644B9E44" w14:textId="77777777" w:rsidR="00E86EAF" w:rsidRPr="002F6170" w:rsidRDefault="00E86EAF" w:rsidP="009543C0">
            <w:pPr>
              <w:jc w:val="right"/>
              <w:rPr>
                <w:sz w:val="18"/>
                <w:szCs w:val="18"/>
                <w:lang w:eastAsia="bg-BG"/>
              </w:rPr>
            </w:pPr>
            <w:r w:rsidRPr="002F6170">
              <w:rPr>
                <w:sz w:val="18"/>
                <w:szCs w:val="18"/>
                <w:lang w:eastAsia="bg-BG"/>
              </w:rPr>
              <w:t>88,4%</w:t>
            </w:r>
          </w:p>
        </w:tc>
      </w:tr>
      <w:tr w:rsidR="00E86EAF" w:rsidRPr="002F6170" w14:paraId="3D53B32D" w14:textId="77777777" w:rsidTr="009543C0">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55F27449" w14:textId="77777777" w:rsidR="00E86EAF" w:rsidRPr="002F6170" w:rsidRDefault="00E86EAF" w:rsidP="009543C0">
            <w:pPr>
              <w:rPr>
                <w:sz w:val="18"/>
                <w:szCs w:val="18"/>
                <w:lang w:eastAsia="bg-BG"/>
              </w:rPr>
            </w:pPr>
            <w:r w:rsidRPr="002F6170">
              <w:rPr>
                <w:sz w:val="18"/>
                <w:szCs w:val="18"/>
                <w:lang w:eastAsia="bg-BG"/>
              </w:rPr>
              <w:t xml:space="preserve">      По външни заеми</w:t>
            </w:r>
          </w:p>
        </w:tc>
        <w:tc>
          <w:tcPr>
            <w:tcW w:w="1276" w:type="dxa"/>
            <w:tcBorders>
              <w:top w:val="nil"/>
              <w:left w:val="nil"/>
              <w:bottom w:val="nil"/>
              <w:right w:val="nil"/>
            </w:tcBorders>
            <w:shd w:val="clear" w:color="auto" w:fill="auto"/>
            <w:noWrap/>
            <w:vAlign w:val="bottom"/>
          </w:tcPr>
          <w:p w14:paraId="5163E85D" w14:textId="77777777" w:rsidR="00E86EAF" w:rsidRPr="002F6170" w:rsidRDefault="00E86EAF" w:rsidP="009543C0">
            <w:pPr>
              <w:jc w:val="right"/>
              <w:rPr>
                <w:sz w:val="18"/>
                <w:szCs w:val="18"/>
                <w:lang w:eastAsia="bg-BG"/>
              </w:rPr>
            </w:pPr>
            <w:r w:rsidRPr="002F6170">
              <w:rPr>
                <w:sz w:val="18"/>
                <w:szCs w:val="18"/>
                <w:lang w:eastAsia="bg-BG"/>
              </w:rPr>
              <w:t>833,6</w:t>
            </w:r>
          </w:p>
        </w:tc>
        <w:tc>
          <w:tcPr>
            <w:tcW w:w="1616" w:type="dxa"/>
            <w:tcBorders>
              <w:top w:val="nil"/>
              <w:left w:val="nil"/>
              <w:bottom w:val="nil"/>
              <w:right w:val="nil"/>
            </w:tcBorders>
            <w:shd w:val="clear" w:color="auto" w:fill="auto"/>
            <w:noWrap/>
            <w:vAlign w:val="bottom"/>
          </w:tcPr>
          <w:p w14:paraId="00D61B72" w14:textId="77777777" w:rsidR="00E86EAF" w:rsidRPr="002F6170" w:rsidRDefault="00E86EAF" w:rsidP="009543C0">
            <w:pPr>
              <w:jc w:val="right"/>
              <w:rPr>
                <w:sz w:val="18"/>
                <w:szCs w:val="18"/>
                <w:lang w:eastAsia="bg-BG"/>
              </w:rPr>
            </w:pPr>
            <w:r w:rsidRPr="002F6170">
              <w:rPr>
                <w:sz w:val="18"/>
                <w:szCs w:val="18"/>
                <w:lang w:eastAsia="bg-BG"/>
              </w:rPr>
              <w:t>769,8</w:t>
            </w:r>
          </w:p>
        </w:tc>
        <w:tc>
          <w:tcPr>
            <w:tcW w:w="1304" w:type="dxa"/>
            <w:tcBorders>
              <w:top w:val="nil"/>
              <w:left w:val="nil"/>
              <w:bottom w:val="nil"/>
              <w:right w:val="single" w:sz="8" w:space="0" w:color="auto"/>
            </w:tcBorders>
            <w:shd w:val="clear" w:color="auto" w:fill="auto"/>
            <w:noWrap/>
            <w:vAlign w:val="bottom"/>
          </w:tcPr>
          <w:p w14:paraId="30E787DB" w14:textId="77777777" w:rsidR="00E86EAF" w:rsidRPr="002F6170" w:rsidRDefault="00E86EAF" w:rsidP="009543C0">
            <w:pPr>
              <w:jc w:val="right"/>
              <w:rPr>
                <w:sz w:val="18"/>
                <w:szCs w:val="18"/>
                <w:lang w:eastAsia="bg-BG"/>
              </w:rPr>
            </w:pPr>
            <w:r w:rsidRPr="002F6170">
              <w:rPr>
                <w:sz w:val="18"/>
                <w:szCs w:val="18"/>
                <w:lang w:eastAsia="bg-BG"/>
              </w:rPr>
              <w:t>92,3%</w:t>
            </w:r>
          </w:p>
        </w:tc>
      </w:tr>
      <w:tr w:rsidR="00E86EAF" w:rsidRPr="002F6170" w14:paraId="0F0CC7B4" w14:textId="77777777" w:rsidTr="009543C0">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14:paraId="4F0DA9CA" w14:textId="77777777" w:rsidR="00E86EAF" w:rsidRPr="002F6170" w:rsidRDefault="00E86EAF" w:rsidP="009543C0">
            <w:pPr>
              <w:rPr>
                <w:sz w:val="18"/>
                <w:szCs w:val="18"/>
                <w:lang w:eastAsia="bg-BG"/>
              </w:rPr>
            </w:pPr>
            <w:r w:rsidRPr="002F6170">
              <w:rPr>
                <w:sz w:val="18"/>
                <w:szCs w:val="18"/>
                <w:lang w:eastAsia="bg-BG"/>
              </w:rPr>
              <w:t xml:space="preserve">      По вътрешни заеми</w:t>
            </w:r>
          </w:p>
        </w:tc>
        <w:tc>
          <w:tcPr>
            <w:tcW w:w="1276" w:type="dxa"/>
            <w:tcBorders>
              <w:top w:val="nil"/>
              <w:left w:val="nil"/>
              <w:bottom w:val="nil"/>
              <w:right w:val="nil"/>
            </w:tcBorders>
            <w:shd w:val="clear" w:color="auto" w:fill="auto"/>
            <w:noWrap/>
            <w:vAlign w:val="bottom"/>
          </w:tcPr>
          <w:p w14:paraId="5A3783D9" w14:textId="77777777" w:rsidR="00E86EAF" w:rsidRPr="002F6170" w:rsidRDefault="00E86EAF" w:rsidP="009543C0">
            <w:pPr>
              <w:jc w:val="right"/>
              <w:rPr>
                <w:sz w:val="18"/>
                <w:szCs w:val="18"/>
                <w:lang w:eastAsia="bg-BG"/>
              </w:rPr>
            </w:pPr>
            <w:r w:rsidRPr="002F6170">
              <w:rPr>
                <w:sz w:val="18"/>
                <w:szCs w:val="18"/>
                <w:lang w:eastAsia="bg-BG"/>
              </w:rPr>
              <w:t>133,2</w:t>
            </w:r>
          </w:p>
        </w:tc>
        <w:tc>
          <w:tcPr>
            <w:tcW w:w="1616" w:type="dxa"/>
            <w:tcBorders>
              <w:top w:val="nil"/>
              <w:left w:val="nil"/>
              <w:bottom w:val="nil"/>
              <w:right w:val="nil"/>
            </w:tcBorders>
            <w:shd w:val="clear" w:color="auto" w:fill="auto"/>
            <w:noWrap/>
            <w:vAlign w:val="bottom"/>
          </w:tcPr>
          <w:p w14:paraId="1EC9F107" w14:textId="77777777" w:rsidR="00E86EAF" w:rsidRPr="002F6170" w:rsidRDefault="00E86EAF" w:rsidP="009543C0">
            <w:pPr>
              <w:jc w:val="right"/>
              <w:rPr>
                <w:sz w:val="18"/>
                <w:szCs w:val="18"/>
                <w:lang w:eastAsia="bg-BG"/>
              </w:rPr>
            </w:pPr>
            <w:r w:rsidRPr="002F6170">
              <w:rPr>
                <w:sz w:val="18"/>
                <w:szCs w:val="18"/>
                <w:lang w:eastAsia="bg-BG"/>
              </w:rPr>
              <w:t>85,0</w:t>
            </w:r>
          </w:p>
        </w:tc>
        <w:tc>
          <w:tcPr>
            <w:tcW w:w="1304" w:type="dxa"/>
            <w:tcBorders>
              <w:top w:val="nil"/>
              <w:left w:val="nil"/>
              <w:bottom w:val="nil"/>
              <w:right w:val="single" w:sz="8" w:space="0" w:color="auto"/>
            </w:tcBorders>
            <w:shd w:val="clear" w:color="auto" w:fill="auto"/>
            <w:noWrap/>
            <w:vAlign w:val="bottom"/>
          </w:tcPr>
          <w:p w14:paraId="4430612D" w14:textId="77777777" w:rsidR="00E86EAF" w:rsidRPr="002F6170" w:rsidRDefault="00E86EAF" w:rsidP="009543C0">
            <w:pPr>
              <w:jc w:val="right"/>
              <w:rPr>
                <w:sz w:val="18"/>
                <w:szCs w:val="18"/>
                <w:lang w:eastAsia="bg-BG"/>
              </w:rPr>
            </w:pPr>
            <w:r w:rsidRPr="002F6170">
              <w:rPr>
                <w:sz w:val="18"/>
                <w:szCs w:val="18"/>
                <w:lang w:eastAsia="bg-BG"/>
              </w:rPr>
              <w:t>63,8%</w:t>
            </w:r>
          </w:p>
        </w:tc>
      </w:tr>
      <w:tr w:rsidR="00E86EAF" w:rsidRPr="002F6170" w14:paraId="55CBF12C" w14:textId="77777777" w:rsidTr="009543C0">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14:paraId="7855FB63" w14:textId="77777777" w:rsidR="00E86EAF" w:rsidRPr="002F6170" w:rsidRDefault="00E86EAF" w:rsidP="009543C0">
            <w:pPr>
              <w:rPr>
                <w:sz w:val="18"/>
                <w:szCs w:val="18"/>
                <w:lang w:eastAsia="bg-BG"/>
              </w:rPr>
            </w:pPr>
            <w:r w:rsidRPr="002F6170">
              <w:rPr>
                <w:sz w:val="18"/>
                <w:szCs w:val="18"/>
                <w:lang w:eastAsia="bg-BG"/>
              </w:rPr>
              <w:t xml:space="preserve"> - Резерв за непредвидени и неотложни разходи</w:t>
            </w:r>
            <w:r w:rsidRPr="002F6170">
              <w:rPr>
                <w:sz w:val="18"/>
                <w:szCs w:val="18"/>
                <w:vertAlign w:val="superscript"/>
                <w:lang w:eastAsia="bg-BG"/>
              </w:rPr>
              <w:footnoteReference w:id="8"/>
            </w:r>
            <w:r w:rsidRPr="002F6170">
              <w:rPr>
                <w:sz w:val="18"/>
                <w:szCs w:val="18"/>
                <w:lang w:eastAsia="bg-BG"/>
              </w:rPr>
              <w:tab/>
            </w:r>
          </w:p>
        </w:tc>
        <w:tc>
          <w:tcPr>
            <w:tcW w:w="1276" w:type="dxa"/>
            <w:tcBorders>
              <w:top w:val="nil"/>
              <w:left w:val="nil"/>
              <w:bottom w:val="nil"/>
              <w:right w:val="nil"/>
            </w:tcBorders>
            <w:shd w:val="clear" w:color="auto" w:fill="auto"/>
            <w:noWrap/>
            <w:vAlign w:val="bottom"/>
          </w:tcPr>
          <w:p w14:paraId="1599EB3F" w14:textId="77777777" w:rsidR="00E86EAF" w:rsidRPr="002F6170" w:rsidRDefault="00E86EAF" w:rsidP="009543C0">
            <w:pPr>
              <w:jc w:val="right"/>
              <w:rPr>
                <w:sz w:val="18"/>
                <w:szCs w:val="18"/>
                <w:lang w:eastAsia="bg-BG"/>
              </w:rPr>
            </w:pPr>
            <w:r w:rsidRPr="002F6170">
              <w:rPr>
                <w:sz w:val="18"/>
                <w:szCs w:val="18"/>
                <w:lang w:eastAsia="bg-BG"/>
              </w:rPr>
              <w:t>131,4</w:t>
            </w:r>
          </w:p>
        </w:tc>
        <w:tc>
          <w:tcPr>
            <w:tcW w:w="1616" w:type="dxa"/>
            <w:tcBorders>
              <w:top w:val="nil"/>
              <w:left w:val="nil"/>
              <w:bottom w:val="nil"/>
              <w:right w:val="nil"/>
            </w:tcBorders>
            <w:shd w:val="clear" w:color="auto" w:fill="auto"/>
            <w:noWrap/>
            <w:vAlign w:val="bottom"/>
          </w:tcPr>
          <w:p w14:paraId="4CE2811D" w14:textId="77777777" w:rsidR="00E86EAF" w:rsidRPr="002F6170" w:rsidRDefault="00E86EAF" w:rsidP="009543C0">
            <w:pPr>
              <w:jc w:val="right"/>
              <w:rPr>
                <w:sz w:val="18"/>
                <w:szCs w:val="18"/>
                <w:lang w:eastAsia="bg-BG"/>
              </w:rPr>
            </w:pPr>
          </w:p>
        </w:tc>
        <w:tc>
          <w:tcPr>
            <w:tcW w:w="1304" w:type="dxa"/>
            <w:tcBorders>
              <w:top w:val="nil"/>
              <w:left w:val="nil"/>
              <w:bottom w:val="nil"/>
              <w:right w:val="single" w:sz="8" w:space="0" w:color="auto"/>
            </w:tcBorders>
            <w:shd w:val="clear" w:color="auto" w:fill="auto"/>
            <w:noWrap/>
            <w:vAlign w:val="bottom"/>
          </w:tcPr>
          <w:p w14:paraId="28801C57" w14:textId="77777777" w:rsidR="00E86EAF" w:rsidRPr="002F6170" w:rsidRDefault="00E86EAF" w:rsidP="009543C0">
            <w:pPr>
              <w:rPr>
                <w:sz w:val="18"/>
                <w:szCs w:val="18"/>
                <w:lang w:eastAsia="bg-BG"/>
              </w:rPr>
            </w:pPr>
            <w:r w:rsidRPr="002F6170">
              <w:rPr>
                <w:sz w:val="18"/>
                <w:szCs w:val="18"/>
                <w:lang w:eastAsia="bg-BG"/>
              </w:rPr>
              <w:t> </w:t>
            </w:r>
          </w:p>
        </w:tc>
      </w:tr>
      <w:tr w:rsidR="00E86EAF" w:rsidRPr="002F6170" w14:paraId="56B86357" w14:textId="77777777" w:rsidTr="009543C0">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0BF00E56" w14:textId="77777777" w:rsidR="00E86EAF" w:rsidRPr="002F6170" w:rsidRDefault="00E86EAF" w:rsidP="009543C0">
            <w:pPr>
              <w:rPr>
                <w:sz w:val="18"/>
                <w:szCs w:val="18"/>
                <w:lang w:eastAsia="bg-BG"/>
              </w:rPr>
            </w:pPr>
            <w:r w:rsidRPr="002F6170">
              <w:rPr>
                <w:sz w:val="18"/>
                <w:szCs w:val="18"/>
                <w:lang w:eastAsia="bg-BG"/>
              </w:rPr>
              <w:t xml:space="preserve"> -Трансфери за  др. бюджети – нето</w:t>
            </w:r>
          </w:p>
        </w:tc>
        <w:tc>
          <w:tcPr>
            <w:tcW w:w="1276" w:type="dxa"/>
            <w:tcBorders>
              <w:top w:val="nil"/>
              <w:left w:val="nil"/>
              <w:bottom w:val="nil"/>
              <w:right w:val="nil"/>
            </w:tcBorders>
            <w:shd w:val="clear" w:color="auto" w:fill="auto"/>
            <w:noWrap/>
            <w:vAlign w:val="bottom"/>
          </w:tcPr>
          <w:p w14:paraId="1362BB8F" w14:textId="77777777" w:rsidR="00E86EAF" w:rsidRPr="002F6170" w:rsidRDefault="00E86EAF" w:rsidP="009543C0">
            <w:pPr>
              <w:jc w:val="right"/>
              <w:rPr>
                <w:sz w:val="18"/>
                <w:szCs w:val="18"/>
                <w:lang w:eastAsia="bg-BG"/>
              </w:rPr>
            </w:pPr>
            <w:r w:rsidRPr="002F6170">
              <w:rPr>
                <w:sz w:val="18"/>
                <w:szCs w:val="18"/>
                <w:lang w:eastAsia="bg-BG"/>
              </w:rPr>
              <w:t>25 508,1</w:t>
            </w:r>
          </w:p>
        </w:tc>
        <w:tc>
          <w:tcPr>
            <w:tcW w:w="1616" w:type="dxa"/>
            <w:tcBorders>
              <w:top w:val="nil"/>
              <w:left w:val="nil"/>
              <w:bottom w:val="nil"/>
              <w:right w:val="nil"/>
            </w:tcBorders>
            <w:shd w:val="clear" w:color="auto" w:fill="auto"/>
            <w:noWrap/>
            <w:vAlign w:val="bottom"/>
          </w:tcPr>
          <w:p w14:paraId="4DC206E9" w14:textId="77777777" w:rsidR="00E86EAF" w:rsidRPr="002F6170" w:rsidRDefault="00E86EAF" w:rsidP="009543C0">
            <w:pPr>
              <w:jc w:val="right"/>
              <w:rPr>
                <w:sz w:val="18"/>
                <w:szCs w:val="18"/>
                <w:lang w:eastAsia="bg-BG"/>
              </w:rPr>
            </w:pPr>
            <w:r w:rsidRPr="002F6170">
              <w:rPr>
                <w:sz w:val="18"/>
                <w:szCs w:val="18"/>
                <w:lang w:eastAsia="bg-BG"/>
              </w:rPr>
              <w:t>20 168,0</w:t>
            </w:r>
          </w:p>
        </w:tc>
        <w:tc>
          <w:tcPr>
            <w:tcW w:w="1304" w:type="dxa"/>
            <w:tcBorders>
              <w:top w:val="nil"/>
              <w:left w:val="nil"/>
              <w:bottom w:val="nil"/>
              <w:right w:val="single" w:sz="8" w:space="0" w:color="auto"/>
            </w:tcBorders>
            <w:shd w:val="clear" w:color="auto" w:fill="auto"/>
            <w:noWrap/>
            <w:vAlign w:val="bottom"/>
          </w:tcPr>
          <w:p w14:paraId="278FE7B2" w14:textId="77777777" w:rsidR="00E86EAF" w:rsidRPr="002F6170" w:rsidRDefault="00E86EAF" w:rsidP="009543C0">
            <w:pPr>
              <w:jc w:val="right"/>
              <w:rPr>
                <w:sz w:val="18"/>
                <w:szCs w:val="18"/>
                <w:lang w:eastAsia="bg-BG"/>
              </w:rPr>
            </w:pPr>
            <w:r w:rsidRPr="002F6170">
              <w:rPr>
                <w:sz w:val="18"/>
                <w:szCs w:val="18"/>
                <w:lang w:eastAsia="bg-BG"/>
              </w:rPr>
              <w:t>79,1%</w:t>
            </w:r>
          </w:p>
        </w:tc>
      </w:tr>
      <w:tr w:rsidR="00E86EAF" w:rsidRPr="002F6170" w14:paraId="0CA6601E" w14:textId="77777777" w:rsidTr="009543C0">
        <w:trPr>
          <w:trHeight w:val="6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7AC7EBF9" w14:textId="77777777" w:rsidR="00E86EAF" w:rsidRPr="002F6170" w:rsidRDefault="00E86EAF" w:rsidP="009543C0">
            <w:pPr>
              <w:rPr>
                <w:bCs/>
                <w:sz w:val="18"/>
                <w:szCs w:val="18"/>
                <w:lang w:eastAsia="bg-BG"/>
              </w:rPr>
            </w:pPr>
            <w:r w:rsidRPr="002F6170">
              <w:rPr>
                <w:bCs/>
                <w:sz w:val="18"/>
                <w:szCs w:val="18"/>
                <w:lang w:eastAsia="bg-BG"/>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14:paraId="62B4BAD2" w14:textId="77777777" w:rsidR="00E86EAF" w:rsidRPr="002F6170" w:rsidRDefault="00E86EAF" w:rsidP="009543C0">
            <w:pPr>
              <w:jc w:val="right"/>
              <w:rPr>
                <w:sz w:val="18"/>
                <w:szCs w:val="18"/>
                <w:lang w:eastAsia="bg-BG"/>
              </w:rPr>
            </w:pPr>
            <w:r w:rsidRPr="002F6170">
              <w:rPr>
                <w:sz w:val="18"/>
                <w:szCs w:val="18"/>
                <w:lang w:eastAsia="bg-BG"/>
              </w:rPr>
              <w:t>2 271,1</w:t>
            </w:r>
          </w:p>
        </w:tc>
        <w:tc>
          <w:tcPr>
            <w:tcW w:w="1616" w:type="dxa"/>
            <w:tcBorders>
              <w:top w:val="nil"/>
              <w:left w:val="nil"/>
              <w:bottom w:val="single" w:sz="4" w:space="0" w:color="auto"/>
              <w:right w:val="nil"/>
            </w:tcBorders>
            <w:shd w:val="clear" w:color="auto" w:fill="auto"/>
            <w:noWrap/>
            <w:vAlign w:val="bottom"/>
          </w:tcPr>
          <w:p w14:paraId="4A7004CC" w14:textId="77777777" w:rsidR="00E86EAF" w:rsidRPr="002F6170" w:rsidRDefault="00E86EAF" w:rsidP="009543C0">
            <w:pPr>
              <w:jc w:val="right"/>
              <w:rPr>
                <w:sz w:val="18"/>
                <w:szCs w:val="18"/>
                <w:lang w:eastAsia="bg-BG"/>
              </w:rPr>
            </w:pPr>
            <w:r w:rsidRPr="002F6170">
              <w:rPr>
                <w:sz w:val="18"/>
                <w:szCs w:val="18"/>
                <w:lang w:eastAsia="bg-BG"/>
              </w:rPr>
              <w:t>1 120,9</w:t>
            </w:r>
          </w:p>
        </w:tc>
        <w:tc>
          <w:tcPr>
            <w:tcW w:w="1304" w:type="dxa"/>
            <w:tcBorders>
              <w:top w:val="nil"/>
              <w:left w:val="nil"/>
              <w:bottom w:val="single" w:sz="4" w:space="0" w:color="auto"/>
              <w:right w:val="single" w:sz="8" w:space="0" w:color="auto"/>
            </w:tcBorders>
            <w:shd w:val="clear" w:color="auto" w:fill="auto"/>
            <w:noWrap/>
            <w:vAlign w:val="bottom"/>
          </w:tcPr>
          <w:p w14:paraId="4674DF46" w14:textId="77777777" w:rsidR="00E86EAF" w:rsidRPr="002F6170" w:rsidRDefault="00E86EAF" w:rsidP="009543C0">
            <w:pPr>
              <w:jc w:val="right"/>
              <w:rPr>
                <w:sz w:val="18"/>
                <w:szCs w:val="18"/>
                <w:lang w:eastAsia="bg-BG"/>
              </w:rPr>
            </w:pPr>
            <w:r w:rsidRPr="002F6170">
              <w:rPr>
                <w:sz w:val="18"/>
                <w:szCs w:val="18"/>
                <w:lang w:eastAsia="bg-BG"/>
              </w:rPr>
              <w:t>49,4%</w:t>
            </w:r>
          </w:p>
        </w:tc>
      </w:tr>
      <w:tr w:rsidR="00E86EAF" w:rsidRPr="002F6170" w14:paraId="2CB69596" w14:textId="77777777" w:rsidTr="009543C0">
        <w:trPr>
          <w:trHeight w:val="5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210A6" w14:textId="77777777" w:rsidR="00E86EAF" w:rsidRPr="002F6170" w:rsidRDefault="00E86EAF" w:rsidP="009543C0">
            <w:pPr>
              <w:rPr>
                <w:b/>
                <w:bCs/>
                <w:sz w:val="18"/>
                <w:szCs w:val="18"/>
                <w:lang w:eastAsia="bg-BG"/>
              </w:rPr>
            </w:pPr>
            <w:r w:rsidRPr="002F6170">
              <w:rPr>
                <w:b/>
                <w:bCs/>
                <w:sz w:val="18"/>
                <w:szCs w:val="18"/>
                <w:lang w:eastAsia="bg-BG"/>
              </w:rPr>
              <w:t>Бюджетен баланс</w:t>
            </w:r>
          </w:p>
        </w:tc>
        <w:tc>
          <w:tcPr>
            <w:tcW w:w="1276" w:type="dxa"/>
            <w:tcBorders>
              <w:top w:val="nil"/>
              <w:left w:val="nil"/>
              <w:bottom w:val="single" w:sz="8" w:space="0" w:color="auto"/>
              <w:right w:val="nil"/>
            </w:tcBorders>
            <w:shd w:val="clear" w:color="auto" w:fill="auto"/>
            <w:noWrap/>
            <w:vAlign w:val="bottom"/>
          </w:tcPr>
          <w:p w14:paraId="6105A185" w14:textId="77777777" w:rsidR="00E86EAF" w:rsidRPr="002F6170" w:rsidRDefault="00E86EAF" w:rsidP="009543C0">
            <w:pPr>
              <w:jc w:val="right"/>
              <w:rPr>
                <w:b/>
                <w:bCs/>
                <w:sz w:val="18"/>
                <w:szCs w:val="18"/>
                <w:lang w:eastAsia="bg-BG"/>
              </w:rPr>
            </w:pPr>
            <w:r w:rsidRPr="002F6170">
              <w:rPr>
                <w:b/>
                <w:bCs/>
                <w:sz w:val="18"/>
                <w:szCs w:val="18"/>
                <w:lang w:eastAsia="bg-BG"/>
              </w:rPr>
              <w:t>-8 032,4</w:t>
            </w:r>
          </w:p>
        </w:tc>
        <w:tc>
          <w:tcPr>
            <w:tcW w:w="1616" w:type="dxa"/>
            <w:tcBorders>
              <w:top w:val="nil"/>
              <w:left w:val="nil"/>
              <w:bottom w:val="single" w:sz="8" w:space="0" w:color="auto"/>
              <w:right w:val="nil"/>
            </w:tcBorders>
            <w:shd w:val="clear" w:color="auto" w:fill="auto"/>
            <w:noWrap/>
            <w:vAlign w:val="bottom"/>
          </w:tcPr>
          <w:p w14:paraId="301256C4" w14:textId="77777777" w:rsidR="00E86EAF" w:rsidRPr="002F6170" w:rsidRDefault="00E86EAF" w:rsidP="009543C0">
            <w:pPr>
              <w:jc w:val="right"/>
              <w:rPr>
                <w:b/>
                <w:bCs/>
                <w:sz w:val="18"/>
                <w:szCs w:val="18"/>
                <w:lang w:eastAsia="bg-BG"/>
              </w:rPr>
            </w:pPr>
            <w:r w:rsidRPr="002F6170">
              <w:rPr>
                <w:b/>
                <w:bCs/>
                <w:sz w:val="18"/>
                <w:szCs w:val="18"/>
                <w:lang w:eastAsia="bg-BG"/>
              </w:rPr>
              <w:t>-4 131,7</w:t>
            </w:r>
          </w:p>
        </w:tc>
        <w:tc>
          <w:tcPr>
            <w:tcW w:w="1304" w:type="dxa"/>
            <w:tcBorders>
              <w:top w:val="nil"/>
              <w:left w:val="nil"/>
              <w:bottom w:val="single" w:sz="8" w:space="0" w:color="auto"/>
              <w:right w:val="single" w:sz="8" w:space="0" w:color="auto"/>
            </w:tcBorders>
            <w:shd w:val="clear" w:color="auto" w:fill="auto"/>
            <w:noWrap/>
            <w:vAlign w:val="bottom"/>
          </w:tcPr>
          <w:p w14:paraId="4A9762D0" w14:textId="77777777" w:rsidR="00E86EAF" w:rsidRPr="002F6170" w:rsidRDefault="00E86EAF" w:rsidP="009543C0">
            <w:pPr>
              <w:rPr>
                <w:b/>
                <w:bCs/>
                <w:sz w:val="18"/>
                <w:szCs w:val="18"/>
                <w:lang w:eastAsia="bg-BG"/>
              </w:rPr>
            </w:pPr>
            <w:r w:rsidRPr="002F6170">
              <w:rPr>
                <w:b/>
                <w:bCs/>
                <w:sz w:val="18"/>
                <w:szCs w:val="18"/>
                <w:lang w:eastAsia="bg-BG"/>
              </w:rPr>
              <w:t> </w:t>
            </w:r>
          </w:p>
        </w:tc>
      </w:tr>
    </w:tbl>
    <w:p w14:paraId="73957507" w14:textId="77777777" w:rsidR="00E86EAF" w:rsidRPr="002F6170" w:rsidRDefault="00E86EAF" w:rsidP="00E86EAF">
      <w:pPr>
        <w:ind w:right="-242"/>
        <w:rPr>
          <w:b/>
          <w:bCs/>
          <w:color w:val="0070C0"/>
          <w:sz w:val="6"/>
          <w:szCs w:val="6"/>
          <w:lang w:eastAsia="bg-BG"/>
        </w:rPr>
      </w:pPr>
    </w:p>
    <w:p w14:paraId="47B79011" w14:textId="77777777" w:rsidR="00E86EAF" w:rsidRPr="002F6170" w:rsidRDefault="00E86EAF" w:rsidP="00E86EAF">
      <w:pPr>
        <w:spacing w:after="120"/>
        <w:jc w:val="both"/>
        <w:rPr>
          <w:b/>
          <w:color w:val="0070C0"/>
          <w:sz w:val="6"/>
        </w:rPr>
      </w:pPr>
    </w:p>
    <w:p w14:paraId="681EC632" w14:textId="77777777" w:rsidR="00E86EAF" w:rsidRPr="002F6170" w:rsidRDefault="00E86EAF" w:rsidP="00E86EAF">
      <w:pPr>
        <w:numPr>
          <w:ilvl w:val="0"/>
          <w:numId w:val="2"/>
        </w:numPr>
        <w:spacing w:after="120"/>
        <w:jc w:val="both"/>
        <w:rPr>
          <w:b/>
        </w:rPr>
      </w:pPr>
      <w:r w:rsidRPr="002F6170">
        <w:rPr>
          <w:b/>
          <w:bCs/>
        </w:rPr>
        <w:t xml:space="preserve">Приходи по държавния бюджет </w:t>
      </w:r>
    </w:p>
    <w:p w14:paraId="7FA66D30" w14:textId="77777777" w:rsidR="00E86EAF" w:rsidRPr="002F6170" w:rsidRDefault="00E86EAF" w:rsidP="00E86EAF">
      <w:pPr>
        <w:spacing w:after="120"/>
        <w:jc w:val="both"/>
        <w:rPr>
          <w:bCs/>
          <w:color w:val="0070C0"/>
          <w:lang w:eastAsia="bg-BG"/>
        </w:rPr>
      </w:pPr>
      <w:r w:rsidRPr="002F6170">
        <w:rPr>
          <w:bCs/>
          <w:lang w:eastAsia="bg-BG"/>
        </w:rPr>
        <w:t>Общият размер на</w:t>
      </w:r>
      <w:r w:rsidRPr="002F6170">
        <w:rPr>
          <w:b/>
          <w:bCs/>
          <w:lang w:eastAsia="bg-BG"/>
        </w:rPr>
        <w:t xml:space="preserve"> приходите, помощите и даренията по държавния бюджет</w:t>
      </w:r>
      <w:r w:rsidRPr="002F6170">
        <w:rPr>
          <w:bCs/>
          <w:lang w:eastAsia="bg-BG"/>
        </w:rPr>
        <w:t xml:space="preserve"> към септември 2024 г. е</w:t>
      </w:r>
      <w:r w:rsidRPr="002F6170">
        <w:rPr>
          <w:b/>
          <w:bCs/>
          <w:lang w:eastAsia="bg-BG"/>
        </w:rPr>
        <w:t xml:space="preserve"> </w:t>
      </w:r>
      <w:r w:rsidRPr="002F6170">
        <w:rPr>
          <w:b/>
          <w:bCs/>
          <w:lang w:val="en-US" w:eastAsia="bg-BG"/>
        </w:rPr>
        <w:t>31 </w:t>
      </w:r>
      <w:r w:rsidRPr="002F6170">
        <w:rPr>
          <w:b/>
          <w:bCs/>
          <w:lang w:eastAsia="bg-BG"/>
        </w:rPr>
        <w:t>206,3 млн. лв.</w:t>
      </w:r>
      <w:r w:rsidRPr="002F6170">
        <w:rPr>
          <w:bCs/>
          <w:lang w:eastAsia="bg-BG"/>
        </w:rPr>
        <w:t xml:space="preserve">, което представлява 71,9 % изпълнение на разчетите по ЗДБРБ за 2024 година и ръст от 2 663,4 млн. лв. </w:t>
      </w:r>
      <w:r w:rsidRPr="002F6170">
        <w:rPr>
          <w:bCs/>
          <w:lang w:val="en-US" w:eastAsia="bg-BG"/>
        </w:rPr>
        <w:t>(</w:t>
      </w:r>
      <w:r w:rsidRPr="002F6170">
        <w:rPr>
          <w:bCs/>
          <w:lang w:eastAsia="bg-BG"/>
        </w:rPr>
        <w:t>9,3 %</w:t>
      </w:r>
      <w:r w:rsidRPr="002F6170">
        <w:rPr>
          <w:bCs/>
          <w:lang w:val="en-US" w:eastAsia="bg-BG"/>
        </w:rPr>
        <w:t>)</w:t>
      </w:r>
      <w:r w:rsidRPr="002F6170">
        <w:rPr>
          <w:bCs/>
          <w:lang w:eastAsia="bg-BG"/>
        </w:rPr>
        <w:t xml:space="preserve"> спрямо отчетените за същия период на предходната година.</w:t>
      </w:r>
      <w:r w:rsidRPr="002F6170">
        <w:rPr>
          <w:bCs/>
          <w:lang w:val="en-US" w:eastAsia="bg-BG"/>
        </w:rPr>
        <w:t xml:space="preserve"> </w:t>
      </w:r>
    </w:p>
    <w:p w14:paraId="2EB7C266" w14:textId="77777777" w:rsidR="00E86EAF" w:rsidRPr="002F6170" w:rsidRDefault="00E86EAF" w:rsidP="00E86EAF">
      <w:pPr>
        <w:numPr>
          <w:ilvl w:val="0"/>
          <w:numId w:val="3"/>
        </w:numPr>
        <w:tabs>
          <w:tab w:val="num" w:pos="720"/>
        </w:tabs>
        <w:ind w:left="0" w:firstLine="180"/>
        <w:jc w:val="both"/>
        <w:rPr>
          <w:b/>
          <w:bCs/>
          <w:lang w:eastAsia="bg-BG"/>
        </w:rPr>
      </w:pPr>
      <w:r w:rsidRPr="002F6170">
        <w:rPr>
          <w:bCs/>
          <w:lang w:eastAsia="bg-BG"/>
        </w:rPr>
        <w:t xml:space="preserve"> </w:t>
      </w:r>
      <w:r w:rsidRPr="002F6170">
        <w:rPr>
          <w:b/>
          <w:bCs/>
          <w:lang w:eastAsia="bg-BG"/>
        </w:rPr>
        <w:t>Данъчни приходи</w:t>
      </w:r>
    </w:p>
    <w:p w14:paraId="5AA9958D" w14:textId="77777777" w:rsidR="00E86EAF" w:rsidRPr="002F6170" w:rsidRDefault="00E86EAF" w:rsidP="00E86EAF">
      <w:pPr>
        <w:jc w:val="both"/>
        <w:rPr>
          <w:bCs/>
          <w:sz w:val="4"/>
          <w:szCs w:val="4"/>
          <w:lang w:eastAsia="bg-BG"/>
        </w:rPr>
      </w:pPr>
    </w:p>
    <w:p w14:paraId="36DB1B8A" w14:textId="77777777" w:rsidR="00E86EAF" w:rsidRPr="002F6170" w:rsidRDefault="00E86EAF" w:rsidP="00E86EAF">
      <w:pPr>
        <w:jc w:val="both"/>
        <w:rPr>
          <w:lang w:val="en-US" w:eastAsia="bg-BG"/>
        </w:rPr>
      </w:pPr>
      <w:r w:rsidRPr="002F6170">
        <w:rPr>
          <w:bCs/>
          <w:lang w:eastAsia="bg-BG"/>
        </w:rPr>
        <w:t>Размерът на</w:t>
      </w:r>
      <w:r w:rsidRPr="002F6170">
        <w:rPr>
          <w:b/>
          <w:bCs/>
          <w:lang w:eastAsia="bg-BG"/>
        </w:rPr>
        <w:t xml:space="preserve"> данъчните постъпления по държавния бюджет</w:t>
      </w:r>
      <w:r w:rsidRPr="002F6170">
        <w:rPr>
          <w:bCs/>
          <w:lang w:eastAsia="bg-BG"/>
        </w:rPr>
        <w:t xml:space="preserve"> към септември 2024 г. </w:t>
      </w:r>
      <w:r w:rsidRPr="002F6170">
        <w:rPr>
          <w:lang w:eastAsia="bg-BG"/>
        </w:rPr>
        <w:t xml:space="preserve">е </w:t>
      </w:r>
      <w:r w:rsidRPr="002F6170">
        <w:rPr>
          <w:b/>
          <w:lang w:val="ru-RU" w:eastAsia="bg-BG"/>
        </w:rPr>
        <w:t>27 439,5</w:t>
      </w:r>
      <w:r w:rsidRPr="002F6170">
        <w:rPr>
          <w:b/>
          <w:lang w:eastAsia="bg-BG"/>
        </w:rPr>
        <w:t> млн.</w:t>
      </w:r>
      <w:r w:rsidRPr="002F6170">
        <w:rPr>
          <w:b/>
          <w:lang w:val="en-US" w:eastAsia="bg-BG"/>
        </w:rPr>
        <w:t> </w:t>
      </w:r>
      <w:r w:rsidRPr="002F6170">
        <w:rPr>
          <w:b/>
          <w:lang w:eastAsia="bg-BG"/>
        </w:rPr>
        <w:t>лв</w:t>
      </w:r>
      <w:r w:rsidRPr="002F6170">
        <w:rPr>
          <w:lang w:eastAsia="bg-BG"/>
        </w:rPr>
        <w:t xml:space="preserve">., което представлява 71,1 % изпълнение на годишните разчети. </w:t>
      </w:r>
      <w:r w:rsidRPr="002F6170">
        <w:rPr>
          <w:bCs/>
          <w:lang w:eastAsia="bg-BG"/>
        </w:rPr>
        <w:t>Сравнени с данните към септември</w:t>
      </w:r>
      <w:r w:rsidRPr="002F6170">
        <w:rPr>
          <w:bCs/>
          <w:lang w:val="en-US" w:eastAsia="bg-BG"/>
        </w:rPr>
        <w:t xml:space="preserve"> 2023 г. </w:t>
      </w:r>
      <w:r w:rsidRPr="002F6170">
        <w:rPr>
          <w:bCs/>
          <w:lang w:eastAsia="bg-BG"/>
        </w:rPr>
        <w:t>данъчните приходи</w:t>
      </w:r>
      <w:r w:rsidRPr="002F6170">
        <w:rPr>
          <w:bCs/>
          <w:lang w:val="en-US" w:eastAsia="bg-BG"/>
        </w:rPr>
        <w:t xml:space="preserve"> </w:t>
      </w:r>
      <w:r w:rsidRPr="002F6170">
        <w:rPr>
          <w:rFonts w:eastAsia="Calibri"/>
        </w:rPr>
        <w:t>нарастват с 3 348,0 млн. лв. или 13,9 на сто.</w:t>
      </w:r>
    </w:p>
    <w:p w14:paraId="0EBC4465" w14:textId="77777777" w:rsidR="00E86EAF" w:rsidRPr="002F6170" w:rsidRDefault="00E86EAF" w:rsidP="00E86EAF">
      <w:pPr>
        <w:numPr>
          <w:ilvl w:val="0"/>
          <w:numId w:val="4"/>
        </w:numPr>
        <w:tabs>
          <w:tab w:val="clear" w:pos="1440"/>
          <w:tab w:val="num" w:pos="540"/>
        </w:tabs>
        <w:spacing w:before="120" w:after="120"/>
        <w:ind w:left="0" w:firstLine="181"/>
        <w:jc w:val="both"/>
        <w:rPr>
          <w:b/>
          <w:bCs/>
          <w:lang w:eastAsia="bg-BG"/>
        </w:rPr>
      </w:pPr>
      <w:r w:rsidRPr="002F6170">
        <w:rPr>
          <w:b/>
          <w:bCs/>
          <w:lang w:eastAsia="bg-BG"/>
        </w:rPr>
        <w:t>Преки данъци</w:t>
      </w:r>
    </w:p>
    <w:p w14:paraId="67988033" w14:textId="77777777" w:rsidR="00E86EAF" w:rsidRPr="002F6170" w:rsidRDefault="00E86EAF" w:rsidP="00E86EAF">
      <w:pPr>
        <w:spacing w:before="120"/>
        <w:jc w:val="both"/>
        <w:rPr>
          <w:color w:val="0070C0"/>
          <w:lang w:val="en-US" w:eastAsia="bg-BG"/>
        </w:rPr>
      </w:pPr>
      <w:r w:rsidRPr="002F6170">
        <w:rPr>
          <w:lang w:eastAsia="bg-BG"/>
        </w:rPr>
        <w:t>Приходите от</w:t>
      </w:r>
      <w:r w:rsidRPr="002F6170">
        <w:rPr>
          <w:b/>
          <w:lang w:eastAsia="bg-BG"/>
        </w:rPr>
        <w:t xml:space="preserve"> преки данъци</w:t>
      </w:r>
      <w:r w:rsidRPr="002F6170">
        <w:rPr>
          <w:lang w:eastAsia="bg-BG"/>
        </w:rPr>
        <w:t xml:space="preserve"> са в размер на</w:t>
      </w:r>
      <w:r w:rsidRPr="002F6170">
        <w:rPr>
          <w:b/>
          <w:lang w:eastAsia="bg-BG"/>
        </w:rPr>
        <w:t> 8 404,8 млн. лв</w:t>
      </w:r>
      <w:r w:rsidRPr="002F6170">
        <w:rPr>
          <w:lang w:eastAsia="bg-BG"/>
        </w:rPr>
        <w:t>. или 65,5 % от планираните за годината, като съпоставени със същия период на предходната година постъпленията нарастват с 1 010,5 млн. лв. (13,7 %). Повишението се дължи основно на значително по-високите приходи от данъците върху доходите на физическите лица, които нарастват с 15,0</w:t>
      </w:r>
      <w:r w:rsidRPr="002F6170">
        <w:rPr>
          <w:lang w:val="en-US" w:eastAsia="bg-BG"/>
        </w:rPr>
        <w:t> </w:t>
      </w:r>
      <w:r w:rsidRPr="002F6170">
        <w:rPr>
          <w:lang w:eastAsia="bg-BG"/>
        </w:rPr>
        <w:t>% в сравнение с края на септември 2023 година.</w:t>
      </w:r>
    </w:p>
    <w:p w14:paraId="607B167E" w14:textId="77777777" w:rsidR="00E86EAF" w:rsidRPr="002F6170" w:rsidRDefault="00E86EAF" w:rsidP="00E86EAF">
      <w:pPr>
        <w:spacing w:before="120"/>
        <w:jc w:val="both"/>
        <w:rPr>
          <w:lang w:eastAsia="bg-BG"/>
        </w:rPr>
      </w:pPr>
      <w:r w:rsidRPr="002F6170">
        <w:rPr>
          <w:lang w:eastAsia="bg-BG"/>
        </w:rPr>
        <w:t>Приходите от</w:t>
      </w:r>
      <w:r w:rsidRPr="002F6170">
        <w:rPr>
          <w:b/>
          <w:lang w:eastAsia="bg-BG"/>
        </w:rPr>
        <w:t xml:space="preserve"> </w:t>
      </w:r>
      <w:r w:rsidRPr="002F6170">
        <w:rPr>
          <w:b/>
          <w:bCs/>
          <w:i/>
          <w:lang w:eastAsia="bg-BG"/>
        </w:rPr>
        <w:t>корпоративни данъци</w:t>
      </w:r>
      <w:r w:rsidRPr="002F6170">
        <w:rPr>
          <w:lang w:eastAsia="bg-BG"/>
        </w:rPr>
        <w:t xml:space="preserve"> </w:t>
      </w:r>
      <w:r w:rsidRPr="002F6170">
        <w:rPr>
          <w:bCs/>
          <w:lang w:eastAsia="bg-BG"/>
        </w:rPr>
        <w:t>към септември 2024 г.</w:t>
      </w:r>
      <w:r w:rsidRPr="002F6170">
        <w:rPr>
          <w:lang w:eastAsia="bg-BG"/>
        </w:rPr>
        <w:t xml:space="preserve"> са в размер на 3 247,2 млн. лв. или 54,8 % от годишния план. Сравнени с данните за месец септември на предходната година постъпленията нарастват с 338,1 млн. </w:t>
      </w:r>
      <w:proofErr w:type="spellStart"/>
      <w:r w:rsidRPr="002F6170">
        <w:rPr>
          <w:lang w:eastAsia="bg-BG"/>
        </w:rPr>
        <w:t>лв</w:t>
      </w:r>
      <w:proofErr w:type="spellEnd"/>
      <w:r w:rsidRPr="002F6170">
        <w:rPr>
          <w:lang w:val="en-US" w:eastAsia="bg-BG"/>
        </w:rPr>
        <w:t>.</w:t>
      </w:r>
      <w:r w:rsidRPr="002F6170">
        <w:rPr>
          <w:lang w:eastAsia="bg-BG"/>
        </w:rPr>
        <w:t xml:space="preserve"> </w:t>
      </w:r>
      <w:r w:rsidRPr="002F6170">
        <w:rPr>
          <w:lang w:val="en-US" w:eastAsia="bg-BG"/>
        </w:rPr>
        <w:t>(</w:t>
      </w:r>
      <w:r w:rsidRPr="002F6170">
        <w:rPr>
          <w:lang w:eastAsia="bg-BG"/>
        </w:rPr>
        <w:t>11,6</w:t>
      </w:r>
      <w:r w:rsidRPr="002F6170">
        <w:rPr>
          <w:lang w:val="en-US" w:eastAsia="bg-BG"/>
        </w:rPr>
        <w:t xml:space="preserve"> </w:t>
      </w:r>
      <w:proofErr w:type="spellStart"/>
      <w:r w:rsidRPr="002F6170">
        <w:rPr>
          <w:lang w:val="en-US" w:eastAsia="bg-BG"/>
        </w:rPr>
        <w:t>на</w:t>
      </w:r>
      <w:proofErr w:type="spellEnd"/>
      <w:r w:rsidRPr="002F6170">
        <w:rPr>
          <w:lang w:val="en-US" w:eastAsia="bg-BG"/>
        </w:rPr>
        <w:t xml:space="preserve"> </w:t>
      </w:r>
      <w:proofErr w:type="spellStart"/>
      <w:r w:rsidRPr="002F6170">
        <w:rPr>
          <w:lang w:val="en-US" w:eastAsia="bg-BG"/>
        </w:rPr>
        <w:t>сто</w:t>
      </w:r>
      <w:proofErr w:type="spellEnd"/>
      <w:r w:rsidRPr="002F6170">
        <w:rPr>
          <w:lang w:val="en-US" w:eastAsia="bg-BG"/>
        </w:rPr>
        <w:t>)</w:t>
      </w:r>
      <w:r w:rsidRPr="002F6170">
        <w:rPr>
          <w:lang w:eastAsia="bg-BG"/>
        </w:rPr>
        <w:t xml:space="preserve">. </w:t>
      </w:r>
    </w:p>
    <w:p w14:paraId="6D1AC42D" w14:textId="77777777" w:rsidR="00E86EAF" w:rsidRPr="002F6170" w:rsidRDefault="00E86EAF" w:rsidP="00E86EAF">
      <w:pPr>
        <w:spacing w:before="120"/>
        <w:jc w:val="both"/>
        <w:rPr>
          <w:lang w:eastAsia="bg-BG"/>
        </w:rPr>
      </w:pPr>
      <w:r w:rsidRPr="002F6170">
        <w:rPr>
          <w:lang w:eastAsia="bg-BG"/>
        </w:rPr>
        <w:t>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97,0 млн. лв., като съпоставени със същия период на 2023</w:t>
      </w:r>
      <w:r w:rsidRPr="002F6170">
        <w:rPr>
          <w:lang w:val="en-US" w:eastAsia="bg-BG"/>
        </w:rPr>
        <w:t> </w:t>
      </w:r>
      <w:r w:rsidRPr="002F6170">
        <w:rPr>
          <w:lang w:eastAsia="bg-BG"/>
        </w:rPr>
        <w:t xml:space="preserve">г. приходите са повече с 31,1 млн. лв. </w:t>
      </w:r>
      <w:r w:rsidRPr="002F6170">
        <w:rPr>
          <w:lang w:val="en-US" w:eastAsia="bg-BG"/>
        </w:rPr>
        <w:t>(</w:t>
      </w:r>
      <w:r w:rsidRPr="002F6170">
        <w:rPr>
          <w:lang w:eastAsia="bg-BG"/>
        </w:rPr>
        <w:t>47,2</w:t>
      </w:r>
      <w:r w:rsidRPr="002F6170">
        <w:rPr>
          <w:lang w:val="en-US" w:eastAsia="bg-BG"/>
        </w:rPr>
        <w:t xml:space="preserve"> %)</w:t>
      </w:r>
      <w:r w:rsidRPr="002F6170">
        <w:rPr>
          <w:lang w:eastAsia="bg-BG"/>
        </w:rPr>
        <w:t>. Постъпленията от този данък зависят от състоянието на икономиката и осъществяващите се процеси по разпределение на фирмена собственост в страната.</w:t>
      </w:r>
    </w:p>
    <w:p w14:paraId="36E4DB79" w14:textId="77777777" w:rsidR="00E86EAF" w:rsidRPr="002F6170" w:rsidRDefault="00E86EAF" w:rsidP="00E86EAF">
      <w:pPr>
        <w:spacing w:before="120" w:after="120"/>
        <w:jc w:val="both"/>
        <w:rPr>
          <w:lang w:val="en-US" w:eastAsia="bg-BG"/>
        </w:rPr>
      </w:pPr>
      <w:r w:rsidRPr="002F6170">
        <w:rPr>
          <w:lang w:eastAsia="bg-BG"/>
        </w:rPr>
        <w:t>Приходите от</w:t>
      </w:r>
      <w:r w:rsidRPr="002F6170">
        <w:rPr>
          <w:b/>
          <w:lang w:eastAsia="bg-BG"/>
        </w:rPr>
        <w:t xml:space="preserve"> данъци върху доходите на физически лица </w:t>
      </w:r>
      <w:r w:rsidRPr="002F6170">
        <w:rPr>
          <w:lang w:eastAsia="bg-BG"/>
        </w:rPr>
        <w:t xml:space="preserve">(ДДФЛ) са в размер на </w:t>
      </w:r>
      <w:r w:rsidRPr="002F6170">
        <w:rPr>
          <w:b/>
          <w:lang w:val="ru-RU" w:eastAsia="bg-BG"/>
        </w:rPr>
        <w:t>5 157,6</w:t>
      </w:r>
      <w:r w:rsidRPr="002F6170">
        <w:rPr>
          <w:b/>
          <w:lang w:val="en-US" w:eastAsia="bg-BG"/>
        </w:rPr>
        <w:t> </w:t>
      </w:r>
      <w:r w:rsidRPr="002F6170">
        <w:rPr>
          <w:b/>
          <w:lang w:eastAsia="bg-BG"/>
        </w:rPr>
        <w:t>млн. лв.</w:t>
      </w:r>
      <w:r w:rsidRPr="002F6170">
        <w:rPr>
          <w:lang w:eastAsia="bg-BG"/>
        </w:rPr>
        <w:t xml:space="preserve"> или 74,7 % от заложените в разчета за годината. Тези приходи са с 672,4 млн. лв. повече или 15,0 % ръст спрямо същия период на предходната година.</w:t>
      </w:r>
      <w:r w:rsidRPr="002F6170">
        <w:rPr>
          <w:lang w:val="en-US" w:eastAsia="bg-BG"/>
        </w:rPr>
        <w:t xml:space="preserve"> </w:t>
      </w:r>
    </w:p>
    <w:p w14:paraId="04C484CE" w14:textId="77777777" w:rsidR="00E86EAF" w:rsidRPr="002F6170" w:rsidRDefault="00E86EAF" w:rsidP="00E86EAF">
      <w:pPr>
        <w:spacing w:before="120" w:after="120"/>
        <w:jc w:val="both"/>
        <w:rPr>
          <w:lang w:eastAsia="bg-BG"/>
        </w:rPr>
      </w:pPr>
      <w:r w:rsidRPr="002F6170">
        <w:rPr>
          <w:lang w:eastAsia="bg-BG"/>
        </w:rPr>
        <w:t>Основен фактор за размера на данъчните постъпления от ДДФЛ е развитието на  параметрите на пазара на труда: заетост, безработица и заплащане на труда. Влияние върху размера на постъпленията от ДДФЛ оказват действащите законодателни и административни мерки в областта на трудовото, социалното и данъчното законодателство. За повишаване на тази група данъчни приходи допринасят и предприетите мерки за намаляване на недекларирания труд, мерките за повишаване на събираемостта на задължения за минали периоди и тематичните кампании за контрол, провеждани от НАП.</w:t>
      </w:r>
    </w:p>
    <w:p w14:paraId="02279022" w14:textId="77777777" w:rsidR="00E86EAF" w:rsidRPr="002F6170" w:rsidRDefault="00E86EAF" w:rsidP="00E86EAF">
      <w:pPr>
        <w:spacing w:before="120"/>
        <w:jc w:val="both"/>
        <w:rPr>
          <w:bCs/>
          <w:lang w:eastAsia="bg-BG"/>
        </w:rPr>
      </w:pPr>
      <w:r w:rsidRPr="002F6170">
        <w:rPr>
          <w:i/>
          <w:lang w:eastAsia="bg-BG"/>
        </w:rPr>
        <w:t>По трудови правоотношения</w:t>
      </w:r>
      <w:r w:rsidRPr="002F6170">
        <w:rPr>
          <w:lang w:eastAsia="bg-BG"/>
        </w:rPr>
        <w:t xml:space="preserve"> приходите от данъка </w:t>
      </w:r>
      <w:r w:rsidRPr="002F6170">
        <w:rPr>
          <w:bCs/>
          <w:lang w:eastAsia="bg-BG"/>
        </w:rPr>
        <w:t>към септември 2024 г.</w:t>
      </w:r>
      <w:r w:rsidRPr="002F6170">
        <w:rPr>
          <w:lang w:eastAsia="bg-BG"/>
        </w:rPr>
        <w:t xml:space="preserve"> са </w:t>
      </w:r>
      <w:r w:rsidRPr="002F6170">
        <w:rPr>
          <w:lang w:val="en-US" w:eastAsia="bg-BG"/>
        </w:rPr>
        <w:t>4 337</w:t>
      </w:r>
      <w:r w:rsidRPr="002F6170">
        <w:rPr>
          <w:lang w:eastAsia="bg-BG"/>
        </w:rPr>
        <w:t>,2</w:t>
      </w:r>
      <w:r w:rsidRPr="002F6170">
        <w:rPr>
          <w:lang w:val="en-US" w:eastAsia="bg-BG"/>
        </w:rPr>
        <w:t xml:space="preserve"> </w:t>
      </w:r>
      <w:r w:rsidRPr="002F6170">
        <w:rPr>
          <w:lang w:eastAsia="bg-BG"/>
        </w:rPr>
        <w:t>млн. лв., 76,4 % от годишните разчети. Тези приходи нарастват с 663,5 млн. лв. (18,1 %) в сравнение със същия период на предходната година</w:t>
      </w:r>
      <w:r w:rsidRPr="002F6170">
        <w:rPr>
          <w:bCs/>
          <w:lang w:eastAsia="bg-BG"/>
        </w:rPr>
        <w:t>.</w:t>
      </w:r>
    </w:p>
    <w:p w14:paraId="42D10BCB" w14:textId="77777777" w:rsidR="00E86EAF" w:rsidRPr="002F6170" w:rsidRDefault="00E86EAF" w:rsidP="00E86EAF">
      <w:pPr>
        <w:jc w:val="both"/>
        <w:rPr>
          <w:color w:val="0070C0"/>
          <w:lang w:eastAsia="bg-BG"/>
        </w:rPr>
      </w:pPr>
      <w:r w:rsidRPr="002F6170">
        <w:rPr>
          <w:lang w:eastAsia="bg-BG"/>
        </w:rPr>
        <w:t>Отчетеният ръст при тази група данъчни приходи е повлиян в голяма степен от приетия през 2023</w:t>
      </w:r>
      <w:r>
        <w:rPr>
          <w:lang w:val="en-US" w:eastAsia="bg-BG"/>
        </w:rPr>
        <w:t> </w:t>
      </w:r>
      <w:r w:rsidRPr="002F6170">
        <w:rPr>
          <w:lang w:eastAsia="bg-BG"/>
        </w:rPr>
        <w:t xml:space="preserve">г. в Кодекса на труда (чл. 244, ал. 2) механизъм, съгласно който минималното трудово възнаграждение за страната за следващата календарна година се определя до 1 септември на текущата година в размер на 50 на сто от средната брутна работна заплата за период от 12 месеца, който включва последните две тримесечия на предходната година и първите две тримесечия на текущата година. В съответствие с новия механизъм от 1 януари 2024 г. минималната работна заплата за страната е увеличена от 780 лв. на 933 лв. или с 19,6 %. Други фактори за нарастване на приходите от ДДФЛ са отчетеният висок номинален ръст на средната работна заплата през първите две тримесечия на 2024 г., както в частния сектор, така и в обществения сектор, в т. ч. увеличението на заплатите в сферата на образованието и на разходите за персонал в бюджетните организации.  </w:t>
      </w:r>
    </w:p>
    <w:p w14:paraId="68BE415D" w14:textId="77777777" w:rsidR="00E86EAF" w:rsidRPr="002F6170" w:rsidRDefault="00E86EAF" w:rsidP="00E86EAF">
      <w:pPr>
        <w:tabs>
          <w:tab w:val="left" w:pos="0"/>
        </w:tabs>
        <w:jc w:val="both"/>
        <w:rPr>
          <w:lang w:eastAsia="bg-BG"/>
        </w:rPr>
      </w:pPr>
      <w:r w:rsidRPr="002F6170">
        <w:rPr>
          <w:lang w:eastAsia="bg-BG"/>
        </w:rPr>
        <w:t>Влияние върху приходите от трудови правоотношения в посока намаление от началото  на годината оказва ползването на облекченията за деца по чл. 22в и чл. 22г от ЗДДФЛ чрез подаване на декларация по образец при работодателя през месец декември и чрез подаване на годишната данъчна декларация за доходите, придобити през 2023 година. Очаква се авансовото ползване при работодател за придобитите доходи през 2024 г. да окаже въздействие и през следващите отчетни периоди</w:t>
      </w:r>
      <w:r w:rsidRPr="002F6170">
        <w:rPr>
          <w:lang w:val="en-US" w:eastAsia="bg-BG"/>
        </w:rPr>
        <w:t xml:space="preserve"> </w:t>
      </w:r>
      <w:r w:rsidRPr="002F6170">
        <w:rPr>
          <w:lang w:eastAsia="bg-BG"/>
        </w:rPr>
        <w:t>на текущата година.</w:t>
      </w:r>
    </w:p>
    <w:p w14:paraId="65DE7CBA" w14:textId="77777777" w:rsidR="00E86EAF" w:rsidRPr="002F6170" w:rsidRDefault="00E86EAF" w:rsidP="00E86EAF">
      <w:pPr>
        <w:spacing w:before="120" w:after="120"/>
        <w:jc w:val="both"/>
        <w:rPr>
          <w:color w:val="0070C0"/>
          <w:highlight w:val="cyan"/>
          <w:lang w:eastAsia="bg-BG"/>
        </w:rPr>
      </w:pPr>
      <w:r w:rsidRPr="002F6170">
        <w:rPr>
          <w:i/>
          <w:lang w:eastAsia="bg-BG"/>
        </w:rPr>
        <w:t>По извънтрудови правоотношения (свободни професии, граждански договори, еднолични търговци и др.)</w:t>
      </w:r>
      <w:r w:rsidRPr="002F6170">
        <w:rPr>
          <w:lang w:eastAsia="bg-BG"/>
        </w:rPr>
        <w:t xml:space="preserve"> приходите от данъка </w:t>
      </w:r>
      <w:r w:rsidRPr="002F6170">
        <w:rPr>
          <w:bCs/>
          <w:lang w:eastAsia="bg-BG"/>
        </w:rPr>
        <w:t>към септември 2024 г.</w:t>
      </w:r>
      <w:r w:rsidRPr="002F6170">
        <w:rPr>
          <w:lang w:eastAsia="bg-BG"/>
        </w:rPr>
        <w:t xml:space="preserve"> са в размер на 355,6 млн. лв., което е 64,7 % от годишния разчет. За отчетния период на 2024 г. са постъпили с 15,7 млн. лв. по-малко приходи или 4,2 % спад спрямо края на септември 2023 година.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Върху размера на приходите от тези групи данъци влияе и ползването с подаването на годишните декларации на постановените в ЗДДФЛ данъчни облекчения, от които с най-голям ефект за намаляване на данъчните приходи са облекченията за деца и данъчното облекчение за лица с намалена работоспособност. </w:t>
      </w:r>
    </w:p>
    <w:p w14:paraId="2363D3A6" w14:textId="77777777" w:rsidR="00E86EAF" w:rsidRPr="002F6170" w:rsidRDefault="00E86EAF" w:rsidP="00E86EAF">
      <w:pPr>
        <w:spacing w:after="120"/>
        <w:jc w:val="both"/>
        <w:rPr>
          <w:lang w:eastAsia="bg-BG"/>
        </w:rPr>
      </w:pPr>
      <w:r w:rsidRPr="002F6170">
        <w:rPr>
          <w:i/>
          <w:lang w:eastAsia="bg-BG"/>
        </w:rPr>
        <w:t xml:space="preserve">Окончателен данък на местните и чуждестранни физически лица по чл. 37 и 38 от ЗДДФЛ </w:t>
      </w:r>
      <w:r w:rsidRPr="002F6170">
        <w:rPr>
          <w:lang w:eastAsia="bg-BG"/>
        </w:rPr>
        <w:t xml:space="preserve">и </w:t>
      </w:r>
      <w:r w:rsidRPr="002F6170">
        <w:rPr>
          <w:i/>
          <w:lang w:eastAsia="bg-BG"/>
        </w:rPr>
        <w:t>данък върху дивидентите и ликвидационните дялове на физически лица</w:t>
      </w:r>
      <w:r w:rsidRPr="002F6170">
        <w:rPr>
          <w:lang w:eastAsia="bg-BG"/>
        </w:rPr>
        <w:t xml:space="preserve"> - постъпленията от тези данъци към 30.09.2024 г. са в размер на 464,8 млн. лв. или 68,8 % от плана за 2024 година. За отчетния период постъпленията от тази група данъци са с 24,7 млн. лв. повече (5,6 % ръст) спрямо 2023 година. Ръстът на тези приходи се дължи, както на отчетените финансови резултати от нефинансовите предприятия през 2023 г., така и от предприетите законодателни и контролни мерки. Влияние за доброто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Скритото разпределение на печалбата се третира като дивидент, за който се внася 5 % данък върху разпределените суми. От 1.09.2023 г. в Закона за ограничаване на плащанията е приетата разпоредба плащанията на територията на страната на дивиденти, със стойност равна на или надвишаваща 1000 лв., да се извършват само чрез превод или внасяне по платежна сметка, в резултат на което постъпленията от данъка върху дивидентите нарастват допълнително.</w:t>
      </w:r>
    </w:p>
    <w:p w14:paraId="47BB463F" w14:textId="77777777" w:rsidR="00E86EAF" w:rsidRPr="002F6170" w:rsidRDefault="00E86EAF" w:rsidP="00E86EAF">
      <w:pPr>
        <w:numPr>
          <w:ilvl w:val="0"/>
          <w:numId w:val="4"/>
        </w:numPr>
        <w:tabs>
          <w:tab w:val="clear" w:pos="1440"/>
          <w:tab w:val="num" w:pos="540"/>
        </w:tabs>
        <w:ind w:left="0" w:firstLine="180"/>
        <w:jc w:val="both"/>
        <w:rPr>
          <w:b/>
          <w:bCs/>
          <w:lang w:eastAsia="bg-BG"/>
        </w:rPr>
      </w:pPr>
      <w:r w:rsidRPr="002F6170">
        <w:rPr>
          <w:b/>
          <w:bCs/>
          <w:lang w:eastAsia="bg-BG"/>
        </w:rPr>
        <w:t>Косвени данъци</w:t>
      </w:r>
    </w:p>
    <w:p w14:paraId="7682A88A" w14:textId="77777777" w:rsidR="00E86EAF" w:rsidRPr="002F6170" w:rsidRDefault="00E86EAF" w:rsidP="00E86EAF">
      <w:pPr>
        <w:jc w:val="both"/>
        <w:rPr>
          <w:b/>
          <w:bCs/>
          <w:color w:val="0070C0"/>
          <w:sz w:val="4"/>
          <w:szCs w:val="4"/>
          <w:lang w:eastAsia="bg-BG"/>
        </w:rPr>
      </w:pPr>
    </w:p>
    <w:p w14:paraId="0D88A52E" w14:textId="77777777" w:rsidR="00E86EAF" w:rsidRPr="002F6170" w:rsidRDefault="00E86EAF" w:rsidP="00E86EAF">
      <w:pPr>
        <w:spacing w:after="120"/>
        <w:jc w:val="both"/>
        <w:rPr>
          <w:color w:val="0070C0"/>
          <w:lang w:val="en-US" w:eastAsia="bg-BG"/>
        </w:rPr>
      </w:pPr>
      <w:r w:rsidRPr="002F6170">
        <w:rPr>
          <w:lang w:eastAsia="bg-BG"/>
        </w:rPr>
        <w:t xml:space="preserve">Приходите от </w:t>
      </w:r>
      <w:r w:rsidRPr="002F6170">
        <w:rPr>
          <w:b/>
          <w:lang w:eastAsia="bg-BG"/>
        </w:rPr>
        <w:t>косвени данъци</w:t>
      </w:r>
      <w:r w:rsidRPr="002F6170">
        <w:rPr>
          <w:lang w:eastAsia="bg-BG"/>
        </w:rPr>
        <w:t xml:space="preserve"> </w:t>
      </w:r>
      <w:r w:rsidRPr="002F6170">
        <w:rPr>
          <w:bCs/>
          <w:lang w:eastAsia="bg-BG"/>
        </w:rPr>
        <w:t>към септември 2024 г.</w:t>
      </w:r>
      <w:r w:rsidRPr="002F6170">
        <w:rPr>
          <w:lang w:eastAsia="bg-BG"/>
        </w:rPr>
        <w:t xml:space="preserve"> са в размер на</w:t>
      </w:r>
      <w:r w:rsidRPr="002F6170">
        <w:rPr>
          <w:b/>
          <w:lang w:eastAsia="bg-BG"/>
        </w:rPr>
        <w:t xml:space="preserve"> 18 855,3 млн. лв</w:t>
      </w:r>
      <w:r w:rsidRPr="002F6170">
        <w:rPr>
          <w:lang w:eastAsia="bg-BG"/>
        </w:rPr>
        <w:t xml:space="preserve">. или 73,9 % от годишния разчет. Сравнени с данните за същия период на предходната година постъпленията </w:t>
      </w:r>
      <w:r w:rsidRPr="002F6170">
        <w:rPr>
          <w:bCs/>
          <w:lang w:eastAsia="bg-BG"/>
        </w:rPr>
        <w:t>нарастват</w:t>
      </w:r>
      <w:r w:rsidRPr="002F6170">
        <w:rPr>
          <w:lang w:eastAsia="bg-BG"/>
        </w:rPr>
        <w:t xml:space="preserve"> с 2 403,1 млн. лв. </w:t>
      </w:r>
      <w:r w:rsidRPr="002F6170">
        <w:rPr>
          <w:lang w:val="ru-RU" w:eastAsia="bg-BG"/>
        </w:rPr>
        <w:t>(</w:t>
      </w:r>
      <w:r w:rsidRPr="002F6170">
        <w:rPr>
          <w:lang w:eastAsia="bg-BG"/>
        </w:rPr>
        <w:t>14,6 на сто</w:t>
      </w:r>
      <w:r w:rsidRPr="002F6170">
        <w:rPr>
          <w:lang w:val="ru-RU" w:eastAsia="bg-BG"/>
        </w:rPr>
        <w:t xml:space="preserve">). </w:t>
      </w:r>
    </w:p>
    <w:p w14:paraId="4E3590AE" w14:textId="77777777" w:rsidR="00E86EAF" w:rsidRPr="002F6170" w:rsidRDefault="00E86EAF" w:rsidP="00E86EAF">
      <w:pPr>
        <w:spacing w:after="120"/>
        <w:jc w:val="both"/>
        <w:rPr>
          <w:color w:val="0070C0"/>
          <w:lang w:eastAsia="bg-BG"/>
        </w:rPr>
      </w:pPr>
      <w:r w:rsidRPr="002F6170">
        <w:rPr>
          <w:b/>
          <w:lang w:eastAsia="bg-BG"/>
        </w:rPr>
        <w:t>Приходите от ДДС</w:t>
      </w:r>
      <w:r w:rsidRPr="002F6170">
        <w:rPr>
          <w:lang w:eastAsia="bg-BG"/>
        </w:rPr>
        <w:t xml:space="preserve"> са в размер на </w:t>
      </w:r>
      <w:r w:rsidRPr="002F6170">
        <w:rPr>
          <w:b/>
          <w:lang w:eastAsia="bg-BG"/>
        </w:rPr>
        <w:t xml:space="preserve">13 483,7 млн. лв., </w:t>
      </w:r>
      <w:r w:rsidRPr="002F6170">
        <w:rPr>
          <w:lang w:eastAsia="bg-BG"/>
        </w:rPr>
        <w:t xml:space="preserve">което представлява 72,4 % от планираните със ЗДБРБ за 2024 година. Съпоставени с края на септември 2023 г., приходите от ДДС нарастват с 1 875,9 млн. лв. </w:t>
      </w:r>
      <w:r w:rsidRPr="002F6170">
        <w:rPr>
          <w:lang w:val="ru-RU" w:eastAsia="bg-BG"/>
        </w:rPr>
        <w:t>(</w:t>
      </w:r>
      <w:r w:rsidRPr="002F6170">
        <w:rPr>
          <w:lang w:eastAsia="bg-BG"/>
        </w:rPr>
        <w:t>16,2 на сто</w:t>
      </w:r>
      <w:r w:rsidRPr="002F6170">
        <w:rPr>
          <w:lang w:val="en-US" w:eastAsia="bg-BG"/>
        </w:rPr>
        <w:t>)</w:t>
      </w:r>
      <w:r w:rsidRPr="002F6170">
        <w:rPr>
          <w:lang w:eastAsia="bg-BG"/>
        </w:rPr>
        <w:t>.</w:t>
      </w:r>
    </w:p>
    <w:p w14:paraId="77FC3B2C" w14:textId="77777777" w:rsidR="00E86EAF" w:rsidRPr="002F6170" w:rsidRDefault="00E86EAF" w:rsidP="00E86EAF">
      <w:pPr>
        <w:ind w:right="-2"/>
        <w:jc w:val="both"/>
        <w:rPr>
          <w:color w:val="0070C0"/>
          <w:lang w:eastAsia="bg-BG"/>
        </w:rPr>
      </w:pPr>
      <w:r w:rsidRPr="002F6170">
        <w:rPr>
          <w:lang w:eastAsia="bg-BG"/>
        </w:rPr>
        <w:t xml:space="preserve">Нетният размер на приходите от </w:t>
      </w:r>
      <w:r w:rsidRPr="002F6170">
        <w:rPr>
          <w:i/>
          <w:lang w:eastAsia="bg-BG"/>
        </w:rPr>
        <w:t>ДДС от внос</w:t>
      </w:r>
      <w:r w:rsidRPr="002F6170">
        <w:rPr>
          <w:lang w:eastAsia="bg-BG"/>
        </w:rPr>
        <w:t xml:space="preserve"> </w:t>
      </w:r>
      <w:r w:rsidRPr="002F6170">
        <w:rPr>
          <w:bCs/>
          <w:lang w:eastAsia="bg-BG"/>
        </w:rPr>
        <w:t>към септември 2024 г.</w:t>
      </w:r>
      <w:r w:rsidRPr="002F6170">
        <w:rPr>
          <w:lang w:eastAsia="bg-BG"/>
        </w:rPr>
        <w:t xml:space="preserve"> е 4 868,2 млн. лв. и се отчита ръст от 9,0 % (401,6 млн. лв.) спрямо данните към септември на предходната година. </w:t>
      </w:r>
      <w:r w:rsidRPr="002F6170">
        <w:rPr>
          <w:shd w:val="clear" w:color="auto" w:fill="FFFFFF"/>
          <w:lang w:eastAsia="bg-BG"/>
        </w:rPr>
        <w:t>Разглеждайки</w:t>
      </w:r>
      <w:r w:rsidRPr="002F6170">
        <w:rPr>
          <w:lang w:eastAsia="bg-BG"/>
        </w:rPr>
        <w:t xml:space="preserve"> декларирания ДДС при внос по групи стоки, съобразно Класификатора на широките икономически категории (</w:t>
      </w:r>
      <w:r w:rsidRPr="002F6170">
        <w:rPr>
          <w:lang w:val="en-US" w:eastAsia="bg-BG"/>
        </w:rPr>
        <w:t>BEC</w:t>
      </w:r>
      <w:r w:rsidRPr="002F6170">
        <w:rPr>
          <w:lang w:eastAsia="bg-BG"/>
        </w:rPr>
        <w:t xml:space="preserve">), през деветте месеца на 2024 г. спрямо същия период на предходната година се наблюдава незначителен спад при групите „Промишлени доставки“, „Инвестиционни стоки“ и „Транспортно оборудване“. Повишение се отчита при групите „Горива и смазочни материали“, „Храни и напитки“ и „Потребителски стоки“. Върху постъпленията от ДДС от внос влияние оказва възможността </w:t>
      </w:r>
      <w:r w:rsidRPr="002F6170">
        <w:rPr>
          <w:iCs/>
          <w:lang w:eastAsia="bg-BG"/>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2F6170">
        <w:rPr>
          <w:bCs/>
          <w:lang w:eastAsia="bg-BG"/>
        </w:rPr>
        <w:t xml:space="preserve"> </w:t>
      </w:r>
      <w:r w:rsidRPr="002F6170">
        <w:rPr>
          <w:lang w:eastAsia="bg-BG"/>
        </w:rPr>
        <w:t xml:space="preserve">Ефектът от прилагането на този режим към края на месец септември 2024 г. </w:t>
      </w:r>
      <w:r w:rsidRPr="002F6170">
        <w:rPr>
          <w:bCs/>
          <w:lang w:eastAsia="bg-BG"/>
        </w:rPr>
        <w:t xml:space="preserve">е </w:t>
      </w:r>
      <w:proofErr w:type="spellStart"/>
      <w:r w:rsidRPr="002F6170">
        <w:rPr>
          <w:bCs/>
          <w:lang w:eastAsia="bg-BG"/>
        </w:rPr>
        <w:t>неначислен</w:t>
      </w:r>
      <w:proofErr w:type="spellEnd"/>
      <w:r w:rsidRPr="002F6170">
        <w:rPr>
          <w:bCs/>
          <w:lang w:eastAsia="bg-BG"/>
        </w:rPr>
        <w:t xml:space="preserve"> ДДС при внос в размер на </w:t>
      </w:r>
      <w:r w:rsidRPr="002F6170">
        <w:rPr>
          <w:color w:val="000000"/>
          <w:lang w:eastAsia="bg-BG"/>
        </w:rPr>
        <w:t>1 166,8</w:t>
      </w:r>
      <w:r w:rsidRPr="002F6170">
        <w:rPr>
          <w:bCs/>
          <w:lang w:eastAsia="bg-BG"/>
        </w:rPr>
        <w:t xml:space="preserve"> млн. лв., което е </w:t>
      </w:r>
      <w:r w:rsidRPr="002F6170">
        <w:rPr>
          <w:color w:val="000000"/>
          <w:lang w:eastAsia="bg-BG"/>
        </w:rPr>
        <w:t>с 206,1</w:t>
      </w:r>
      <w:r w:rsidRPr="002F6170">
        <w:rPr>
          <w:bCs/>
          <w:lang w:eastAsia="bg-BG"/>
        </w:rPr>
        <w:t xml:space="preserve"> млн. лв. повече спрямо същия период на 2023 г. (ръст от </w:t>
      </w:r>
      <w:r w:rsidRPr="002F6170">
        <w:rPr>
          <w:lang w:eastAsia="bg-BG"/>
        </w:rPr>
        <w:t xml:space="preserve">21,5 </w:t>
      </w:r>
      <w:r w:rsidRPr="002F6170">
        <w:rPr>
          <w:bCs/>
          <w:lang w:eastAsia="bg-BG"/>
        </w:rPr>
        <w:t>%). Стоките с най-значителен дял са: р</w:t>
      </w:r>
      <w:r w:rsidRPr="002F6170">
        <w:rPr>
          <w:lang w:eastAsia="bg-BG"/>
        </w:rPr>
        <w:t xml:space="preserve">уди, шлаки и </w:t>
      </w:r>
      <w:proofErr w:type="spellStart"/>
      <w:r w:rsidRPr="002F6170">
        <w:rPr>
          <w:lang w:eastAsia="bg-BG"/>
        </w:rPr>
        <w:t>пепели</w:t>
      </w:r>
      <w:proofErr w:type="spellEnd"/>
      <w:r w:rsidRPr="002F6170">
        <w:rPr>
          <w:lang w:eastAsia="bg-BG"/>
        </w:rPr>
        <w:t xml:space="preserve"> </w:t>
      </w:r>
      <w:r w:rsidRPr="002F6170">
        <w:rPr>
          <w:bCs/>
          <w:lang w:eastAsia="bg-BG"/>
        </w:rPr>
        <w:t xml:space="preserve">– </w:t>
      </w:r>
      <w:r w:rsidRPr="002F6170">
        <w:rPr>
          <w:color w:val="000000"/>
          <w:lang w:eastAsia="bg-BG"/>
        </w:rPr>
        <w:t>734,8</w:t>
      </w:r>
      <w:r w:rsidRPr="002F6170">
        <w:rPr>
          <w:rFonts w:eastAsia="Calibri"/>
          <w:color w:val="000000"/>
          <w:lang w:eastAsia="bg-BG"/>
        </w:rPr>
        <w:t xml:space="preserve"> </w:t>
      </w:r>
      <w:r w:rsidRPr="002F6170">
        <w:rPr>
          <w:bCs/>
          <w:lang w:eastAsia="bg-BG"/>
        </w:rPr>
        <w:t>млн. лв. (</w:t>
      </w:r>
      <w:r w:rsidRPr="002F6170">
        <w:rPr>
          <w:color w:val="000000"/>
          <w:lang w:eastAsia="bg-BG"/>
        </w:rPr>
        <w:t>увеличение с 200,4 млн. лева, 37,5 % ръст</w:t>
      </w:r>
      <w:r w:rsidRPr="002F6170">
        <w:rPr>
          <w:bCs/>
          <w:lang w:eastAsia="bg-BG"/>
        </w:rPr>
        <w:t xml:space="preserve">), мед и изделия от мед – </w:t>
      </w:r>
      <w:r w:rsidRPr="002F6170">
        <w:rPr>
          <w:color w:val="000000"/>
          <w:lang w:eastAsia="bg-BG"/>
        </w:rPr>
        <w:t>178,9 млн. лева (намаление с 6,8 млн. лева, 3,6 % спад</w:t>
      </w:r>
      <w:r w:rsidRPr="002F6170">
        <w:rPr>
          <w:bCs/>
          <w:lang w:eastAsia="bg-BG"/>
        </w:rPr>
        <w:t xml:space="preserve">) и </w:t>
      </w:r>
      <w:r w:rsidRPr="002F6170">
        <w:rPr>
          <w:lang w:eastAsia="bg-BG"/>
        </w:rPr>
        <w:t xml:space="preserve">чугун, желязо и стомана – </w:t>
      </w:r>
      <w:r w:rsidRPr="002F6170">
        <w:rPr>
          <w:color w:val="000000"/>
          <w:lang w:eastAsia="bg-BG"/>
        </w:rPr>
        <w:t>119,4 млн. лева (увеличение с 15,7 млн. лева, 15,2 % ръст</w:t>
      </w:r>
      <w:r w:rsidRPr="002F6170">
        <w:rPr>
          <w:lang w:eastAsia="bg-BG"/>
        </w:rPr>
        <w:t xml:space="preserve">). Изброените три групи стоки формират </w:t>
      </w:r>
      <w:r w:rsidRPr="002F6170">
        <w:rPr>
          <w:color w:val="000000"/>
          <w:lang w:eastAsia="bg-BG"/>
        </w:rPr>
        <w:t xml:space="preserve">88,5 </w:t>
      </w:r>
      <w:r w:rsidRPr="002F6170">
        <w:rPr>
          <w:lang w:eastAsia="bg-BG"/>
        </w:rPr>
        <w:t xml:space="preserve">% от </w:t>
      </w:r>
      <w:proofErr w:type="spellStart"/>
      <w:r w:rsidRPr="002F6170">
        <w:rPr>
          <w:lang w:eastAsia="bg-BG"/>
        </w:rPr>
        <w:t>неначисления</w:t>
      </w:r>
      <w:proofErr w:type="spellEnd"/>
      <w:r w:rsidRPr="002F6170">
        <w:rPr>
          <w:lang w:eastAsia="bg-BG"/>
        </w:rPr>
        <w:t xml:space="preserve"> ДДС при внос за деветте месеца на 2024 година. </w:t>
      </w:r>
    </w:p>
    <w:p w14:paraId="227710A1" w14:textId="7DD4B80B" w:rsidR="00E86EAF" w:rsidRPr="002F6170" w:rsidRDefault="00E86EAF" w:rsidP="00E86EAF">
      <w:pPr>
        <w:spacing w:before="120"/>
        <w:jc w:val="both"/>
        <w:rPr>
          <w:bCs/>
          <w:color w:val="0070C0"/>
          <w:lang w:eastAsia="bg-BG"/>
        </w:rPr>
      </w:pPr>
      <w:r w:rsidRPr="002F6170">
        <w:rPr>
          <w:lang w:eastAsia="bg-BG"/>
        </w:rPr>
        <w:t>Постъпленията от</w:t>
      </w:r>
      <w:r w:rsidRPr="002F6170">
        <w:rPr>
          <w:i/>
          <w:lang w:eastAsia="bg-BG"/>
        </w:rPr>
        <w:t xml:space="preserve"> ДДС при сделки в страната</w:t>
      </w:r>
      <w:r w:rsidR="003E3094">
        <w:rPr>
          <w:i/>
          <w:lang w:eastAsia="bg-BG"/>
        </w:rPr>
        <w:t xml:space="preserve"> и </w:t>
      </w:r>
      <w:proofErr w:type="spellStart"/>
      <w:r w:rsidRPr="002F6170">
        <w:rPr>
          <w:i/>
          <w:lang w:eastAsia="bg-BG"/>
        </w:rPr>
        <w:t>вътреобщностни</w:t>
      </w:r>
      <w:proofErr w:type="spellEnd"/>
      <w:r w:rsidRPr="002F6170">
        <w:rPr>
          <w:i/>
          <w:lang w:eastAsia="bg-BG"/>
        </w:rPr>
        <w:t xml:space="preserve"> придобивания (ВОП) – нето </w:t>
      </w:r>
      <w:r w:rsidRPr="002F6170">
        <w:rPr>
          <w:bCs/>
          <w:lang w:eastAsia="bg-BG"/>
        </w:rPr>
        <w:t>към септември 2024 г.</w:t>
      </w:r>
      <w:r w:rsidRPr="002F6170">
        <w:rPr>
          <w:lang w:eastAsia="bg-BG"/>
        </w:rPr>
        <w:t xml:space="preserve"> възлизат на 8 615,5 млн. лв. Сравнени с данните за същия период на предходната година постъпленията </w:t>
      </w:r>
      <w:r w:rsidRPr="002F6170">
        <w:rPr>
          <w:bCs/>
          <w:lang w:eastAsia="bg-BG"/>
        </w:rPr>
        <w:t xml:space="preserve">нарастват с 20,6 % </w:t>
      </w:r>
      <w:r w:rsidRPr="002F6170">
        <w:rPr>
          <w:bCs/>
          <w:lang w:val="ru-RU" w:eastAsia="bg-BG"/>
        </w:rPr>
        <w:t>(1 474,3 млн. лева)</w:t>
      </w:r>
      <w:r w:rsidRPr="002F6170">
        <w:rPr>
          <w:bCs/>
          <w:lang w:eastAsia="bg-BG"/>
        </w:rPr>
        <w:t xml:space="preserve">. </w:t>
      </w:r>
    </w:p>
    <w:p w14:paraId="4CC5BDE4" w14:textId="77777777" w:rsidR="00E86EAF" w:rsidRPr="002F6170" w:rsidRDefault="00E86EAF" w:rsidP="00E86EAF">
      <w:pPr>
        <w:jc w:val="both"/>
        <w:rPr>
          <w:bCs/>
          <w:color w:val="0070C0"/>
          <w:lang w:eastAsia="bg-BG"/>
        </w:rPr>
      </w:pPr>
      <w:r w:rsidRPr="002F6170">
        <w:rPr>
          <w:i/>
          <w:lang w:eastAsia="bg-BG"/>
        </w:rPr>
        <w:t>Ефективно внесеният ДДС</w:t>
      </w:r>
      <w:r w:rsidRPr="002F6170">
        <w:rPr>
          <w:lang w:eastAsia="bg-BG"/>
        </w:rPr>
        <w:t xml:space="preserve"> по сметките на Националната агенция за приходите</w:t>
      </w:r>
      <w:r w:rsidRPr="002F6170">
        <w:rPr>
          <w:i/>
          <w:lang w:eastAsia="bg-BG"/>
        </w:rPr>
        <w:t xml:space="preserve"> </w:t>
      </w:r>
      <w:r w:rsidRPr="002F6170">
        <w:rPr>
          <w:lang w:eastAsia="bg-BG"/>
        </w:rPr>
        <w:t>се</w:t>
      </w:r>
      <w:r w:rsidRPr="002F6170">
        <w:rPr>
          <w:i/>
          <w:lang w:eastAsia="bg-BG"/>
        </w:rPr>
        <w:t xml:space="preserve"> </w:t>
      </w:r>
      <w:r w:rsidRPr="002F6170">
        <w:rPr>
          <w:lang w:eastAsia="bg-BG"/>
        </w:rPr>
        <w:t>формира от данък по справки-декларации от сделки в страната и ВОП и допълнително внесени суми, разкрити с данъчно-ревизионни актове при ревизии. Тези постъпления са в размер на 16 539,4</w:t>
      </w:r>
      <w:r w:rsidRPr="002F6170">
        <w:rPr>
          <w:lang w:val="en-US" w:eastAsia="bg-BG"/>
        </w:rPr>
        <w:t> </w:t>
      </w:r>
      <w:r w:rsidRPr="002F6170">
        <w:rPr>
          <w:lang w:eastAsia="bg-BG"/>
        </w:rPr>
        <w:t>млн. лв., което представлява ръст от 8,7 % (1 318,1 млн. лв.) спрямо септември 2023 година.</w:t>
      </w:r>
      <w:r w:rsidRPr="002F6170">
        <w:rPr>
          <w:lang w:val="en-US" w:eastAsia="bg-BG"/>
        </w:rPr>
        <w:t xml:space="preserve"> </w:t>
      </w:r>
      <w:r w:rsidRPr="002F6170">
        <w:rPr>
          <w:lang w:eastAsia="bg-BG"/>
        </w:rPr>
        <w:t xml:space="preserve">Декларираният ДДС за възстановяване зависи от размера на износа и извършените инвестиции. Регистрираните лица по ДДС упражняват право на данъчен кредит чрез приспадане по реда на чл. 92, ал. 1 от ЗДДС или чрез ефективно възстановяване от данъчната администрация след определения срок. </w:t>
      </w:r>
      <w:r w:rsidRPr="002F6170">
        <w:rPr>
          <w:i/>
          <w:lang w:eastAsia="bg-BG"/>
        </w:rPr>
        <w:t>Приспаднатият данък</w:t>
      </w:r>
      <w:r w:rsidRPr="002F6170">
        <w:rPr>
          <w:lang w:eastAsia="bg-BG"/>
        </w:rPr>
        <w:t xml:space="preserve"> към септември 2024 г. е 656,6</w:t>
      </w:r>
      <w:r w:rsidRPr="002F6170">
        <w:rPr>
          <w:lang w:val="en-US" w:eastAsia="bg-BG"/>
        </w:rPr>
        <w:t> </w:t>
      </w:r>
      <w:r w:rsidRPr="002F6170">
        <w:rPr>
          <w:lang w:eastAsia="bg-BG"/>
        </w:rPr>
        <w:t>млн. лв. и е с 67,6 млн. лв. по-малко от 2023 година (9,3 % спад). От началото на годината възстановеният данък е в размер на 7 923,9 млн. лв., което е със 156,2 млн. лв. под възстановените суми към септември миналата година. Дължимите суми, подлежащи на възстановяване</w:t>
      </w:r>
      <w:r w:rsidRPr="002F6170" w:rsidDel="0052072D">
        <w:rPr>
          <w:bCs/>
          <w:lang w:eastAsia="bg-BG"/>
        </w:rPr>
        <w:t xml:space="preserve"> </w:t>
      </w:r>
      <w:r w:rsidRPr="002F6170">
        <w:rPr>
          <w:bCs/>
          <w:lang w:eastAsia="bg-BG"/>
        </w:rPr>
        <w:t>към 30.09.2024 г. са в размер на 68,3 млн. лева.</w:t>
      </w:r>
    </w:p>
    <w:p w14:paraId="59129FA8" w14:textId="4F6CA4CC" w:rsidR="00E86EAF" w:rsidRPr="002F6170" w:rsidRDefault="00E86EAF" w:rsidP="00E86EAF">
      <w:pPr>
        <w:spacing w:before="120" w:after="120"/>
        <w:jc w:val="both"/>
        <w:rPr>
          <w:color w:val="0070C0"/>
          <w:lang w:eastAsia="bg-BG"/>
        </w:rPr>
      </w:pPr>
      <w:r w:rsidRPr="002F6170">
        <w:rPr>
          <w:b/>
          <w:lang w:eastAsia="bg-BG"/>
        </w:rPr>
        <w:t xml:space="preserve">Приходите от акцизи (нето) </w:t>
      </w:r>
      <w:r w:rsidRPr="002F6170">
        <w:rPr>
          <w:lang w:eastAsia="bg-BG"/>
        </w:rPr>
        <w:t xml:space="preserve">от внос, вътрешно производство и въведени в страната от други държави-членки на ЕС акцизни стоки са в размер на </w:t>
      </w:r>
      <w:r w:rsidRPr="002F6170">
        <w:rPr>
          <w:b/>
          <w:lang w:eastAsia="bg-BG"/>
        </w:rPr>
        <w:t>5 078,9 млн. лв</w:t>
      </w:r>
      <w:r w:rsidRPr="002F6170">
        <w:rPr>
          <w:lang w:eastAsia="bg-BG"/>
        </w:rPr>
        <w:t>., което е 78,8 % от планираните със ЗДБРБ за 2024 г. Съпоставени с</w:t>
      </w:r>
      <w:r w:rsidR="00262699">
        <w:rPr>
          <w:lang w:eastAsia="bg-BG"/>
        </w:rPr>
        <w:t>ъс</w:t>
      </w:r>
      <w:r w:rsidRPr="002F6170">
        <w:rPr>
          <w:lang w:eastAsia="bg-BG"/>
        </w:rPr>
        <w:t xml:space="preserve"> септември 2023 г. постъпленията от акцизи нарастват номинално с 526,3 млн. лв. (11,6 %).</w:t>
      </w:r>
    </w:p>
    <w:p w14:paraId="3A83C2FA" w14:textId="77777777" w:rsidR="00E86EAF" w:rsidRPr="002F6170" w:rsidRDefault="00E86EAF" w:rsidP="00E86EAF">
      <w:pPr>
        <w:spacing w:before="120" w:after="120"/>
        <w:jc w:val="both"/>
        <w:rPr>
          <w:color w:val="0070C0"/>
          <w:lang w:eastAsia="bg-BG"/>
        </w:rPr>
      </w:pPr>
      <w:r w:rsidRPr="002F6170">
        <w:rPr>
          <w:lang w:eastAsia="bg-BG"/>
        </w:rPr>
        <w:t>Относителният дял на нетните постъпления от акциз по стокови групи е от: тютюн и тютюневи изделия (54,6 %); горива (39,9 %); алкохол и алкохолни напитки, вкл. бира (5,1 %) и други акцизни стоки (0,4 %). Постъпленията от акциз към септември 2024 г. по основни стокови групи, са както следва:</w:t>
      </w:r>
    </w:p>
    <w:p w14:paraId="6BDBCD94" w14:textId="77777777" w:rsidR="00E86EAF" w:rsidRPr="002F6170" w:rsidRDefault="00E86EAF" w:rsidP="00E86EAF">
      <w:pPr>
        <w:numPr>
          <w:ilvl w:val="0"/>
          <w:numId w:val="13"/>
        </w:numPr>
        <w:ind w:firstLine="66"/>
        <w:jc w:val="both"/>
        <w:rPr>
          <w:i/>
          <w:color w:val="0070C0"/>
          <w:lang w:eastAsia="bg-BG"/>
        </w:rPr>
      </w:pPr>
      <w:r w:rsidRPr="002F6170">
        <w:rPr>
          <w:i/>
          <w:lang w:eastAsia="bg-BG"/>
        </w:rPr>
        <w:t xml:space="preserve">акцизите от тютюн и тютюневи изделия </w:t>
      </w:r>
      <w:r w:rsidRPr="002F6170">
        <w:rPr>
          <w:lang w:eastAsia="bg-BG"/>
        </w:rPr>
        <w:t>възлизат на 2 772,6 млн. лева</w:t>
      </w:r>
      <w:r w:rsidRPr="002F6170">
        <w:rPr>
          <w:i/>
          <w:lang w:eastAsia="bg-BG"/>
        </w:rPr>
        <w:t xml:space="preserve">; </w:t>
      </w:r>
    </w:p>
    <w:p w14:paraId="6A6AA205" w14:textId="77777777" w:rsidR="00E86EAF" w:rsidRPr="002F6170" w:rsidRDefault="00E86EAF" w:rsidP="00E86EAF">
      <w:pPr>
        <w:numPr>
          <w:ilvl w:val="0"/>
          <w:numId w:val="13"/>
        </w:numPr>
        <w:ind w:firstLine="66"/>
        <w:jc w:val="both"/>
        <w:rPr>
          <w:color w:val="0070C0"/>
          <w:lang w:eastAsia="bg-BG"/>
        </w:rPr>
      </w:pPr>
      <w:r w:rsidRPr="002F6170">
        <w:rPr>
          <w:i/>
          <w:lang w:eastAsia="bg-BG"/>
        </w:rPr>
        <w:t>акцизите от горива</w:t>
      </w:r>
      <w:r w:rsidRPr="002F6170">
        <w:rPr>
          <w:lang w:eastAsia="bg-BG"/>
        </w:rPr>
        <w:t xml:space="preserve"> са в размер на 2 026,8 млн. лева; </w:t>
      </w:r>
    </w:p>
    <w:p w14:paraId="17D69261" w14:textId="77777777" w:rsidR="00E86EAF" w:rsidRPr="002F6170" w:rsidRDefault="00E86EAF" w:rsidP="00E86EAF">
      <w:pPr>
        <w:numPr>
          <w:ilvl w:val="0"/>
          <w:numId w:val="13"/>
        </w:numPr>
        <w:ind w:firstLine="66"/>
        <w:jc w:val="both"/>
        <w:rPr>
          <w:lang w:eastAsia="bg-BG"/>
        </w:rPr>
      </w:pPr>
      <w:r w:rsidRPr="002F6170">
        <w:rPr>
          <w:i/>
          <w:lang w:eastAsia="bg-BG"/>
        </w:rPr>
        <w:t xml:space="preserve">акцизите от алкохол и алкохолни напитки (вкл. бира) </w:t>
      </w:r>
      <w:r w:rsidRPr="002F6170">
        <w:rPr>
          <w:lang w:eastAsia="bg-BG"/>
        </w:rPr>
        <w:t xml:space="preserve">възлизат на 261,1 млн. лева; </w:t>
      </w:r>
    </w:p>
    <w:p w14:paraId="1DBA50AF" w14:textId="77777777" w:rsidR="00E86EAF" w:rsidRPr="002F6170" w:rsidRDefault="00E86EAF" w:rsidP="00E86EAF">
      <w:pPr>
        <w:numPr>
          <w:ilvl w:val="0"/>
          <w:numId w:val="13"/>
        </w:numPr>
        <w:ind w:firstLine="66"/>
        <w:jc w:val="both"/>
        <w:rPr>
          <w:lang w:eastAsia="bg-BG"/>
        </w:rPr>
      </w:pPr>
      <w:r w:rsidRPr="002F6170">
        <w:rPr>
          <w:i/>
          <w:lang w:eastAsia="bg-BG"/>
        </w:rPr>
        <w:t xml:space="preserve">приходите от ел. енергия и др. акцизни стоки </w:t>
      </w:r>
      <w:r w:rsidRPr="002F6170">
        <w:rPr>
          <w:lang w:eastAsia="bg-BG"/>
        </w:rPr>
        <w:t>възлизат на 18,4 млн. лева.</w:t>
      </w:r>
    </w:p>
    <w:p w14:paraId="0FB5FAF5" w14:textId="77777777" w:rsidR="00E86EAF" w:rsidRPr="002F6170" w:rsidRDefault="00E86EAF" w:rsidP="00E86EAF">
      <w:pPr>
        <w:ind w:left="360"/>
        <w:jc w:val="both"/>
        <w:rPr>
          <w:color w:val="0070C0"/>
          <w:sz w:val="8"/>
          <w:szCs w:val="8"/>
          <w:lang w:eastAsia="bg-BG"/>
        </w:rPr>
      </w:pPr>
    </w:p>
    <w:p w14:paraId="53693104" w14:textId="77777777" w:rsidR="00E86EAF" w:rsidRPr="002F6170" w:rsidRDefault="00E86EAF" w:rsidP="00E86EAF">
      <w:pPr>
        <w:spacing w:after="120"/>
        <w:jc w:val="both"/>
        <w:rPr>
          <w:color w:val="0070C0"/>
          <w:lang w:val="en-US" w:eastAsia="bg-BG"/>
        </w:rPr>
      </w:pPr>
      <w:r w:rsidRPr="002F6170">
        <w:rPr>
          <w:b/>
          <w:lang w:eastAsia="bg-BG"/>
        </w:rPr>
        <w:t>Приходите от данък върху застрахователните премии</w:t>
      </w:r>
      <w:r w:rsidRPr="002F6170">
        <w:rPr>
          <w:lang w:eastAsia="bg-BG"/>
        </w:rPr>
        <w:t xml:space="preserve"> са в размер на </w:t>
      </w:r>
      <w:r w:rsidRPr="002F6170">
        <w:rPr>
          <w:b/>
          <w:lang w:eastAsia="bg-BG"/>
        </w:rPr>
        <w:t>50,8 млн. лв</w:t>
      </w:r>
      <w:r w:rsidRPr="002F6170">
        <w:rPr>
          <w:lang w:eastAsia="bg-BG"/>
        </w:rPr>
        <w:t xml:space="preserve">., при планирани за годината 63,0 млн. лева. В сравнение със същия период на 2023 г. приходите отчитат ръст от 7,2 млн. лв. (16,6 на сто). Изпълнението на приходите от данъка върху застрахователните премии по облагаеми застрахователни договори, рисковете по които са поети от застрахователи, зависят основно от ръста или спада на записаните застрахователни премии. </w:t>
      </w:r>
    </w:p>
    <w:p w14:paraId="058A4025" w14:textId="7EC7D15C" w:rsidR="00E86EAF" w:rsidRPr="002F6170" w:rsidRDefault="00E86EAF" w:rsidP="00E86EAF">
      <w:pPr>
        <w:autoSpaceDE w:val="0"/>
        <w:autoSpaceDN w:val="0"/>
        <w:adjustRightInd w:val="0"/>
        <w:spacing w:after="120"/>
        <w:jc w:val="both"/>
        <w:rPr>
          <w:rFonts w:eastAsia="Batang"/>
          <w:bCs/>
          <w:color w:val="0070C0"/>
        </w:rPr>
      </w:pPr>
      <w:r w:rsidRPr="002F6170">
        <w:rPr>
          <w:b/>
          <w:lang w:eastAsia="bg-BG"/>
        </w:rPr>
        <w:t>Постъпленията от</w:t>
      </w:r>
      <w:r w:rsidRPr="002F6170">
        <w:rPr>
          <w:lang w:eastAsia="bg-BG"/>
        </w:rPr>
        <w:t xml:space="preserve"> </w:t>
      </w:r>
      <w:r w:rsidRPr="002F6170">
        <w:rPr>
          <w:b/>
          <w:bCs/>
          <w:lang w:eastAsia="bg-BG"/>
        </w:rPr>
        <w:t xml:space="preserve">мита </w:t>
      </w:r>
      <w:r w:rsidRPr="002F6170">
        <w:rPr>
          <w:lang w:eastAsia="bg-BG"/>
        </w:rPr>
        <w:t xml:space="preserve">възлизат на </w:t>
      </w:r>
      <w:r w:rsidRPr="002F6170">
        <w:rPr>
          <w:b/>
          <w:lang w:eastAsia="bg-BG"/>
        </w:rPr>
        <w:t>241,9 млн. лв</w:t>
      </w:r>
      <w:r w:rsidRPr="002F6170">
        <w:rPr>
          <w:lang w:eastAsia="bg-BG"/>
        </w:rPr>
        <w:t>. или 65,4 % от планираните със ЗДБРБ за 2024</w:t>
      </w:r>
      <w:r>
        <w:rPr>
          <w:lang w:val="en-US" w:eastAsia="bg-BG"/>
        </w:rPr>
        <w:t> </w:t>
      </w:r>
      <w:r w:rsidRPr="002F6170">
        <w:rPr>
          <w:lang w:eastAsia="bg-BG"/>
        </w:rPr>
        <w:t>г., като заемат 0,9 % относителен дял в общия размер на данъчните приходи по държавния бюджет. Събраните приходи от мита към месец септември са с 6,4 млн. лв. (2,6 %) по-малко спрямо същия период на 2023 година. Влияние върху спада в приходите от мита оказват нарушените вериги на доставки в резултат на събитията в Червено море, както и въведените от ЕС ограничителни мерки спрямо Русия в съответств</w:t>
      </w:r>
      <w:r w:rsidR="002B2FD2">
        <w:rPr>
          <w:lang w:eastAsia="bg-BG"/>
        </w:rPr>
        <w:t xml:space="preserve">ие с Регламент (ЕС) № 833/2014 </w:t>
      </w:r>
      <w:r w:rsidRPr="002F6170">
        <w:rPr>
          <w:lang w:eastAsia="bg-BG"/>
        </w:rPr>
        <w:t xml:space="preserve">и неговите последващи изменения и допълнения. </w:t>
      </w:r>
      <w:r w:rsidR="00654BC1" w:rsidRPr="00C81B03">
        <w:t xml:space="preserve">Друг фактор върху намалените постъпления от мита </w:t>
      </w:r>
      <w:r w:rsidR="00654BC1" w:rsidRPr="0074621A">
        <w:t xml:space="preserve">през годината </w:t>
      </w:r>
      <w:r w:rsidR="002B2FD2">
        <w:t xml:space="preserve">има Регламент (ЕС) 2024/1392 </w:t>
      </w:r>
      <w:r w:rsidR="00654BC1" w:rsidRPr="00AC2193">
        <w:t>на ЕП и Съвета от 14 май 2024 г., както и действащия преди това Регламент (ЕС) 2023/1077 (прилага се до 5 юни  2024</w:t>
      </w:r>
      <w:r w:rsidR="00654BC1">
        <w:t> </w:t>
      </w:r>
      <w:r w:rsidR="00654BC1" w:rsidRPr="00AC2193">
        <w:t>г.) във връзка с преференциалния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продукти съгласно приложение I-A към Споразумението за асоцииране, спиране на прилагането на тарифните квоти и пълно премахване на вносните мита за тези продукти, и други</w:t>
      </w:r>
      <w:r w:rsidRPr="002F6170">
        <w:rPr>
          <w:lang w:eastAsia="bg-BG"/>
        </w:rPr>
        <w:t>.</w:t>
      </w:r>
    </w:p>
    <w:p w14:paraId="23CB8F2E" w14:textId="77777777" w:rsidR="00E86EAF" w:rsidRPr="002F6170" w:rsidRDefault="00E86EAF" w:rsidP="00E86EAF">
      <w:pPr>
        <w:tabs>
          <w:tab w:val="right" w:pos="9072"/>
        </w:tabs>
        <w:spacing w:before="120" w:after="240"/>
        <w:contextualSpacing/>
        <w:jc w:val="both"/>
        <w:rPr>
          <w:color w:val="0070C0"/>
          <w:lang w:eastAsia="bg-BG"/>
        </w:rPr>
      </w:pPr>
      <w:r w:rsidRPr="002F6170">
        <w:rPr>
          <w:lang w:eastAsia="bg-BG"/>
        </w:rPr>
        <w:t xml:space="preserve">При два от показателите, които се използват за оценка на динамиката на приходите от мита при внесените стоки, обложени със ставка на митото, различна от „0“ се отбелязва спад през първите девет месеца на 2024 г. спрямо същия период на предходната година. Намалените приходи от мита са в резултат от </w:t>
      </w:r>
      <w:r w:rsidRPr="002F6170">
        <w:rPr>
          <w:i/>
          <w:lang w:eastAsia="bg-BG"/>
        </w:rPr>
        <w:t>спада на количествата</w:t>
      </w:r>
      <w:r w:rsidRPr="002F6170">
        <w:rPr>
          <w:lang w:eastAsia="bg-BG"/>
        </w:rPr>
        <w:t xml:space="preserve"> на внесените стоки, обложени със ставка на митото, различна от „0“ с 15,9 % и от спада на </w:t>
      </w:r>
      <w:r w:rsidRPr="002F6170">
        <w:rPr>
          <w:i/>
          <w:color w:val="000000"/>
          <w:lang w:eastAsia="bg-BG"/>
        </w:rPr>
        <w:t>осреднената ставка на митото</w:t>
      </w:r>
      <w:r w:rsidRPr="002F6170">
        <w:rPr>
          <w:lang w:eastAsia="bg-BG"/>
        </w:rPr>
        <w:t xml:space="preserve">, приложена за облагане на </w:t>
      </w:r>
      <w:r w:rsidRPr="002F6170">
        <w:rPr>
          <w:color w:val="000000"/>
          <w:lang w:eastAsia="bg-BG"/>
        </w:rPr>
        <w:t xml:space="preserve">внесените от трети страни стоки </w:t>
      </w:r>
      <w:r w:rsidRPr="002F6170">
        <w:rPr>
          <w:lang w:eastAsia="bg-BG"/>
        </w:rPr>
        <w:t xml:space="preserve">от 2,9 % на годишна база. При </w:t>
      </w:r>
      <w:r w:rsidRPr="002F6170">
        <w:rPr>
          <w:i/>
          <w:lang w:eastAsia="bg-BG"/>
        </w:rPr>
        <w:t>осреднената статистическа стойност за килограм</w:t>
      </w:r>
      <w:r w:rsidRPr="002F6170">
        <w:rPr>
          <w:lang w:eastAsia="bg-BG"/>
        </w:rPr>
        <w:t xml:space="preserve"> внесена стока се отчита ръст от </w:t>
      </w:r>
      <w:r w:rsidRPr="002F6170">
        <w:rPr>
          <w:color w:val="000000"/>
          <w:lang w:eastAsia="bg-BG"/>
        </w:rPr>
        <w:t>13,9</w:t>
      </w:r>
      <w:r w:rsidRPr="002F6170">
        <w:rPr>
          <w:lang w:eastAsia="bg-BG"/>
        </w:rPr>
        <w:t xml:space="preserve"> % спрямо същия период на предната година.</w:t>
      </w:r>
    </w:p>
    <w:p w14:paraId="534092FA" w14:textId="77777777" w:rsidR="00E86EAF" w:rsidRPr="002F6170" w:rsidRDefault="00E86EAF" w:rsidP="00E86EAF">
      <w:pPr>
        <w:spacing w:after="120"/>
        <w:jc w:val="both"/>
        <w:rPr>
          <w:lang w:eastAsia="bg-BG"/>
        </w:rPr>
      </w:pPr>
      <w:r w:rsidRPr="002F6170">
        <w:rPr>
          <w:lang w:eastAsia="bg-BG"/>
        </w:rPr>
        <w:t>В зависимост от произхода на внасяните стоки, през месец септември 2024 г. най-голям е делът на начислените приходи от мита при внос на стоки от Китай. Декларираната сума е 122,8 млн. лева, което представлява 53,8 % от всички начислени мита, като спрямо септември 2023 г. е отчетен спад от 10,8 %.</w:t>
      </w:r>
    </w:p>
    <w:p w14:paraId="6F5374A8" w14:textId="77777777" w:rsidR="00E86EAF" w:rsidRPr="002F6170" w:rsidRDefault="00E86EAF" w:rsidP="00E86EAF">
      <w:pPr>
        <w:numPr>
          <w:ilvl w:val="0"/>
          <w:numId w:val="4"/>
        </w:numPr>
        <w:tabs>
          <w:tab w:val="clear" w:pos="1440"/>
          <w:tab w:val="num" w:pos="540"/>
        </w:tabs>
        <w:ind w:left="0" w:firstLine="181"/>
        <w:jc w:val="both"/>
        <w:rPr>
          <w:b/>
          <w:bCs/>
          <w:lang w:eastAsia="bg-BG"/>
        </w:rPr>
      </w:pPr>
      <w:r w:rsidRPr="002F6170">
        <w:rPr>
          <w:b/>
          <w:bCs/>
          <w:lang w:eastAsia="bg-BG"/>
        </w:rPr>
        <w:t>Други данъци</w:t>
      </w:r>
    </w:p>
    <w:p w14:paraId="6FAF4A30" w14:textId="77777777" w:rsidR="00E86EAF" w:rsidRPr="002F6170" w:rsidRDefault="00E86EAF" w:rsidP="00E86EAF">
      <w:pPr>
        <w:spacing w:after="120"/>
        <w:jc w:val="both"/>
        <w:rPr>
          <w:lang w:eastAsia="bg-BG"/>
        </w:rPr>
      </w:pPr>
      <w:r w:rsidRPr="002F6170">
        <w:rPr>
          <w:lang w:eastAsia="bg-BG"/>
        </w:rPr>
        <w:t xml:space="preserve">Постъпленията от </w:t>
      </w:r>
      <w:r w:rsidRPr="002F6170">
        <w:rPr>
          <w:b/>
          <w:lang w:eastAsia="bg-BG"/>
        </w:rPr>
        <w:t>други данъци</w:t>
      </w:r>
      <w:r w:rsidRPr="002F6170">
        <w:rPr>
          <w:lang w:eastAsia="bg-BG"/>
        </w:rPr>
        <w:t xml:space="preserve"> по държавния бюджет </w:t>
      </w:r>
      <w:r w:rsidRPr="002F6170">
        <w:rPr>
          <w:bCs/>
          <w:lang w:eastAsia="bg-BG"/>
        </w:rPr>
        <w:t>към края на септември 2024</w:t>
      </w:r>
      <w:r w:rsidRPr="002F6170">
        <w:rPr>
          <w:lang w:eastAsia="bg-BG"/>
        </w:rPr>
        <w:t xml:space="preserve"> г. са в размер на </w:t>
      </w:r>
      <w:r w:rsidRPr="002F6170">
        <w:rPr>
          <w:b/>
          <w:lang w:eastAsia="bg-BG"/>
        </w:rPr>
        <w:t>179,4 млн. лв.</w:t>
      </w:r>
      <w:r w:rsidRPr="002F6170">
        <w:rPr>
          <w:bCs/>
          <w:lang w:eastAsia="bg-BG"/>
        </w:rPr>
        <w:t xml:space="preserve"> или 64,8 % от планираните със ЗДБРБ за 2024 г. Съпоставени с данните към септември 2023 г. приходите от други данъци са с 65,6 млн. лв. по-малко</w:t>
      </w:r>
      <w:r w:rsidRPr="002F6170">
        <w:rPr>
          <w:bCs/>
          <w:lang w:val="ru-RU" w:eastAsia="bg-BG"/>
        </w:rPr>
        <w:t>.</w:t>
      </w:r>
      <w:r w:rsidRPr="002F6170">
        <w:rPr>
          <w:bCs/>
          <w:lang w:eastAsia="bg-BG"/>
        </w:rPr>
        <w:t xml:space="preserve"> Въведената мярка „временна солидарна вноска и енергийни вноски“ по Регламент (ЕС) 2022/1854 на Съвета от 6 октомври 2022 г. относно спешна намеса за справяне с високите цени на енергията с действие от 1 октомври 2022 година е с изтекъл срок на действие и не се прилага през 2024 година</w:t>
      </w:r>
      <w:r w:rsidRPr="002F6170">
        <w:rPr>
          <w:lang w:eastAsia="bg-BG"/>
        </w:rPr>
        <w:t>.</w:t>
      </w:r>
    </w:p>
    <w:p w14:paraId="32BE08B4" w14:textId="77777777" w:rsidR="00E86EAF" w:rsidRPr="002F6170" w:rsidRDefault="00E86EAF" w:rsidP="00E86EAF">
      <w:pPr>
        <w:numPr>
          <w:ilvl w:val="0"/>
          <w:numId w:val="3"/>
        </w:numPr>
        <w:tabs>
          <w:tab w:val="num" w:pos="720"/>
        </w:tabs>
        <w:ind w:left="0" w:firstLine="181"/>
        <w:jc w:val="both"/>
        <w:rPr>
          <w:lang w:eastAsia="bg-BG"/>
        </w:rPr>
      </w:pPr>
      <w:r w:rsidRPr="002F6170">
        <w:rPr>
          <w:b/>
          <w:bCs/>
          <w:lang w:eastAsia="bg-BG"/>
        </w:rPr>
        <w:t>Неданъчни приходи</w:t>
      </w:r>
    </w:p>
    <w:p w14:paraId="3F609F35" w14:textId="6287B422" w:rsidR="00E86EAF" w:rsidRPr="002F6170" w:rsidRDefault="00E86EAF" w:rsidP="00E86EAF">
      <w:pPr>
        <w:tabs>
          <w:tab w:val="left" w:pos="900"/>
        </w:tabs>
        <w:spacing w:after="120"/>
        <w:jc w:val="both"/>
        <w:rPr>
          <w:rFonts w:eastAsia="Calibri"/>
        </w:rPr>
      </w:pPr>
      <w:r w:rsidRPr="002F6170">
        <w:rPr>
          <w:lang w:eastAsia="bg-BG"/>
        </w:rPr>
        <w:t>Отчетените</w:t>
      </w:r>
      <w:r w:rsidRPr="002F6170">
        <w:rPr>
          <w:b/>
          <w:bCs/>
          <w:lang w:eastAsia="bg-BG"/>
        </w:rPr>
        <w:t xml:space="preserve"> неданъчни приходи</w:t>
      </w:r>
      <w:r w:rsidRPr="002F6170">
        <w:rPr>
          <w:lang w:eastAsia="bg-BG"/>
        </w:rPr>
        <w:t xml:space="preserve"> по държавния бюджет </w:t>
      </w:r>
      <w:r w:rsidRPr="002F6170">
        <w:rPr>
          <w:bCs/>
          <w:lang w:eastAsia="bg-BG"/>
        </w:rPr>
        <w:t>към септември 2024 г.</w:t>
      </w:r>
      <w:r w:rsidRPr="002F6170">
        <w:rPr>
          <w:lang w:eastAsia="bg-BG"/>
        </w:rPr>
        <w:t xml:space="preserve"> са в размер на </w:t>
      </w:r>
      <w:r w:rsidRPr="002F6170">
        <w:rPr>
          <w:b/>
          <w:lang w:eastAsia="bg-BG"/>
        </w:rPr>
        <w:t>3 703,5 млн. лв</w:t>
      </w:r>
      <w:r w:rsidRPr="002F6170">
        <w:rPr>
          <w:lang w:eastAsia="bg-BG"/>
        </w:rPr>
        <w:t>. и се формират основно от приходи от държавни такси, приходи и доходи от собственост, вкл. приходи от дивидент за държавата от държавните предприятия, приходи от концесии и други неданъчни приходи.</w:t>
      </w:r>
      <w:r w:rsidRPr="002F6170">
        <w:rPr>
          <w:lang w:val="en-US" w:eastAsia="bg-BG"/>
        </w:rPr>
        <w:t xml:space="preserve"> </w:t>
      </w:r>
      <w:r w:rsidRPr="002F6170">
        <w:rPr>
          <w:lang w:eastAsia="bg-BG"/>
        </w:rPr>
        <w:t xml:space="preserve">Сравнени със същия период на предходната година неданъчните приходи намаляват със 744,3 млн. лв. </w:t>
      </w:r>
      <w:r w:rsidRPr="002F6170">
        <w:rPr>
          <w:lang w:val="en-US" w:eastAsia="bg-BG"/>
        </w:rPr>
        <w:t>(</w:t>
      </w:r>
      <w:r w:rsidRPr="002F6170">
        <w:rPr>
          <w:lang w:eastAsia="bg-BG"/>
        </w:rPr>
        <w:t>основно поради спад при приходите от дивидент за държавата от държавни предприятия</w:t>
      </w:r>
      <w:r w:rsidRPr="002F6170">
        <w:rPr>
          <w:rFonts w:eastAsia="Calibri"/>
          <w:lang w:val="en-US"/>
        </w:rPr>
        <w:t>)</w:t>
      </w:r>
      <w:r w:rsidRPr="002F6170">
        <w:rPr>
          <w:rFonts w:eastAsia="Calibri"/>
        </w:rPr>
        <w:t>.</w:t>
      </w:r>
      <w:r w:rsidRPr="002F6170">
        <w:rPr>
          <w:noProof/>
          <w:szCs w:val="26"/>
          <w:lang w:eastAsia="bg-BG"/>
        </w:rPr>
        <w:t xml:space="preserve"> </w:t>
      </w:r>
      <w:r w:rsidR="000F69E1" w:rsidRPr="004B4E5B">
        <w:rPr>
          <w:noProof/>
          <w:szCs w:val="26"/>
        </w:rPr>
        <w:t>Постъпленията от дивидент към отчетния период са 92,0 млн. лв., при планирани 324,3 млн. л</w:t>
      </w:r>
      <w:r w:rsidR="000F69E1">
        <w:rPr>
          <w:noProof/>
          <w:szCs w:val="26"/>
        </w:rPr>
        <w:t>е</w:t>
      </w:r>
      <w:r w:rsidR="000F69E1" w:rsidRPr="004B4E5B">
        <w:rPr>
          <w:noProof/>
          <w:szCs w:val="26"/>
        </w:rPr>
        <w:t>в</w:t>
      </w:r>
      <w:r w:rsidR="000F69E1">
        <w:rPr>
          <w:noProof/>
          <w:szCs w:val="26"/>
        </w:rPr>
        <w:t>а</w:t>
      </w:r>
      <w:r w:rsidRPr="002F6170">
        <w:rPr>
          <w:noProof/>
          <w:szCs w:val="26"/>
          <w:lang w:eastAsia="bg-BG"/>
        </w:rPr>
        <w:t>.</w:t>
      </w:r>
    </w:p>
    <w:p w14:paraId="78C88878" w14:textId="77777777" w:rsidR="00E86EAF" w:rsidRPr="002F6170" w:rsidRDefault="00E86EAF" w:rsidP="00E86EAF">
      <w:pPr>
        <w:numPr>
          <w:ilvl w:val="0"/>
          <w:numId w:val="3"/>
        </w:numPr>
        <w:tabs>
          <w:tab w:val="num" w:pos="720"/>
        </w:tabs>
        <w:ind w:left="0" w:firstLine="181"/>
        <w:jc w:val="both"/>
        <w:rPr>
          <w:b/>
          <w:bCs/>
          <w:lang w:eastAsia="bg-BG"/>
        </w:rPr>
      </w:pPr>
      <w:r w:rsidRPr="002F6170">
        <w:rPr>
          <w:b/>
          <w:bCs/>
          <w:lang w:eastAsia="bg-BG"/>
        </w:rPr>
        <w:t>Помощи и дарения</w:t>
      </w:r>
    </w:p>
    <w:p w14:paraId="40286A17" w14:textId="77777777" w:rsidR="00E86EAF" w:rsidRPr="002F6170" w:rsidRDefault="00E86EAF" w:rsidP="00E86EAF">
      <w:pPr>
        <w:spacing w:before="120" w:after="120"/>
        <w:jc w:val="both"/>
        <w:rPr>
          <w:b/>
          <w:lang w:eastAsia="bg-BG"/>
        </w:rPr>
      </w:pPr>
      <w:r w:rsidRPr="002F6170">
        <w:rPr>
          <w:lang w:eastAsia="bg-BG"/>
        </w:rPr>
        <w:t xml:space="preserve">Постъпилите </w:t>
      </w:r>
      <w:r w:rsidRPr="002F6170">
        <w:rPr>
          <w:b/>
          <w:lang w:eastAsia="bg-BG"/>
        </w:rPr>
        <w:t>помощи</w:t>
      </w:r>
      <w:r w:rsidRPr="002F6170">
        <w:rPr>
          <w:lang w:eastAsia="bg-BG"/>
        </w:rPr>
        <w:t xml:space="preserve"> </w:t>
      </w:r>
      <w:r w:rsidRPr="002F6170">
        <w:rPr>
          <w:b/>
          <w:lang w:eastAsia="bg-BG"/>
        </w:rPr>
        <w:t>и дарения</w:t>
      </w:r>
      <w:r w:rsidRPr="002F6170">
        <w:rPr>
          <w:lang w:eastAsia="bg-BG"/>
        </w:rPr>
        <w:t xml:space="preserve"> по държавния бюджет към септември 2024 г. са в размер на </w:t>
      </w:r>
      <w:r w:rsidRPr="002F6170">
        <w:rPr>
          <w:b/>
          <w:lang w:eastAsia="bg-BG"/>
        </w:rPr>
        <w:t>63,2 млн. лева.</w:t>
      </w:r>
    </w:p>
    <w:p w14:paraId="697ACFFE" w14:textId="77777777" w:rsidR="00E86EAF" w:rsidRPr="002F6170" w:rsidRDefault="00E86EAF" w:rsidP="00E86EAF">
      <w:pPr>
        <w:numPr>
          <w:ilvl w:val="0"/>
          <w:numId w:val="5"/>
        </w:numPr>
        <w:tabs>
          <w:tab w:val="clear" w:pos="7650"/>
          <w:tab w:val="num" w:pos="426"/>
          <w:tab w:val="num" w:pos="786"/>
        </w:tabs>
        <w:ind w:left="0" w:firstLine="0"/>
        <w:jc w:val="both"/>
        <w:rPr>
          <w:b/>
          <w:bCs/>
          <w:lang w:eastAsia="bg-BG"/>
        </w:rPr>
      </w:pPr>
      <w:r w:rsidRPr="002F6170">
        <w:rPr>
          <w:b/>
          <w:bCs/>
          <w:lang w:eastAsia="bg-BG"/>
        </w:rPr>
        <w:t>Разходи по държавния бюджет</w:t>
      </w:r>
    </w:p>
    <w:p w14:paraId="278A22BC" w14:textId="77777777" w:rsidR="00E86EAF" w:rsidRPr="002F6170" w:rsidRDefault="00E86EAF" w:rsidP="00E86EAF">
      <w:pPr>
        <w:jc w:val="both"/>
        <w:rPr>
          <w:b/>
          <w:bCs/>
          <w:color w:val="0070C0"/>
          <w:sz w:val="4"/>
          <w:szCs w:val="4"/>
          <w:lang w:eastAsia="bg-BG"/>
        </w:rPr>
      </w:pPr>
    </w:p>
    <w:p w14:paraId="79634981" w14:textId="77777777" w:rsidR="00E86EAF" w:rsidRPr="002F6170" w:rsidRDefault="00E86EAF" w:rsidP="00E86EAF">
      <w:pPr>
        <w:jc w:val="both"/>
        <w:rPr>
          <w:color w:val="0070C0"/>
          <w:sz w:val="8"/>
          <w:lang w:val="ru-RU"/>
        </w:rPr>
      </w:pPr>
      <w:r w:rsidRPr="002F6170">
        <w:t xml:space="preserve">Общият размер на </w:t>
      </w:r>
      <w:r w:rsidRPr="002F6170">
        <w:rPr>
          <w:b/>
        </w:rPr>
        <w:t>разходите по държавния бюджет</w:t>
      </w:r>
      <w:r w:rsidRPr="002F6170">
        <w:t xml:space="preserve"> </w:t>
      </w:r>
      <w:r w:rsidRPr="002F6170">
        <w:rPr>
          <w:lang w:val="ru-RU"/>
        </w:rPr>
        <w:t xml:space="preserve">(вкл. трансферите за др. бюджети и вноската в бюджета на ЕС) </w:t>
      </w:r>
      <w:r w:rsidRPr="002F6170">
        <w:rPr>
          <w:bCs/>
        </w:rPr>
        <w:t>към септември 2024 г.</w:t>
      </w:r>
      <w:r w:rsidRPr="002F6170">
        <w:t xml:space="preserve"> е </w:t>
      </w:r>
      <w:r w:rsidRPr="002F6170">
        <w:rPr>
          <w:b/>
        </w:rPr>
        <w:t>35 338,0 млн. лв</w:t>
      </w:r>
      <w:r w:rsidRPr="002F6170">
        <w:t>., 68,7 % от разчета.</w:t>
      </w:r>
    </w:p>
    <w:p w14:paraId="7107D771" w14:textId="77777777" w:rsidR="00E86EAF" w:rsidRPr="002F6170" w:rsidRDefault="00E86EAF" w:rsidP="00E86EAF">
      <w:pPr>
        <w:jc w:val="center"/>
        <w:rPr>
          <w:b/>
          <w:color w:val="0070C0"/>
          <w:sz w:val="4"/>
          <w:szCs w:val="4"/>
          <w:u w:val="single"/>
        </w:rPr>
      </w:pPr>
    </w:p>
    <w:p w14:paraId="54E0F460" w14:textId="77777777" w:rsidR="00E86EAF" w:rsidRPr="002F6170" w:rsidRDefault="00E86EAF" w:rsidP="00E86EAF">
      <w:pPr>
        <w:spacing w:before="120"/>
        <w:jc w:val="center"/>
        <w:rPr>
          <w:b/>
          <w:u w:val="single"/>
        </w:rPr>
      </w:pPr>
      <w:r w:rsidRPr="002F6170">
        <w:rPr>
          <w:b/>
          <w:u w:val="single"/>
        </w:rPr>
        <w:t xml:space="preserve">Разходи, трансфери за други бюджети и вноска в бюджета на ЕС </w:t>
      </w:r>
    </w:p>
    <w:p w14:paraId="550BD71F" w14:textId="77777777" w:rsidR="00E86EAF" w:rsidRPr="002F6170" w:rsidRDefault="00E86EAF" w:rsidP="00E86EAF">
      <w:pPr>
        <w:jc w:val="center"/>
        <w:rPr>
          <w:b/>
          <w:u w:val="single"/>
        </w:rPr>
      </w:pPr>
      <w:r w:rsidRPr="002F6170">
        <w:rPr>
          <w:b/>
          <w:u w:val="single"/>
        </w:rPr>
        <w:t xml:space="preserve">към септември 2023 г. и 2024 г. </w:t>
      </w:r>
    </w:p>
    <w:p w14:paraId="4248AEB5" w14:textId="77777777" w:rsidR="00E86EAF" w:rsidRPr="002F6170" w:rsidRDefault="00E86EAF" w:rsidP="00E86EAF">
      <w:pPr>
        <w:jc w:val="center"/>
        <w:rPr>
          <w:b/>
          <w:color w:val="0070C0"/>
          <w:u w:val="single"/>
          <w:lang w:val="en-US"/>
        </w:rPr>
      </w:pPr>
    </w:p>
    <w:p w14:paraId="7963258D" w14:textId="77777777" w:rsidR="00E86EAF" w:rsidRPr="002F6170" w:rsidRDefault="00E86EAF" w:rsidP="00E86EAF">
      <w:pPr>
        <w:jc w:val="center"/>
        <w:rPr>
          <w:b/>
          <w:color w:val="0070C0"/>
          <w:u w:val="single"/>
        </w:rPr>
      </w:pPr>
      <w:r w:rsidRPr="002F6170">
        <w:rPr>
          <w:noProof/>
          <w:color w:val="0070C0"/>
          <w:lang w:eastAsia="bg-BG"/>
        </w:rPr>
        <w:drawing>
          <wp:inline distT="0" distB="0" distL="0" distR="0" wp14:anchorId="4DF6FDBF" wp14:editId="1771635A">
            <wp:extent cx="5318760" cy="2430780"/>
            <wp:effectExtent l="0" t="0" r="15240" b="7620"/>
            <wp:docPr id="1"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A47D38" w14:textId="77777777" w:rsidR="00E86EAF" w:rsidRPr="002F6170" w:rsidRDefault="00E86EAF" w:rsidP="00E86EAF">
      <w:pPr>
        <w:jc w:val="center"/>
        <w:rPr>
          <w:b/>
          <w:color w:val="0070C0"/>
          <w:sz w:val="8"/>
          <w:szCs w:val="8"/>
          <w:u w:val="single"/>
        </w:rPr>
      </w:pPr>
    </w:p>
    <w:p w14:paraId="2064B5DF" w14:textId="77777777" w:rsidR="00E86EAF" w:rsidRPr="002F6170" w:rsidRDefault="00E86EAF" w:rsidP="00E86EAF">
      <w:pPr>
        <w:numPr>
          <w:ilvl w:val="0"/>
          <w:numId w:val="14"/>
        </w:numPr>
        <w:spacing w:before="360"/>
        <w:ind w:left="714" w:hanging="357"/>
        <w:jc w:val="both"/>
        <w:rPr>
          <w:b/>
          <w:bCs/>
        </w:rPr>
      </w:pPr>
      <w:bookmarkStart w:id="38" w:name="_MON_1562146415"/>
      <w:bookmarkStart w:id="39" w:name="_MON_1562146493"/>
      <w:bookmarkStart w:id="40" w:name="_MON_1562146700"/>
      <w:bookmarkStart w:id="41" w:name="_MON_1562146782"/>
      <w:bookmarkStart w:id="42" w:name="_MON_1562146967"/>
      <w:bookmarkStart w:id="43" w:name="_MON_1562147372"/>
      <w:bookmarkStart w:id="44" w:name="_MON_1562147473"/>
      <w:bookmarkStart w:id="45" w:name="_MON_1562147677"/>
      <w:bookmarkStart w:id="46" w:name="_MON_1562147743"/>
      <w:bookmarkStart w:id="47" w:name="_MON_1562147867"/>
      <w:bookmarkStart w:id="48" w:name="_MON_1562147934"/>
      <w:bookmarkStart w:id="49" w:name="_MON_1562148056"/>
      <w:bookmarkStart w:id="50" w:name="_MON_1562148171"/>
      <w:bookmarkStart w:id="51" w:name="_MON_1562148229"/>
      <w:bookmarkStart w:id="52" w:name="_MON_1562148307"/>
      <w:bookmarkStart w:id="53" w:name="_MON_1562148447"/>
      <w:bookmarkStart w:id="54" w:name="_MON_1562148558"/>
      <w:bookmarkStart w:id="55" w:name="_MON_1562152805"/>
      <w:bookmarkStart w:id="56" w:name="_MON_1562152984"/>
      <w:bookmarkStart w:id="57" w:name="_MON_1562153459"/>
      <w:bookmarkStart w:id="58" w:name="_MON_1562153503"/>
      <w:bookmarkStart w:id="59" w:name="_MON_1562153559"/>
      <w:bookmarkStart w:id="60" w:name="_MON_1562153646"/>
      <w:bookmarkStart w:id="61" w:name="_MON_1562153939"/>
      <w:bookmarkStart w:id="62" w:name="_MON_1562154053"/>
      <w:bookmarkStart w:id="63" w:name="_MON_1562154282"/>
      <w:bookmarkStart w:id="64" w:name="_MON_1562146286"/>
      <w:bookmarkStart w:id="65" w:name="_MON_1562154881"/>
      <w:bookmarkStart w:id="66" w:name="_MON_1562154973"/>
      <w:bookmarkStart w:id="67" w:name="_MON_1562155194"/>
      <w:bookmarkStart w:id="68" w:name="_MON_1562155231"/>
      <w:bookmarkStart w:id="69" w:name="_MON_1562155321"/>
      <w:bookmarkStart w:id="70" w:name="_MON_156215539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2F6170">
        <w:rPr>
          <w:b/>
          <w:bCs/>
        </w:rPr>
        <w:t>Нелихвени разходи</w:t>
      </w:r>
    </w:p>
    <w:p w14:paraId="52A1EE79" w14:textId="77777777" w:rsidR="00E86EAF" w:rsidRPr="002F6170" w:rsidRDefault="00E86EAF" w:rsidP="00E86EAF">
      <w:pPr>
        <w:jc w:val="both"/>
        <w:rPr>
          <w:bCs/>
          <w:lang w:eastAsia="bg-BG"/>
        </w:rPr>
      </w:pPr>
      <w:r w:rsidRPr="002F6170">
        <w:rPr>
          <w:b/>
          <w:bCs/>
          <w:lang w:eastAsia="bg-BG"/>
        </w:rPr>
        <w:t>Нелихвените разходи</w:t>
      </w:r>
      <w:r w:rsidRPr="002F6170">
        <w:rPr>
          <w:bCs/>
          <w:lang w:eastAsia="bg-BG"/>
        </w:rPr>
        <w:t xml:space="preserve"> по държавния бюджет към септември 2024 г.</w:t>
      </w:r>
      <w:r w:rsidRPr="002F6170">
        <w:rPr>
          <w:lang w:eastAsia="bg-BG"/>
        </w:rPr>
        <w:t xml:space="preserve"> </w:t>
      </w:r>
      <w:r w:rsidRPr="002F6170">
        <w:rPr>
          <w:bCs/>
          <w:lang w:eastAsia="bg-BG"/>
        </w:rPr>
        <w:t xml:space="preserve">са в размер на </w:t>
      </w:r>
      <w:r w:rsidRPr="002F6170">
        <w:rPr>
          <w:b/>
          <w:bCs/>
          <w:lang w:eastAsia="bg-BG"/>
        </w:rPr>
        <w:t>13 194,2 млн. лева.</w:t>
      </w:r>
      <w:r w:rsidRPr="002F6170">
        <w:rPr>
          <w:bCs/>
          <w:lang w:eastAsia="bg-BG"/>
        </w:rPr>
        <w:t xml:space="preserve"> </w:t>
      </w:r>
    </w:p>
    <w:p w14:paraId="29467638" w14:textId="77777777" w:rsidR="00E86EAF" w:rsidRPr="002F6170" w:rsidRDefault="00E86EAF" w:rsidP="00E86EAF">
      <w:pPr>
        <w:jc w:val="both"/>
        <w:rPr>
          <w:bCs/>
          <w:color w:val="0070C0"/>
          <w:lang w:eastAsia="bg-BG"/>
        </w:rPr>
      </w:pPr>
      <w:r w:rsidRPr="002F6170">
        <w:rPr>
          <w:bCs/>
          <w:lang w:eastAsia="bg-BG"/>
        </w:rPr>
        <w:t xml:space="preserve">Разходите за персонал (заплати и възнаграждения, други възнаграждения и плащания за персонала и осигурителни вноски) са в общ размер на </w:t>
      </w:r>
      <w:r w:rsidRPr="002F6170">
        <w:rPr>
          <w:bCs/>
          <w:lang w:val="ru-RU" w:eastAsia="bg-BG"/>
        </w:rPr>
        <w:t>7 158,3</w:t>
      </w:r>
      <w:r w:rsidRPr="002F6170">
        <w:rPr>
          <w:bCs/>
          <w:lang w:eastAsia="bg-BG"/>
        </w:rPr>
        <w:t xml:space="preserve"> млн. лв. или 73,2 % от планираните за 202</w:t>
      </w:r>
      <w:r w:rsidRPr="002F6170">
        <w:rPr>
          <w:bCs/>
          <w:lang w:val="en-US" w:eastAsia="bg-BG"/>
        </w:rPr>
        <w:t>4</w:t>
      </w:r>
      <w:r w:rsidRPr="002F6170">
        <w:rPr>
          <w:bCs/>
          <w:lang w:eastAsia="bg-BG"/>
        </w:rPr>
        <w:t xml:space="preserve"> г.</w:t>
      </w:r>
      <w:r w:rsidRPr="002F6170">
        <w:rPr>
          <w:bCs/>
          <w:lang w:val="en-US" w:eastAsia="bg-BG"/>
        </w:rPr>
        <w:t xml:space="preserve"> </w:t>
      </w:r>
      <w:r w:rsidRPr="002F6170">
        <w:rPr>
          <w:bCs/>
          <w:lang w:eastAsia="bg-BG"/>
        </w:rPr>
        <w:t xml:space="preserve">и ръст от 1 146,5 млн. лв. (19,1 %) спрямо същия период на 2023 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2 503,7 млн. лв. или 52,9 % от планираните за годината. Социалните разходи (вкл. разходите за стипендии) са в размер на 1 270,9 млн. лв. или 47,6 % от предвидените </w:t>
      </w:r>
      <w:r w:rsidRPr="002F6170">
        <w:rPr>
          <w:lang w:eastAsia="bg-BG"/>
        </w:rPr>
        <w:t>за годината</w:t>
      </w:r>
      <w:r w:rsidRPr="002F6170">
        <w:rPr>
          <w:bCs/>
          <w:lang w:eastAsia="bg-BG"/>
        </w:rPr>
        <w:t xml:space="preserve"> като нарастват с 350,5 млн. лв. (38,1 %) спрямо същия период на 2023 г. </w:t>
      </w:r>
      <w:r w:rsidRPr="002F6170">
        <w:rPr>
          <w:lang w:eastAsia="bg-BG"/>
        </w:rPr>
        <w:t>Част от планираните социални разходи по държавния бюджет се предоставят като трансфери за общинските бюджети.</w:t>
      </w:r>
      <w:r w:rsidRPr="002F6170">
        <w:rPr>
          <w:bCs/>
          <w:lang w:eastAsia="bg-BG"/>
        </w:rPr>
        <w:t xml:space="preserve"> Предоставените текущи и капиталови трансфери за чужбина са в размер на 15,6 млн. лв. Разходите за субсидии са в размер на 1 513,8 млн. лв. или 77,7 % от планираните за годината и нарастват с 596,2 млн. лв. (</w:t>
      </w:r>
      <w:r w:rsidRPr="002F6170">
        <w:rPr>
          <w:bCs/>
          <w:lang w:val="ru-RU" w:eastAsia="bg-BG"/>
        </w:rPr>
        <w:t>65,0</w:t>
      </w:r>
      <w:r w:rsidRPr="002F6170">
        <w:rPr>
          <w:bCs/>
          <w:lang w:eastAsia="bg-BG"/>
        </w:rPr>
        <w:t xml:space="preserve"> %</w:t>
      </w:r>
      <w:r w:rsidRPr="002F6170">
        <w:rPr>
          <w:bCs/>
          <w:lang w:val="ru-RU" w:eastAsia="bg-BG"/>
        </w:rPr>
        <w:t xml:space="preserve">) сравнени със същия </w:t>
      </w:r>
      <w:r w:rsidRPr="002F6170">
        <w:rPr>
          <w:bCs/>
          <w:lang w:eastAsia="bg-BG"/>
        </w:rPr>
        <w:t xml:space="preserve">период </w:t>
      </w:r>
      <w:r w:rsidRPr="002F6170">
        <w:rPr>
          <w:bCs/>
          <w:lang w:val="ru-RU" w:eastAsia="bg-BG"/>
        </w:rPr>
        <w:t>на предходната година</w:t>
      </w:r>
      <w:r w:rsidRPr="002F6170">
        <w:rPr>
          <w:bCs/>
          <w:lang w:eastAsia="bg-BG"/>
        </w:rPr>
        <w:t>.</w:t>
      </w:r>
      <w:r w:rsidRPr="002F6170">
        <w:rPr>
          <w:bCs/>
          <w:lang w:val="ru-RU" w:eastAsia="bg-BG"/>
        </w:rPr>
        <w:t xml:space="preserve"> </w:t>
      </w:r>
      <w:r w:rsidRPr="002F6170">
        <w:rPr>
          <w:bCs/>
          <w:lang w:eastAsia="bg-BG"/>
        </w:rPr>
        <w:t>Към септември 2024 г. субсидиите за „БДЖ – Пътнически превози” ЕООД са в размер на 156,7 млн. лв., субсидиите за Национална компания „Железопътна инфраструктура” са 245,7 млн. лв. и 55,3</w:t>
      </w:r>
      <w:r w:rsidRPr="002F6170">
        <w:rPr>
          <w:bCs/>
          <w:lang w:val="en-US" w:eastAsia="bg-BG"/>
        </w:rPr>
        <w:t> </w:t>
      </w:r>
      <w:r w:rsidRPr="002F6170">
        <w:rPr>
          <w:bCs/>
          <w:lang w:eastAsia="bg-BG"/>
        </w:rPr>
        <w:t>млн. лв. са за „Български пощи” ЕАД, в т.ч. 21,3 млн. лв. за извършване на универсална пощенска услуга, 20,3 млн. лв. за разпространение на периодични печатни издания - вестници и списания и 13,7</w:t>
      </w:r>
      <w:r w:rsidRPr="002F6170">
        <w:rPr>
          <w:bCs/>
          <w:lang w:val="en-US" w:eastAsia="bg-BG"/>
        </w:rPr>
        <w:t> </w:t>
      </w:r>
      <w:r w:rsidRPr="002F6170">
        <w:rPr>
          <w:bCs/>
          <w:lang w:eastAsia="bg-BG"/>
        </w:rPr>
        <w:t xml:space="preserve">млн. лв. за предоставяне на административни услуги. За отчетния период субсидиите за „България </w:t>
      </w:r>
      <w:proofErr w:type="spellStart"/>
      <w:r w:rsidRPr="002F6170">
        <w:rPr>
          <w:bCs/>
          <w:lang w:eastAsia="bg-BG"/>
        </w:rPr>
        <w:t>Хели</w:t>
      </w:r>
      <w:proofErr w:type="spellEnd"/>
      <w:r w:rsidRPr="002F6170">
        <w:rPr>
          <w:bCs/>
          <w:lang w:eastAsia="bg-BG"/>
        </w:rPr>
        <w:t xml:space="preserve"> Мед </w:t>
      </w:r>
      <w:proofErr w:type="spellStart"/>
      <w:r w:rsidRPr="002F6170">
        <w:rPr>
          <w:bCs/>
          <w:lang w:eastAsia="bg-BG"/>
        </w:rPr>
        <w:t>Сървиз</w:t>
      </w:r>
      <w:proofErr w:type="spellEnd"/>
      <w:r w:rsidRPr="002F6170">
        <w:rPr>
          <w:bCs/>
          <w:lang w:eastAsia="bg-BG"/>
        </w:rPr>
        <w:t xml:space="preserve">“ </w:t>
      </w:r>
      <w:r w:rsidRPr="002F6170">
        <w:rPr>
          <w:bCs/>
          <w:lang w:val="ru-RU" w:eastAsia="bg-BG"/>
        </w:rPr>
        <w:t>(</w:t>
      </w:r>
      <w:r w:rsidRPr="002F6170">
        <w:rPr>
          <w:bCs/>
          <w:lang w:eastAsia="bg-BG"/>
        </w:rPr>
        <w:t>център за спешна медицинска помощ по въздуха</w:t>
      </w:r>
      <w:r w:rsidRPr="002F6170">
        <w:rPr>
          <w:bCs/>
          <w:lang w:val="ru-RU" w:eastAsia="bg-BG"/>
        </w:rPr>
        <w:t xml:space="preserve">) </w:t>
      </w:r>
      <w:r w:rsidRPr="002F6170">
        <w:rPr>
          <w:bCs/>
          <w:lang w:eastAsia="bg-BG"/>
        </w:rPr>
        <w:t>са в размер на 4,5 млн. лв. Към края на септември 2024</w:t>
      </w:r>
      <w:r w:rsidRPr="002F6170">
        <w:rPr>
          <w:bCs/>
          <w:lang w:val="en-US" w:eastAsia="bg-BG"/>
        </w:rPr>
        <w:t> </w:t>
      </w:r>
      <w:r w:rsidRPr="002F6170">
        <w:rPr>
          <w:bCs/>
          <w:lang w:eastAsia="bg-BG"/>
        </w:rPr>
        <w:t xml:space="preserve">г. ДФ „Земеделие“ e изплатил субсидии в общ размер на 501,2 млн. лв., от които 424,4 млн. лв. държавна помощ; 69,7 млн. лв. преходна национална помощ за тютюн и 6,6 млн. лв. средства за ДДС по схеми „Училищен плод“ и „Училищно мляко“. </w:t>
      </w:r>
    </w:p>
    <w:p w14:paraId="0F320927" w14:textId="1CBA6A2E" w:rsidR="00E86EAF" w:rsidRDefault="00E86EAF" w:rsidP="00E86EAF">
      <w:pPr>
        <w:jc w:val="both"/>
        <w:rPr>
          <w:bCs/>
          <w:lang w:eastAsia="bg-BG"/>
        </w:rPr>
      </w:pPr>
      <w:r w:rsidRPr="002F6170">
        <w:rPr>
          <w:bCs/>
          <w:i/>
          <w:lang w:eastAsia="bg-BG"/>
        </w:rPr>
        <w:t>Капиталовите разходи</w:t>
      </w:r>
      <w:r w:rsidRPr="002F6170">
        <w:rPr>
          <w:bCs/>
          <w:lang w:eastAsia="bg-BG"/>
        </w:rPr>
        <w:t xml:space="preserve"> (вкл. нетния прираст на държавния резерв) по държавния бюджет възлизат на 732,0 млн. лева.</w:t>
      </w:r>
      <w:r w:rsidR="002F46B7">
        <w:rPr>
          <w:bCs/>
          <w:lang w:eastAsia="bg-BG"/>
        </w:rPr>
        <w:t xml:space="preserve"> </w:t>
      </w:r>
      <w:r w:rsidR="00E522CD">
        <w:rPr>
          <w:bCs/>
          <w:lang w:eastAsia="bg-BG"/>
        </w:rPr>
        <w:t xml:space="preserve">През месец април </w:t>
      </w:r>
      <w:r w:rsidR="007D4B04" w:rsidRPr="00DF7557">
        <w:rPr>
          <w:bCs/>
          <w:lang w:eastAsia="bg-BG"/>
        </w:rPr>
        <w:t xml:space="preserve">по програмата за отстраняване на минали екологични щети </w:t>
      </w:r>
      <w:r w:rsidR="007D4B04">
        <w:rPr>
          <w:bCs/>
          <w:lang w:eastAsia="bg-BG"/>
        </w:rPr>
        <w:t xml:space="preserve">е извършена </w:t>
      </w:r>
      <w:r w:rsidR="007D4B04" w:rsidRPr="00DF7557">
        <w:rPr>
          <w:bCs/>
          <w:lang w:eastAsia="bg-BG"/>
        </w:rPr>
        <w:t>продажба на полезен продукт, собственост на държавата, от „Лукойл Нефтохим Бургас“ АД</w:t>
      </w:r>
      <w:r w:rsidR="007D14B1">
        <w:rPr>
          <w:bCs/>
          <w:lang w:eastAsia="bg-BG"/>
        </w:rPr>
        <w:t xml:space="preserve"> в размер на </w:t>
      </w:r>
      <w:r w:rsidR="007D4B04" w:rsidRPr="00DF7557">
        <w:rPr>
          <w:bCs/>
          <w:lang w:eastAsia="bg-BG"/>
        </w:rPr>
        <w:t>0,33 млн. лв</w:t>
      </w:r>
      <w:r w:rsidR="007D4B04">
        <w:rPr>
          <w:bCs/>
          <w:lang w:eastAsia="bg-BG"/>
        </w:rPr>
        <w:t xml:space="preserve">., която е отчетена </w:t>
      </w:r>
      <w:r w:rsidR="005C0650">
        <w:rPr>
          <w:bCs/>
          <w:lang w:eastAsia="bg-BG"/>
        </w:rPr>
        <w:t xml:space="preserve">като </w:t>
      </w:r>
      <w:r w:rsidR="005C0650" w:rsidRPr="005C0650">
        <w:rPr>
          <w:bCs/>
          <w:lang w:eastAsia="bg-BG"/>
        </w:rPr>
        <w:t xml:space="preserve">намаление на капиталовите трансфери по </w:t>
      </w:r>
      <w:r w:rsidR="005C0650" w:rsidRPr="00DF7557">
        <w:rPr>
          <w:bCs/>
          <w:lang w:eastAsia="bg-BG"/>
        </w:rPr>
        <w:t>централния бюджет</w:t>
      </w:r>
      <w:r w:rsidR="00E522CD" w:rsidRPr="00DF7557">
        <w:rPr>
          <w:bCs/>
          <w:lang w:eastAsia="bg-BG"/>
        </w:rPr>
        <w:t>.</w:t>
      </w:r>
    </w:p>
    <w:p w14:paraId="36882E1E" w14:textId="54F0CC59" w:rsidR="004C146C" w:rsidRDefault="004C146C" w:rsidP="00E86EAF">
      <w:pPr>
        <w:jc w:val="both"/>
        <w:rPr>
          <w:bCs/>
          <w:lang w:eastAsia="bg-BG"/>
        </w:rPr>
      </w:pPr>
    </w:p>
    <w:p w14:paraId="34DC6712" w14:textId="77777777" w:rsidR="004C146C" w:rsidRPr="002F6170" w:rsidRDefault="004C146C" w:rsidP="00E86EAF">
      <w:pPr>
        <w:jc w:val="both"/>
        <w:rPr>
          <w:bCs/>
          <w:lang w:eastAsia="bg-BG"/>
        </w:rPr>
      </w:pPr>
    </w:p>
    <w:p w14:paraId="0D95E999" w14:textId="77777777" w:rsidR="00E86EAF" w:rsidRPr="002F6170" w:rsidRDefault="00E86EAF" w:rsidP="00E86EAF">
      <w:pPr>
        <w:jc w:val="both"/>
        <w:rPr>
          <w:bCs/>
          <w:color w:val="0070C0"/>
          <w:lang w:eastAsia="bg-BG"/>
        </w:rPr>
      </w:pPr>
    </w:p>
    <w:p w14:paraId="4B2F508C" w14:textId="77777777" w:rsidR="00E86EAF" w:rsidRPr="002F6170" w:rsidRDefault="00E86EAF" w:rsidP="00E86EAF">
      <w:pPr>
        <w:numPr>
          <w:ilvl w:val="0"/>
          <w:numId w:val="6"/>
        </w:numPr>
        <w:ind w:left="0" w:firstLine="357"/>
        <w:jc w:val="both"/>
        <w:rPr>
          <w:b/>
          <w:lang w:eastAsia="bg-BG"/>
        </w:rPr>
      </w:pPr>
      <w:r w:rsidRPr="002F6170">
        <w:rPr>
          <w:b/>
          <w:lang w:eastAsia="bg-BG"/>
        </w:rPr>
        <w:t xml:space="preserve">Разходи за лихви </w:t>
      </w:r>
    </w:p>
    <w:p w14:paraId="7131ED03" w14:textId="77777777" w:rsidR="00E86EAF" w:rsidRPr="002F6170" w:rsidRDefault="00E86EAF" w:rsidP="00E86EAF">
      <w:pPr>
        <w:spacing w:after="60"/>
        <w:jc w:val="both"/>
        <w:rPr>
          <w:lang w:eastAsia="bg-BG"/>
        </w:rPr>
      </w:pPr>
      <w:r w:rsidRPr="002F6170">
        <w:rPr>
          <w:b/>
          <w:lang w:eastAsia="bg-BG"/>
        </w:rPr>
        <w:t xml:space="preserve">Лихвените плащания </w:t>
      </w:r>
      <w:r w:rsidRPr="002F6170">
        <w:rPr>
          <w:lang w:eastAsia="bg-BG"/>
        </w:rPr>
        <w:t xml:space="preserve">по държавния бюджет към </w:t>
      </w:r>
      <w:r w:rsidRPr="002F6170">
        <w:rPr>
          <w:lang w:val="ru-RU" w:eastAsia="bg-BG"/>
        </w:rPr>
        <w:t>30.09.2024</w:t>
      </w:r>
      <w:r w:rsidRPr="002F6170">
        <w:rPr>
          <w:lang w:eastAsia="bg-BG"/>
        </w:rPr>
        <w:t xml:space="preserve"> г. са в общ размер на </w:t>
      </w:r>
      <w:r w:rsidRPr="002F6170">
        <w:rPr>
          <w:b/>
          <w:lang w:eastAsia="bg-BG"/>
        </w:rPr>
        <w:t>854,8 млн. лв</w:t>
      </w:r>
      <w:r w:rsidRPr="002F6170">
        <w:rPr>
          <w:lang w:eastAsia="bg-BG"/>
        </w:rPr>
        <w:t>. или 88,4 % от предвидените в годишните разчети.</w:t>
      </w:r>
    </w:p>
    <w:p w14:paraId="235E8A59" w14:textId="77777777" w:rsidR="00E86EAF" w:rsidRPr="002F6170" w:rsidRDefault="00E86EAF" w:rsidP="00E86EAF">
      <w:pPr>
        <w:spacing w:after="120"/>
        <w:jc w:val="both"/>
        <w:rPr>
          <w:highlight w:val="yellow"/>
          <w:lang w:eastAsia="bg-BG"/>
        </w:rPr>
      </w:pPr>
      <w:r w:rsidRPr="002F6170">
        <w:rPr>
          <w:lang w:eastAsia="bg-BG"/>
        </w:rPr>
        <w:t xml:space="preserve">Разходите за </w:t>
      </w:r>
      <w:r w:rsidRPr="002F6170">
        <w:rPr>
          <w:b/>
          <w:lang w:eastAsia="bg-BG"/>
        </w:rPr>
        <w:t>лихви по външни заеми</w:t>
      </w:r>
      <w:r w:rsidRPr="002F6170">
        <w:rPr>
          <w:lang w:eastAsia="bg-BG"/>
        </w:rPr>
        <w:t xml:space="preserve"> са в размер на </w:t>
      </w:r>
      <w:r w:rsidRPr="002F6170">
        <w:rPr>
          <w:lang w:val="ru-RU" w:eastAsia="bg-BG"/>
        </w:rPr>
        <w:t xml:space="preserve">769,8 </w:t>
      </w:r>
      <w:r w:rsidRPr="002F6170">
        <w:rPr>
          <w:lang w:eastAsia="bg-BG"/>
        </w:rPr>
        <w:t>млн. лв., в т.ч. 755,4 млн. лв. по централния бюджет, като през месец септември са извършени плащания на отстъпки и лихви в общ размер на 344,5 млн. лв. по еврооблигациите, емитирани на МКП през 2014 г. с падеж 03.09.2024 г. По ДИЗ, управлявани от министерства и ведомства са изплатени 14,4 млн. лв. (от тях 0,5 млн. лв. са лихвите по заемите с краен бенефициент - търговско дружество).</w:t>
      </w:r>
    </w:p>
    <w:p w14:paraId="7CEE2E5A" w14:textId="77777777" w:rsidR="00E86EAF" w:rsidRPr="002F6170" w:rsidRDefault="00E86EAF" w:rsidP="00E86EAF">
      <w:pPr>
        <w:spacing w:after="120"/>
        <w:jc w:val="both"/>
        <w:rPr>
          <w:b/>
          <w:lang w:eastAsia="bg-BG"/>
        </w:rPr>
      </w:pPr>
      <w:r w:rsidRPr="002F6170">
        <w:rPr>
          <w:lang w:eastAsia="bg-BG"/>
        </w:rPr>
        <w:t>Към края на септември не са използвани средствата, предвидени в ЗДБРБ за 2024 г., за покриване на риска от активиране на държавни гаранции.</w:t>
      </w:r>
      <w:r w:rsidRPr="002F6170">
        <w:rPr>
          <w:b/>
          <w:lang w:eastAsia="bg-BG"/>
        </w:rPr>
        <w:t xml:space="preserve"> </w:t>
      </w:r>
    </w:p>
    <w:p w14:paraId="58753179" w14:textId="77777777" w:rsidR="00E86EAF" w:rsidRPr="002F6170" w:rsidRDefault="00E86EAF" w:rsidP="00E86EAF">
      <w:pPr>
        <w:spacing w:after="60"/>
        <w:jc w:val="both"/>
        <w:rPr>
          <w:color w:val="0070C0"/>
          <w:lang w:eastAsia="bg-BG"/>
        </w:rPr>
      </w:pPr>
      <w:r w:rsidRPr="002F6170">
        <w:rPr>
          <w:b/>
          <w:lang w:eastAsia="bg-BG"/>
        </w:rPr>
        <w:t>Лихвите по вътрешни заеми</w:t>
      </w:r>
      <w:r w:rsidRPr="002F6170">
        <w:rPr>
          <w:lang w:eastAsia="bg-BG"/>
        </w:rPr>
        <w:t xml:space="preserve"> по държавния бюджет </w:t>
      </w:r>
      <w:r w:rsidRPr="002F6170">
        <w:rPr>
          <w:bCs/>
          <w:lang w:eastAsia="bg-BG"/>
        </w:rPr>
        <w:t>към септември 2024 г.</w:t>
      </w:r>
      <w:r w:rsidRPr="002F6170">
        <w:rPr>
          <w:lang w:eastAsia="bg-BG"/>
        </w:rPr>
        <w:t xml:space="preserve"> са в размер на </w:t>
      </w:r>
      <w:r w:rsidRPr="002F6170">
        <w:rPr>
          <w:b/>
          <w:lang w:eastAsia="bg-BG"/>
        </w:rPr>
        <w:t>85,0 млн. лв.</w:t>
      </w:r>
      <w:r w:rsidRPr="002F6170">
        <w:rPr>
          <w:lang w:eastAsia="bg-BG"/>
        </w:rPr>
        <w:t xml:space="preserve"> и представляват основно лихви по емисии на ДЦК на вътрешния пазар. Платените лихви по ДЦК са в размер на 85,1 млн. лв., като реализираните при аукционите премии над номинала от емисии на ДЦК (отчетени в намаление на разходите за лихви по вътрешния дълг) възлизат на (-0,1) млн. лв. Платените лихви по ДЦК през месец септември са в размер на 19,6 млн. лв.</w:t>
      </w:r>
    </w:p>
    <w:p w14:paraId="22F7D5B0" w14:textId="77777777" w:rsidR="00E86EAF" w:rsidRPr="002F6170" w:rsidRDefault="00E86EAF" w:rsidP="00E86EAF">
      <w:pPr>
        <w:numPr>
          <w:ilvl w:val="0"/>
          <w:numId w:val="23"/>
        </w:numPr>
        <w:tabs>
          <w:tab w:val="num" w:pos="426"/>
        </w:tabs>
        <w:spacing w:before="240" w:after="120"/>
        <w:ind w:left="0" w:firstLine="0"/>
        <w:jc w:val="both"/>
        <w:rPr>
          <w:b/>
          <w:lang w:eastAsia="bg-BG"/>
        </w:rPr>
      </w:pPr>
      <w:r w:rsidRPr="002F6170">
        <w:rPr>
          <w:b/>
          <w:lang w:eastAsia="bg-BG"/>
        </w:rPr>
        <w:t xml:space="preserve">Нетният размер на трансферите по държавния бюджет  към септември 2024 г. е 20 168,0 млн. лв.,  в т.ч.: </w:t>
      </w:r>
    </w:p>
    <w:p w14:paraId="18CD758A" w14:textId="77777777" w:rsidR="00E86EAF" w:rsidRPr="002F6170" w:rsidRDefault="00E86EAF" w:rsidP="00E86EAF">
      <w:pPr>
        <w:numPr>
          <w:ilvl w:val="0"/>
          <w:numId w:val="15"/>
        </w:numPr>
        <w:tabs>
          <w:tab w:val="clear" w:pos="700"/>
          <w:tab w:val="left" w:pos="180"/>
          <w:tab w:val="num" w:pos="540"/>
          <w:tab w:val="num" w:pos="1495"/>
          <w:tab w:val="num" w:pos="9858"/>
        </w:tabs>
        <w:ind w:left="538" w:hanging="357"/>
        <w:jc w:val="both"/>
        <w:rPr>
          <w:color w:val="0070C0"/>
          <w:lang w:eastAsia="bg-BG"/>
        </w:rPr>
      </w:pPr>
      <w:r w:rsidRPr="002F6170">
        <w:rPr>
          <w:lang w:eastAsia="bg-BG"/>
        </w:rPr>
        <w:t>бюджетните  взаимоотношения  с  общините  включват  нето трансфери  и временни безлихвени заеми в  размер  на 7 510,8 млн. лв.,</w:t>
      </w:r>
      <w:r w:rsidRPr="002F6170">
        <w:rPr>
          <w:lang w:val="ru-RU" w:eastAsia="bg-BG"/>
        </w:rPr>
        <w:t xml:space="preserve"> </w:t>
      </w:r>
      <w:r w:rsidRPr="002F6170">
        <w:rPr>
          <w:lang w:eastAsia="bg-BG"/>
        </w:rPr>
        <w:t xml:space="preserve">от които субсидии от централния бюджет в размер на 5 990,1 млн. лв., други целеви трансфери от централния бюджет в размер на 530,1 млн. лв., нетни трансфери от/за други бюджети в размер на 1 017,6 млн. лв. и възстановени трансфери от предходни години в централния бюджет – 27,0 млн. </w:t>
      </w:r>
      <w:proofErr w:type="spellStart"/>
      <w:r w:rsidRPr="002F6170">
        <w:rPr>
          <w:lang w:eastAsia="bg-BG"/>
        </w:rPr>
        <w:t>лв</w:t>
      </w:r>
      <w:proofErr w:type="spellEnd"/>
      <w:r w:rsidRPr="002F6170">
        <w:rPr>
          <w:lang w:eastAsia="bg-BG"/>
        </w:rPr>
        <w:t>;</w:t>
      </w:r>
    </w:p>
    <w:p w14:paraId="1D22F63E" w14:textId="77777777" w:rsidR="00E86EAF" w:rsidRPr="002F6170" w:rsidRDefault="00E86EAF" w:rsidP="00E86EAF">
      <w:pPr>
        <w:numPr>
          <w:ilvl w:val="0"/>
          <w:numId w:val="15"/>
        </w:numPr>
        <w:tabs>
          <w:tab w:val="clear" w:pos="700"/>
          <w:tab w:val="left" w:pos="180"/>
          <w:tab w:val="num" w:pos="540"/>
          <w:tab w:val="num" w:pos="1495"/>
          <w:tab w:val="num" w:pos="9858"/>
        </w:tabs>
        <w:ind w:left="538" w:hanging="357"/>
        <w:jc w:val="both"/>
        <w:rPr>
          <w:lang w:eastAsia="bg-BG"/>
        </w:rPr>
      </w:pPr>
      <w:r w:rsidRPr="002F6170">
        <w:rPr>
          <w:lang w:eastAsia="bg-BG"/>
        </w:rPr>
        <w:t>на социалноосигурителните фондове (нето) – 10 831,2 млн. лв.;</w:t>
      </w:r>
    </w:p>
    <w:p w14:paraId="614D6A75" w14:textId="77777777" w:rsidR="00E86EAF" w:rsidRPr="002F6170" w:rsidRDefault="00E86EAF" w:rsidP="00E86EAF">
      <w:pPr>
        <w:numPr>
          <w:ilvl w:val="0"/>
          <w:numId w:val="15"/>
        </w:numPr>
        <w:tabs>
          <w:tab w:val="clear" w:pos="700"/>
          <w:tab w:val="left" w:pos="180"/>
          <w:tab w:val="num" w:pos="540"/>
          <w:tab w:val="num" w:pos="1495"/>
          <w:tab w:val="num" w:pos="9858"/>
        </w:tabs>
        <w:ind w:left="538" w:hanging="357"/>
        <w:jc w:val="both"/>
        <w:rPr>
          <w:lang w:eastAsia="bg-BG"/>
        </w:rPr>
      </w:pPr>
      <w:r w:rsidRPr="002F6170">
        <w:rPr>
          <w:lang w:eastAsia="bg-BG"/>
        </w:rPr>
        <w:t xml:space="preserve">на други автономни бюджети (ДВУ, БАН, ССА, БНТ, БНР и БТА) – 1 246,6 млн. лева. </w:t>
      </w:r>
    </w:p>
    <w:p w14:paraId="71FA04B6" w14:textId="77777777" w:rsidR="00E86EAF" w:rsidRPr="002F6170" w:rsidRDefault="00E86EAF" w:rsidP="00E86EAF">
      <w:pPr>
        <w:numPr>
          <w:ilvl w:val="0"/>
          <w:numId w:val="24"/>
        </w:numPr>
        <w:tabs>
          <w:tab w:val="left" w:pos="426"/>
        </w:tabs>
        <w:spacing w:before="240"/>
        <w:ind w:left="0" w:firstLine="0"/>
        <w:jc w:val="both"/>
        <w:rPr>
          <w:bCs/>
          <w:lang w:eastAsia="bg-BG"/>
        </w:rPr>
      </w:pPr>
      <w:r w:rsidRPr="002F6170">
        <w:rPr>
          <w:lang w:eastAsia="bg-BG"/>
        </w:rPr>
        <w:t>Частта от</w:t>
      </w:r>
      <w:r w:rsidRPr="002F6170">
        <w:rPr>
          <w:b/>
          <w:lang w:eastAsia="bg-BG"/>
        </w:rPr>
        <w:t xml:space="preserve"> вноската на Република България в общия бюджет на ЕС, </w:t>
      </w:r>
      <w:r w:rsidRPr="002F6170">
        <w:rPr>
          <w:lang w:eastAsia="bg-BG"/>
        </w:rPr>
        <w:t>изплатена към 30.09.2024 г. от централния бюджет, възлиза на</w:t>
      </w:r>
      <w:r w:rsidRPr="002F6170">
        <w:rPr>
          <w:b/>
          <w:lang w:eastAsia="bg-BG"/>
        </w:rPr>
        <w:t xml:space="preserve"> 1 120,9 млн. лева.</w:t>
      </w:r>
      <w:r w:rsidRPr="002F6170">
        <w:rPr>
          <w:lang w:eastAsia="bg-BG"/>
        </w:rPr>
        <w:t xml:space="preserve"> </w:t>
      </w:r>
    </w:p>
    <w:p w14:paraId="1F939DC6" w14:textId="77777777" w:rsidR="00E86EAF" w:rsidRPr="002F6170" w:rsidRDefault="00E86EAF" w:rsidP="00E86EAF">
      <w:pPr>
        <w:numPr>
          <w:ilvl w:val="0"/>
          <w:numId w:val="5"/>
        </w:numPr>
        <w:tabs>
          <w:tab w:val="clear" w:pos="7650"/>
          <w:tab w:val="num" w:pos="426"/>
          <w:tab w:val="num" w:pos="786"/>
        </w:tabs>
        <w:spacing w:before="240" w:after="240"/>
        <w:ind w:left="0" w:firstLine="0"/>
        <w:jc w:val="both"/>
        <w:rPr>
          <w:color w:val="0070C0"/>
          <w:sz w:val="16"/>
          <w:szCs w:val="16"/>
          <w:lang w:eastAsia="bg-BG"/>
        </w:rPr>
      </w:pPr>
      <w:r w:rsidRPr="002F6170">
        <w:rPr>
          <w:b/>
          <w:lang w:eastAsia="bg-BG"/>
        </w:rPr>
        <w:t>Бюджетното салдо по държавния бюджет</w:t>
      </w:r>
      <w:r w:rsidRPr="002F6170">
        <w:rPr>
          <w:lang w:eastAsia="bg-BG"/>
        </w:rPr>
        <w:t xml:space="preserve"> към </w:t>
      </w:r>
      <w:r w:rsidRPr="002F6170">
        <w:rPr>
          <w:lang w:val="ru-RU" w:eastAsia="bg-BG"/>
        </w:rPr>
        <w:t>30.09.2024</w:t>
      </w:r>
      <w:r w:rsidRPr="002F6170">
        <w:rPr>
          <w:lang w:eastAsia="bg-BG"/>
        </w:rPr>
        <w:t xml:space="preserve"> г. </w:t>
      </w:r>
      <w:r w:rsidRPr="002F6170">
        <w:rPr>
          <w:b/>
          <w:lang w:eastAsia="bg-BG"/>
        </w:rPr>
        <w:t>е отрицателно</w:t>
      </w:r>
      <w:r w:rsidRPr="002F6170">
        <w:rPr>
          <w:lang w:eastAsia="bg-BG"/>
        </w:rPr>
        <w:t xml:space="preserve"> в размер на </w:t>
      </w:r>
      <w:r w:rsidRPr="002F6170">
        <w:rPr>
          <w:b/>
          <w:lang w:eastAsia="bg-BG"/>
        </w:rPr>
        <w:t>4 131,7 млн. лева</w:t>
      </w:r>
      <w:r w:rsidRPr="002F6170">
        <w:rPr>
          <w:lang w:eastAsia="bg-BG"/>
        </w:rPr>
        <w:t xml:space="preserve">. </w:t>
      </w:r>
    </w:p>
    <w:p w14:paraId="7D187EE1" w14:textId="77777777" w:rsidR="00E86EAF" w:rsidRPr="002F6170" w:rsidRDefault="00E86EAF" w:rsidP="00E86EAF">
      <w:pPr>
        <w:numPr>
          <w:ilvl w:val="0"/>
          <w:numId w:val="5"/>
        </w:numPr>
        <w:tabs>
          <w:tab w:val="clear" w:pos="7650"/>
          <w:tab w:val="num" w:pos="426"/>
          <w:tab w:val="num" w:pos="786"/>
        </w:tabs>
        <w:spacing w:before="240" w:after="240"/>
        <w:ind w:left="0" w:firstLine="0"/>
        <w:jc w:val="both"/>
        <w:rPr>
          <w:b/>
          <w:lang w:eastAsia="bg-BG"/>
        </w:rPr>
      </w:pPr>
      <w:r w:rsidRPr="002F6170">
        <w:rPr>
          <w:b/>
          <w:lang w:eastAsia="bg-BG"/>
        </w:rPr>
        <w:t xml:space="preserve">Финансиране на </w:t>
      </w:r>
      <w:r>
        <w:rPr>
          <w:b/>
          <w:lang w:eastAsia="bg-BG"/>
        </w:rPr>
        <w:t xml:space="preserve">държавния </w:t>
      </w:r>
      <w:r w:rsidRPr="002F6170">
        <w:rPr>
          <w:b/>
          <w:lang w:eastAsia="bg-BG"/>
        </w:rPr>
        <w:t>бюджет чрез операции по дълга</w:t>
      </w:r>
    </w:p>
    <w:p w14:paraId="2FC888A8" w14:textId="77777777" w:rsidR="00E86EAF" w:rsidRPr="002F6170" w:rsidRDefault="00E86EAF" w:rsidP="00E86EAF">
      <w:pPr>
        <w:spacing w:before="120"/>
        <w:jc w:val="both"/>
        <w:rPr>
          <w:lang w:eastAsia="bg-BG"/>
        </w:rPr>
      </w:pPr>
      <w:r w:rsidRPr="002F6170">
        <w:rPr>
          <w:lang w:eastAsia="bg-BG"/>
        </w:rPr>
        <w:t xml:space="preserve">Към 30.09.2024 г. е отчетено положително нетно дългово финансиране на държавния бюджет в размер на </w:t>
      </w:r>
      <w:r w:rsidRPr="002F6170">
        <w:rPr>
          <w:lang w:val="en-US" w:eastAsia="bg-BG"/>
        </w:rPr>
        <w:t>6 627</w:t>
      </w:r>
      <w:r w:rsidRPr="002F6170">
        <w:rPr>
          <w:lang w:eastAsia="bg-BG"/>
        </w:rPr>
        <w:t>,</w:t>
      </w:r>
      <w:r w:rsidRPr="002F6170">
        <w:rPr>
          <w:lang w:val="en-US" w:eastAsia="bg-BG"/>
        </w:rPr>
        <w:t>9</w:t>
      </w:r>
      <w:r w:rsidRPr="002F6170">
        <w:rPr>
          <w:lang w:eastAsia="bg-BG"/>
        </w:rPr>
        <w:t xml:space="preserve"> млн. лв., което се дължи на  постъпилите средства от емисии на ДЦК на вътрешния пазар и на международните капиталови пазари </w:t>
      </w:r>
      <w:r w:rsidRPr="002F6170">
        <w:rPr>
          <w:lang w:val="en-US" w:eastAsia="bg-BG"/>
        </w:rPr>
        <w:t>(</w:t>
      </w:r>
      <w:r w:rsidRPr="002F6170">
        <w:rPr>
          <w:lang w:eastAsia="bg-BG"/>
        </w:rPr>
        <w:t>МКП</w:t>
      </w:r>
      <w:r w:rsidRPr="002F6170">
        <w:rPr>
          <w:lang w:val="en-US" w:eastAsia="bg-BG"/>
        </w:rPr>
        <w:t xml:space="preserve">) </w:t>
      </w:r>
      <w:r w:rsidRPr="002F6170">
        <w:rPr>
          <w:lang w:eastAsia="bg-BG"/>
        </w:rPr>
        <w:t>в общ размер на 10 045,6</w:t>
      </w:r>
      <w:r w:rsidRPr="002F6170">
        <w:rPr>
          <w:lang w:val="en-US" w:eastAsia="bg-BG"/>
        </w:rPr>
        <w:t> </w:t>
      </w:r>
      <w:r w:rsidRPr="002F6170">
        <w:rPr>
          <w:lang w:eastAsia="bg-BG"/>
        </w:rPr>
        <w:t>млн. лв. и извършените погашения по външния и вътрешния държавен дълг общо в размер на 3 417,7 млн. лв.</w:t>
      </w:r>
    </w:p>
    <w:p w14:paraId="3B2F65E1" w14:textId="77777777" w:rsidR="00E86EAF" w:rsidRPr="002F6170" w:rsidRDefault="00E86EAF" w:rsidP="00E86EAF">
      <w:pPr>
        <w:jc w:val="both"/>
        <w:rPr>
          <w:color w:val="0070C0"/>
          <w:lang w:eastAsia="bg-BG"/>
        </w:rPr>
      </w:pPr>
      <w:r w:rsidRPr="002F6170">
        <w:rPr>
          <w:lang w:eastAsia="bg-BG"/>
        </w:rPr>
        <w:t>Към 30.09.202</w:t>
      </w:r>
      <w:r w:rsidRPr="002F6170">
        <w:rPr>
          <w:lang w:val="en-US" w:eastAsia="bg-BG"/>
        </w:rPr>
        <w:t>4</w:t>
      </w:r>
      <w:r w:rsidRPr="002F6170">
        <w:rPr>
          <w:lang w:eastAsia="bg-BG"/>
        </w:rPr>
        <w:t xml:space="preserve"> г. е отчетено положително нетно </w:t>
      </w:r>
      <w:r w:rsidRPr="002F6170">
        <w:rPr>
          <w:b/>
          <w:i/>
          <w:lang w:eastAsia="bg-BG"/>
        </w:rPr>
        <w:t>вътрешно финансиране</w:t>
      </w:r>
      <w:r w:rsidRPr="002F6170">
        <w:rPr>
          <w:lang w:eastAsia="bg-BG"/>
        </w:rPr>
        <w:t xml:space="preserve"> на държавния бюджет с ДЦК в размер на 1 298,8 млн. лв., което се дължи на постъпленията от емисии на ДЦК на вътрешния пазар и извършеното погашение през месец юли. Общият размер на постъпленията от емисии на ДЦК на вътрешния пазар възлиза на 1</w:t>
      </w:r>
      <w:r w:rsidRPr="002F6170">
        <w:rPr>
          <w:lang w:val="en-US" w:eastAsia="bg-BG"/>
        </w:rPr>
        <w:t> </w:t>
      </w:r>
      <w:r w:rsidRPr="002F6170">
        <w:rPr>
          <w:lang w:eastAsia="bg-BG"/>
        </w:rPr>
        <w:t>678,8 млн. лв. или са емитирани ДЦК на обща номинална стойност 1 700,0 млн. лв., разпределени в две емисии, както следва:</w:t>
      </w:r>
    </w:p>
    <w:p w14:paraId="24644234" w14:textId="77777777" w:rsidR="00E86EAF" w:rsidRPr="002F6170" w:rsidRDefault="00E86EAF" w:rsidP="00E86EAF">
      <w:pPr>
        <w:numPr>
          <w:ilvl w:val="0"/>
          <w:numId w:val="27"/>
        </w:numPr>
        <w:tabs>
          <w:tab w:val="left" w:pos="851"/>
          <w:tab w:val="left" w:pos="993"/>
        </w:tabs>
        <w:spacing w:after="120"/>
        <w:ind w:left="0" w:firstLine="709"/>
        <w:jc w:val="both"/>
        <w:rPr>
          <w:lang w:eastAsia="bg-BG"/>
        </w:rPr>
      </w:pPr>
      <w:r w:rsidRPr="002F6170">
        <w:rPr>
          <w:b/>
          <w:i/>
          <w:lang w:eastAsia="bg-BG"/>
        </w:rPr>
        <w:t>3-годишни ДЦК</w:t>
      </w:r>
      <w:r w:rsidRPr="002F6170">
        <w:rPr>
          <w:lang w:eastAsia="bg-BG"/>
        </w:rPr>
        <w:t xml:space="preserve"> (емисията е пусната в обращение през април 2024 г., деноминирана е в лева, с падеж 17.04.2027 г. и годишен лихвен купон от 3 %) с общ пласиран обем от 900,0 млн. лв., в т.ч. през април 200 млн. лв., през месец май 300 млн. лв., а през юни и юли по 200 млн. лв.; </w:t>
      </w:r>
    </w:p>
    <w:p w14:paraId="354C9A16" w14:textId="77777777" w:rsidR="00E86EAF" w:rsidRPr="002F6170" w:rsidRDefault="00E86EAF" w:rsidP="00E86EAF">
      <w:pPr>
        <w:numPr>
          <w:ilvl w:val="0"/>
          <w:numId w:val="27"/>
        </w:numPr>
        <w:tabs>
          <w:tab w:val="left" w:pos="851"/>
          <w:tab w:val="left" w:pos="993"/>
        </w:tabs>
        <w:spacing w:after="120"/>
        <w:ind w:left="0" w:firstLine="709"/>
        <w:jc w:val="both"/>
        <w:rPr>
          <w:lang w:eastAsia="bg-BG"/>
        </w:rPr>
      </w:pPr>
      <w:r w:rsidRPr="002F6170">
        <w:rPr>
          <w:b/>
          <w:i/>
          <w:lang w:eastAsia="bg-BG"/>
        </w:rPr>
        <w:t>6-годишни ДЦК</w:t>
      </w:r>
      <w:r w:rsidRPr="002F6170">
        <w:rPr>
          <w:lang w:eastAsia="bg-BG"/>
        </w:rPr>
        <w:t xml:space="preserve"> (пуснати</w:t>
      </w:r>
      <w:r w:rsidRPr="002F6170">
        <w:rPr>
          <w:rFonts w:ascii="Calibri" w:eastAsia="Calibri" w:hAnsi="Calibri"/>
          <w:lang w:eastAsia="bg-BG"/>
        </w:rPr>
        <w:t xml:space="preserve"> </w:t>
      </w:r>
      <w:r w:rsidRPr="002F6170">
        <w:rPr>
          <w:lang w:eastAsia="bg-BG"/>
        </w:rPr>
        <w:t xml:space="preserve">в обращение през май 2024 г., деноминирани в лева, с падеж 15.05.2030 г. и годишен лихвен купон от 3,35 %) с общ пласиран обем от 800,0 млн. лв., в т. ч. и през месеците май, юни, юли и </w:t>
      </w:r>
      <w:r w:rsidRPr="002F6170">
        <w:rPr>
          <w:rFonts w:ascii="Cambria" w:hAnsi="Cambria"/>
          <w:lang w:eastAsia="bg-BG"/>
        </w:rPr>
        <w:t>август</w:t>
      </w:r>
      <w:r w:rsidRPr="002F6170">
        <w:rPr>
          <w:lang w:eastAsia="bg-BG"/>
        </w:rPr>
        <w:t xml:space="preserve"> са емитирани по 200,0 млн. лв.</w:t>
      </w:r>
    </w:p>
    <w:p w14:paraId="56C0059F" w14:textId="77777777" w:rsidR="00E86EAF" w:rsidRPr="002F6170" w:rsidRDefault="00E86EAF" w:rsidP="00E86EAF">
      <w:pPr>
        <w:tabs>
          <w:tab w:val="left" w:pos="567"/>
        </w:tabs>
        <w:spacing w:before="120" w:after="120"/>
        <w:jc w:val="both"/>
        <w:rPr>
          <w:lang w:eastAsia="bg-BG"/>
        </w:rPr>
      </w:pPr>
      <w:r w:rsidRPr="002F6170">
        <w:rPr>
          <w:lang w:eastAsia="bg-BG"/>
        </w:rPr>
        <w:t>Отчетените погашения към края на септември 2024 г. са в размер на 380,0 млн. лв., като през месец юли Министерството на финансите погаси емисия 10,5-годишни ДЦК от 2014 г. в обем от 380,0 млн. лв. номинална стойност.</w:t>
      </w:r>
    </w:p>
    <w:p w14:paraId="1FA4977B" w14:textId="77777777" w:rsidR="00E86EAF" w:rsidRPr="002F6170" w:rsidRDefault="00E86EAF" w:rsidP="00E86EAF">
      <w:pPr>
        <w:spacing w:before="120" w:after="120"/>
        <w:jc w:val="both"/>
        <w:rPr>
          <w:lang w:eastAsia="bg-BG"/>
        </w:rPr>
      </w:pPr>
      <w:r w:rsidRPr="002F6170">
        <w:rPr>
          <w:lang w:eastAsia="bg-BG"/>
        </w:rPr>
        <w:t xml:space="preserve">Към 30 септември 2024 г. е отчетено положително нетно </w:t>
      </w:r>
      <w:r w:rsidRPr="002F6170">
        <w:rPr>
          <w:b/>
          <w:i/>
          <w:lang w:eastAsia="bg-BG"/>
        </w:rPr>
        <w:t>външно финансиране</w:t>
      </w:r>
      <w:r w:rsidRPr="002F6170">
        <w:rPr>
          <w:lang w:eastAsia="bg-BG"/>
        </w:rPr>
        <w:t xml:space="preserve"> в размер на </w:t>
      </w:r>
      <w:r w:rsidRPr="002F6170">
        <w:rPr>
          <w:b/>
          <w:lang w:eastAsia="bg-BG"/>
        </w:rPr>
        <w:t>5 329,1</w:t>
      </w:r>
      <w:r w:rsidRPr="002F6170">
        <w:rPr>
          <w:lang w:val="en-US" w:eastAsia="bg-BG"/>
        </w:rPr>
        <w:t> </w:t>
      </w:r>
      <w:r w:rsidRPr="002F6170">
        <w:rPr>
          <w:b/>
          <w:lang w:eastAsia="bg-BG"/>
        </w:rPr>
        <w:t>млн. лв</w:t>
      </w:r>
      <w:r w:rsidRPr="002F6170">
        <w:rPr>
          <w:lang w:eastAsia="bg-BG"/>
        </w:rPr>
        <w:t xml:space="preserve">. по </w:t>
      </w:r>
      <w:r w:rsidRPr="002F6170">
        <w:rPr>
          <w:b/>
          <w:lang w:eastAsia="bg-BG"/>
        </w:rPr>
        <w:t>държавния бюджет</w:t>
      </w:r>
      <w:r w:rsidRPr="002F6170">
        <w:rPr>
          <w:lang w:eastAsia="bg-BG"/>
        </w:rPr>
        <w:t>, което се дължи на постъпленията в общ размер на 8 366,8 млн. лв. от емитираните на 5 септември на МКП облигации в три транша, деноминирани в евро и щатски долари, и извършените погашения към външни кредитори от държавния бюджет общо в размер на 3 037,7 млн. лв.</w:t>
      </w:r>
    </w:p>
    <w:p w14:paraId="085400AF" w14:textId="52F9831B" w:rsidR="00E86EAF" w:rsidRPr="002F6170" w:rsidRDefault="00E86EAF" w:rsidP="00E86EAF">
      <w:pPr>
        <w:spacing w:before="120" w:after="120"/>
        <w:jc w:val="both"/>
        <w:rPr>
          <w:color w:val="0070C0"/>
          <w:lang w:eastAsia="bg-BG"/>
        </w:rPr>
      </w:pPr>
      <w:r w:rsidRPr="002F6170">
        <w:rPr>
          <w:b/>
          <w:i/>
          <w:lang w:eastAsia="bg-BG"/>
        </w:rPr>
        <w:t>Постъпленията</w:t>
      </w:r>
      <w:r w:rsidRPr="002F6170">
        <w:rPr>
          <w:lang w:eastAsia="bg-BG"/>
        </w:rPr>
        <w:t xml:space="preserve"> </w:t>
      </w:r>
      <w:r w:rsidRPr="002F6170">
        <w:rPr>
          <w:b/>
          <w:i/>
          <w:lang w:eastAsia="bg-BG"/>
        </w:rPr>
        <w:t xml:space="preserve">по централен бюджет </w:t>
      </w:r>
      <w:r w:rsidR="000B16DF">
        <w:rPr>
          <w:lang w:eastAsia="bg-BG"/>
        </w:rPr>
        <w:t xml:space="preserve">от тройния транш облигации </w:t>
      </w:r>
      <w:r w:rsidRPr="002F6170">
        <w:rPr>
          <w:lang w:eastAsia="bg-BG"/>
        </w:rPr>
        <w:t xml:space="preserve">на МКП възлизат общо на 8 366,8 млн. лв. Първият транш облигации, деноминирани в евро, е със </w:t>
      </w:r>
      <w:proofErr w:type="spellStart"/>
      <w:r w:rsidRPr="002F6170">
        <w:rPr>
          <w:lang w:eastAsia="bg-BG"/>
        </w:rPr>
        <w:t>срочност</w:t>
      </w:r>
      <w:proofErr w:type="spellEnd"/>
      <w:r w:rsidRPr="002F6170">
        <w:rPr>
          <w:lang w:eastAsia="bg-BG"/>
        </w:rPr>
        <w:t xml:space="preserve"> 8 г., обем от 1,75 млрд. евро номинална стойност и лихвен купон 3,625 %; вторият транш облигации, деноминирани в евро, е със </w:t>
      </w:r>
      <w:proofErr w:type="spellStart"/>
      <w:r w:rsidRPr="002F6170">
        <w:rPr>
          <w:lang w:eastAsia="bg-BG"/>
        </w:rPr>
        <w:t>срочност</w:t>
      </w:r>
      <w:proofErr w:type="spellEnd"/>
      <w:r w:rsidRPr="002F6170">
        <w:rPr>
          <w:lang w:eastAsia="bg-BG"/>
        </w:rPr>
        <w:t xml:space="preserve"> 20 г., обем от 1,25 млрд. евро и лихвен купон 4,250 %, а третият транш облигации е деноминиран в щатски долари и е със </w:t>
      </w:r>
      <w:proofErr w:type="spellStart"/>
      <w:r w:rsidRPr="002F6170">
        <w:rPr>
          <w:lang w:eastAsia="bg-BG"/>
        </w:rPr>
        <w:t>срочност</w:t>
      </w:r>
      <w:proofErr w:type="spellEnd"/>
      <w:r w:rsidRPr="002F6170">
        <w:rPr>
          <w:lang w:eastAsia="bg-BG"/>
        </w:rPr>
        <w:t xml:space="preserve"> 12,5 г., обем от 1,500 млрд. щатски долара и лихвен купон 5,000 %</w:t>
      </w:r>
    </w:p>
    <w:p w14:paraId="19AAF97E" w14:textId="77777777" w:rsidR="00E86EAF" w:rsidRPr="002F6170" w:rsidRDefault="00E86EAF" w:rsidP="00E86EAF">
      <w:pPr>
        <w:spacing w:before="120" w:after="120"/>
        <w:jc w:val="both"/>
        <w:rPr>
          <w:lang w:eastAsia="bg-BG"/>
        </w:rPr>
      </w:pPr>
      <w:r w:rsidRPr="002F6170">
        <w:rPr>
          <w:lang w:eastAsia="bg-BG"/>
        </w:rPr>
        <w:t xml:space="preserve">Извършените </w:t>
      </w:r>
      <w:r w:rsidRPr="002F6170">
        <w:rPr>
          <w:b/>
          <w:i/>
          <w:lang w:eastAsia="bg-BG"/>
        </w:rPr>
        <w:t>погашения от централен бюджет</w:t>
      </w:r>
      <w:r w:rsidRPr="002F6170">
        <w:rPr>
          <w:lang w:eastAsia="bg-BG"/>
        </w:rPr>
        <w:t xml:space="preserve"> възлизат на </w:t>
      </w:r>
      <w:r w:rsidRPr="002F6170">
        <w:rPr>
          <w:b/>
          <w:i/>
          <w:lang w:eastAsia="bg-BG"/>
        </w:rPr>
        <w:t>2 965,0 млн. лв</w:t>
      </w:r>
      <w:r w:rsidRPr="002F6170">
        <w:rPr>
          <w:lang w:eastAsia="bg-BG"/>
        </w:rPr>
        <w:t>., в т.ч.:</w:t>
      </w:r>
    </w:p>
    <w:p w14:paraId="4F3207ED" w14:textId="77777777" w:rsidR="00E86EAF" w:rsidRPr="002F6170" w:rsidRDefault="00E86EAF" w:rsidP="00E86EAF">
      <w:pPr>
        <w:numPr>
          <w:ilvl w:val="0"/>
          <w:numId w:val="28"/>
        </w:numPr>
        <w:tabs>
          <w:tab w:val="left" w:pos="851"/>
          <w:tab w:val="left" w:pos="993"/>
        </w:tabs>
        <w:spacing w:before="120" w:after="120"/>
        <w:ind w:left="0" w:right="-1" w:firstLine="709"/>
        <w:jc w:val="both"/>
        <w:rPr>
          <w:lang w:eastAsia="bg-BG"/>
        </w:rPr>
      </w:pPr>
      <w:r w:rsidRPr="002F6170">
        <w:rPr>
          <w:lang w:eastAsia="bg-BG"/>
        </w:rPr>
        <w:t xml:space="preserve">в полза на държателите на 10-годишните еврооблигации на Република България, емитирани през 2014 г. на МКП, на падежната дата 3 септември 2024 г. са изплатени </w:t>
      </w:r>
      <w:r w:rsidRPr="002F6170">
        <w:rPr>
          <w:b/>
          <w:i/>
          <w:lang w:eastAsia="bg-BG"/>
        </w:rPr>
        <w:t>2 893,3</w:t>
      </w:r>
      <w:r w:rsidRPr="002F6170">
        <w:rPr>
          <w:i/>
          <w:lang w:eastAsia="bg-BG"/>
        </w:rPr>
        <w:t xml:space="preserve"> </w:t>
      </w:r>
      <w:r w:rsidRPr="002F6170">
        <w:rPr>
          <w:b/>
          <w:i/>
          <w:lang w:eastAsia="bg-BG"/>
        </w:rPr>
        <w:t>млн. лв.</w:t>
      </w:r>
      <w:r w:rsidRPr="002F6170">
        <w:rPr>
          <w:lang w:eastAsia="bg-BG"/>
        </w:rPr>
        <w:t xml:space="preserve"> (1,</w:t>
      </w:r>
      <w:r w:rsidRPr="002F6170">
        <w:rPr>
          <w:lang w:val="en-US" w:eastAsia="bg-BG"/>
        </w:rPr>
        <w:t>493</w:t>
      </w:r>
      <w:r w:rsidRPr="002F6170">
        <w:rPr>
          <w:lang w:eastAsia="bg-BG"/>
        </w:rPr>
        <w:t xml:space="preserve"> млрд. евро номиналната стойност);</w:t>
      </w:r>
    </w:p>
    <w:p w14:paraId="4D66EEEE" w14:textId="77777777" w:rsidR="00E86EAF" w:rsidRPr="002F6170" w:rsidRDefault="00E86EAF" w:rsidP="00E86EAF">
      <w:pPr>
        <w:numPr>
          <w:ilvl w:val="0"/>
          <w:numId w:val="29"/>
        </w:numPr>
        <w:tabs>
          <w:tab w:val="left" w:pos="851"/>
          <w:tab w:val="left" w:pos="993"/>
        </w:tabs>
        <w:spacing w:after="120"/>
        <w:ind w:left="0" w:right="-1" w:firstLine="709"/>
        <w:jc w:val="both"/>
        <w:rPr>
          <w:lang w:eastAsia="bg-BG"/>
        </w:rPr>
      </w:pPr>
      <w:r w:rsidRPr="002F6170">
        <w:rPr>
          <w:lang w:eastAsia="bg-BG"/>
        </w:rPr>
        <w:t xml:space="preserve">по външни държавни заеми към международни финансови институции, в съответствие с договорените погасителни планове, към 30.09.2024 г. са изплатени погашения в размер на </w:t>
      </w:r>
      <w:r w:rsidRPr="002F6170">
        <w:rPr>
          <w:b/>
          <w:i/>
          <w:lang w:eastAsia="bg-BG"/>
        </w:rPr>
        <w:t>71,6 млн. лв.,</w:t>
      </w:r>
      <w:r w:rsidRPr="002F6170">
        <w:rPr>
          <w:lang w:eastAsia="bg-BG"/>
        </w:rPr>
        <w:t xml:space="preserve"> (29,8 млн. лв. към Международната банка за възстановяване и развитие, 32,1 млн. лв. към Европейска инвестиционна банка и 9,8 млн. лв. към Банка за развитие на Съвета на Европа). През месец септември </w:t>
      </w:r>
      <w:r w:rsidRPr="002F6170">
        <w:rPr>
          <w:bCs/>
          <w:lang w:eastAsia="bg-BG"/>
        </w:rPr>
        <w:t>няма извършени погашения по държавни заеми</w:t>
      </w:r>
      <w:r w:rsidRPr="002F6170">
        <w:rPr>
          <w:lang w:eastAsia="bg-BG"/>
        </w:rPr>
        <w:t>.</w:t>
      </w:r>
    </w:p>
    <w:p w14:paraId="00E90684" w14:textId="77777777" w:rsidR="00E86EAF" w:rsidRPr="002F6170" w:rsidRDefault="00E86EAF" w:rsidP="00E86EAF">
      <w:pPr>
        <w:spacing w:before="120"/>
        <w:jc w:val="both"/>
        <w:rPr>
          <w:lang w:eastAsia="bg-BG"/>
        </w:rPr>
      </w:pPr>
      <w:r w:rsidRPr="002F6170">
        <w:rPr>
          <w:lang w:eastAsia="bg-BG"/>
        </w:rPr>
        <w:t xml:space="preserve">Погашенията по държавни инвестиционни заеми (ДИЗ), управлявани от министерства и </w:t>
      </w:r>
      <w:r w:rsidRPr="00216C0B">
        <w:rPr>
          <w:lang w:eastAsia="bg-BG"/>
        </w:rPr>
        <w:t xml:space="preserve">ведомства в края на септември са в размер на 68,0 млн. лв. По заемите с краен бенефициент търговско дружество извършените погашения са в размер на </w:t>
      </w:r>
      <w:r w:rsidRPr="00216C0B">
        <w:rPr>
          <w:lang w:val="ru-RU" w:eastAsia="bg-BG"/>
        </w:rPr>
        <w:t>4,</w:t>
      </w:r>
      <w:r w:rsidRPr="00216C0B">
        <w:rPr>
          <w:lang w:eastAsia="bg-BG"/>
        </w:rPr>
        <w:t>8 млн. лева.</w:t>
      </w:r>
    </w:p>
    <w:p w14:paraId="06ABB891" w14:textId="77777777" w:rsidR="00E86EAF" w:rsidRPr="002F6170" w:rsidRDefault="00E86EAF" w:rsidP="00E86EAF">
      <w:pPr>
        <w:spacing w:before="120"/>
        <w:jc w:val="both"/>
        <w:rPr>
          <w:color w:val="0070C0"/>
          <w:lang w:eastAsia="bg-BG"/>
        </w:rPr>
      </w:pPr>
      <w:r w:rsidRPr="002F6170">
        <w:rPr>
          <w:lang w:eastAsia="bg-BG"/>
        </w:rPr>
        <w:t>През отчетния период не са използвани средствата, предвидени в ЗДБРБ за 2024 г., за покриване на риска от активиране на държавни гаранции</w:t>
      </w:r>
      <w:r w:rsidRPr="002F6170">
        <w:rPr>
          <w:color w:val="0070C0"/>
          <w:lang w:eastAsia="bg-BG"/>
        </w:rPr>
        <w:t>.</w:t>
      </w:r>
    </w:p>
    <w:p w14:paraId="04D45884" w14:textId="77777777" w:rsidR="00E86EAF" w:rsidRPr="00873921" w:rsidRDefault="00E86EAF" w:rsidP="00E86EAF">
      <w:pPr>
        <w:pStyle w:val="BodyTextIndent"/>
        <w:numPr>
          <w:ilvl w:val="1"/>
          <w:numId w:val="8"/>
        </w:numPr>
        <w:tabs>
          <w:tab w:val="num" w:pos="900"/>
        </w:tabs>
        <w:spacing w:before="240" w:after="0"/>
        <w:ind w:left="714" w:hanging="357"/>
        <w:jc w:val="both"/>
        <w:rPr>
          <w:b/>
          <w:bCs/>
        </w:rPr>
      </w:pPr>
      <w:r w:rsidRPr="00873921">
        <w:rPr>
          <w:b/>
          <w:bCs/>
        </w:rPr>
        <w:t>Разходи по централн</w:t>
      </w:r>
      <w:r w:rsidRPr="00873921">
        <w:rPr>
          <w:b/>
          <w:bCs/>
          <w:szCs w:val="26"/>
        </w:rPr>
        <w:t xml:space="preserve">ия бюджет </w:t>
      </w:r>
      <w:r w:rsidRPr="00873921">
        <w:rPr>
          <w:b/>
          <w:bCs/>
        </w:rPr>
        <w:t>за субсидии, капиталови трансфери</w:t>
      </w:r>
      <w:r w:rsidRPr="00873921">
        <w:rPr>
          <w:bCs/>
        </w:rPr>
        <w:t xml:space="preserve"> </w:t>
      </w:r>
      <w:r w:rsidRPr="00873921">
        <w:rPr>
          <w:b/>
          <w:bCs/>
        </w:rPr>
        <w:t xml:space="preserve">и други разходи, свързани с дейността на реалния сектор </w:t>
      </w:r>
    </w:p>
    <w:p w14:paraId="615463A8" w14:textId="77777777" w:rsidR="00E86EAF" w:rsidRPr="00387A3E" w:rsidRDefault="00E86EAF" w:rsidP="00E86EAF">
      <w:pPr>
        <w:pStyle w:val="Header"/>
        <w:jc w:val="both"/>
        <w:rPr>
          <w:color w:val="0070C0"/>
          <w:sz w:val="8"/>
          <w:szCs w:val="8"/>
        </w:rPr>
      </w:pPr>
    </w:p>
    <w:p w14:paraId="7D7FFFDA" w14:textId="77777777" w:rsidR="00E86EAF" w:rsidRPr="00387A3E" w:rsidRDefault="00E86EAF" w:rsidP="00E86EAF">
      <w:pPr>
        <w:pStyle w:val="Header"/>
        <w:ind w:firstLine="567"/>
        <w:jc w:val="both"/>
        <w:rPr>
          <w:color w:val="0070C0"/>
          <w:sz w:val="4"/>
          <w:szCs w:val="4"/>
        </w:rPr>
      </w:pPr>
    </w:p>
    <w:p w14:paraId="32875238" w14:textId="77777777" w:rsidR="00E86EAF" w:rsidRPr="00387A3E" w:rsidRDefault="00E86EAF" w:rsidP="00E86EAF">
      <w:pPr>
        <w:pStyle w:val="BodyText2"/>
        <w:spacing w:after="0" w:line="240" w:lineRule="auto"/>
        <w:ind w:firstLine="567"/>
        <w:jc w:val="both"/>
        <w:rPr>
          <w:color w:val="0070C0"/>
        </w:rPr>
      </w:pPr>
      <w:r w:rsidRPr="00EE53B5">
        <w:t xml:space="preserve">Средствата за </w:t>
      </w:r>
      <w:r w:rsidRPr="00EE53B5">
        <w:rPr>
          <w:bCs/>
        </w:rPr>
        <w:t>субсидии</w:t>
      </w:r>
      <w:r w:rsidRPr="00EE53B5">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w:t>
      </w:r>
      <w:r w:rsidRPr="0018350D">
        <w:t>планински и други райони.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14:paraId="0C6A0A49" w14:textId="77777777" w:rsidR="00E86EAF" w:rsidRPr="00387A3E" w:rsidRDefault="00E86EAF" w:rsidP="00E86EAF">
      <w:pPr>
        <w:widowControl w:val="0"/>
        <w:ind w:firstLine="567"/>
        <w:jc w:val="both"/>
        <w:rPr>
          <w:color w:val="0070C0"/>
        </w:rPr>
      </w:pPr>
      <w:r w:rsidRPr="00FA59C5">
        <w:rPr>
          <w:noProof/>
        </w:rPr>
        <w:t>Към 30.09.2024 г. предоставените за тази цел средства са в размер на 127,4 млн. лв., в т.</w:t>
      </w:r>
      <w:r w:rsidRPr="00FA59C5">
        <w:rPr>
          <w:noProof/>
          <w:lang w:val="ru-RU"/>
        </w:rPr>
        <w:t xml:space="preserve"> </w:t>
      </w:r>
      <w:r w:rsidRPr="00FA59C5">
        <w:rPr>
          <w:noProof/>
        </w:rPr>
        <w:t xml:space="preserve">ч. </w:t>
      </w:r>
      <w:r w:rsidRPr="005B7BD3">
        <w:rPr>
          <w:noProof/>
        </w:rPr>
        <w:t>за Столична община – в размер на 66,8 млн. лв. Средствата се разпределят по общини по предложение на Министерството на транспорта и съобщенията, с изключение на тези за Столична община</w:t>
      </w:r>
      <w:r w:rsidRPr="005B7BD3">
        <w:t xml:space="preserve">. </w:t>
      </w:r>
    </w:p>
    <w:p w14:paraId="5B194120" w14:textId="77777777" w:rsidR="00E86EAF" w:rsidRPr="00B1634B" w:rsidRDefault="00E86EAF" w:rsidP="00E86EAF">
      <w:pPr>
        <w:ind w:firstLine="567"/>
        <w:jc w:val="both"/>
      </w:pPr>
      <w:r w:rsidRPr="00B1634B">
        <w:t>За деветмесечието на 2024 г.</w:t>
      </w:r>
      <w:r w:rsidRPr="007C7013">
        <w:rPr>
          <w:i/>
        </w:rPr>
        <w:t xml:space="preserve"> </w:t>
      </w:r>
      <w:r w:rsidRPr="00694E66">
        <w:t>от предвидените по централния бюджет</w:t>
      </w:r>
      <w:r w:rsidRPr="00694E66">
        <w:rPr>
          <w:b/>
          <w:i/>
        </w:rPr>
        <w:t xml:space="preserve"> </w:t>
      </w:r>
      <w:r w:rsidRPr="00B1634B">
        <w:rPr>
          <w:b/>
          <w:i/>
        </w:rPr>
        <w:t>капиталови трансфери</w:t>
      </w:r>
      <w:r w:rsidRPr="00B1634B">
        <w:t xml:space="preserve"> за изпълнение на Програмите за отстраняване на нанесени щети </w:t>
      </w:r>
      <w:r w:rsidRPr="00B1634B">
        <w:rPr>
          <w:noProof/>
        </w:rPr>
        <w:t>върху околната среда</w:t>
      </w:r>
      <w:r w:rsidRPr="00B1634B">
        <w:t>, настъпили от минали действия или бездействия, при приватизация, не са изразходвани средства.</w:t>
      </w:r>
    </w:p>
    <w:p w14:paraId="72E441B6" w14:textId="77777777" w:rsidR="00E86EAF" w:rsidRPr="00387A3E" w:rsidRDefault="00E86EAF" w:rsidP="009441D9">
      <w:pPr>
        <w:ind w:firstLine="567"/>
        <w:jc w:val="both"/>
        <w:rPr>
          <w:color w:val="0070C0"/>
        </w:rPr>
      </w:pPr>
      <w:r w:rsidRPr="00293049">
        <w:rPr>
          <w:bCs/>
        </w:rPr>
        <w:t xml:space="preserve">По централния бюджет са предвидени и </w:t>
      </w:r>
      <w:r w:rsidRPr="00293049">
        <w:rPr>
          <w:b/>
          <w:bCs/>
        </w:rPr>
        <w:t>други разходи</w:t>
      </w:r>
      <w:r w:rsidRPr="00293049">
        <w:rPr>
          <w:bCs/>
        </w:rPr>
        <w:t>, свързани с к</w:t>
      </w:r>
      <w:r w:rsidRPr="00293049">
        <w:t xml:space="preserve">омпенсиране със средства от държавния бюджет на </w:t>
      </w:r>
      <w:r w:rsidRPr="00293049">
        <w:rPr>
          <w:bCs/>
        </w:rPr>
        <w:t>намалените приходи от прилагането на цени за пътуване, предвидени в нормативни актове за определени категории пътници</w:t>
      </w:r>
      <w:r w:rsidRPr="00293049">
        <w:t xml:space="preserve"> по железопътния и </w:t>
      </w:r>
      <w:r w:rsidRPr="00F52ABB">
        <w:t xml:space="preserve">автомобилния транспорт. Средствата </w:t>
      </w:r>
      <w:r w:rsidRPr="00F52ABB">
        <w:rPr>
          <w:bCs/>
        </w:rPr>
        <w:t xml:space="preserve">се предоставят на „БДЖ-Пътнически превози“ ЕООД за компенсации за пътувания с железопътния транспорт и под формата на целеви трансфер на общините - </w:t>
      </w:r>
      <w:r w:rsidRPr="00F52ABB">
        <w:t xml:space="preserve">за автомобилния транспорт. </w:t>
      </w:r>
    </w:p>
    <w:p w14:paraId="39B9E232" w14:textId="77777777" w:rsidR="00E86EAF" w:rsidRPr="00537E00" w:rsidRDefault="00E86EAF" w:rsidP="00E86EAF">
      <w:pPr>
        <w:tabs>
          <w:tab w:val="left" w:pos="851"/>
        </w:tabs>
        <w:ind w:firstLine="567"/>
        <w:jc w:val="both"/>
        <w:rPr>
          <w:sz w:val="8"/>
          <w:szCs w:val="8"/>
        </w:rPr>
      </w:pPr>
      <w:r w:rsidRPr="00537E00">
        <w:t xml:space="preserve"> Предоставените средства за деветмесечието на 2024 г. са общо в размер на 150,8 млн. лв., в т.ч. за вътрешноградския транспорт, междуселищния автомобилен транспорт и железопътния транспорт. </w:t>
      </w:r>
    </w:p>
    <w:p w14:paraId="2B277467" w14:textId="77777777" w:rsidR="00E86EAF" w:rsidRPr="00D22870" w:rsidRDefault="00E86EAF" w:rsidP="00E86EAF">
      <w:pPr>
        <w:tabs>
          <w:tab w:val="left" w:pos="851"/>
        </w:tabs>
        <w:ind w:firstLine="567"/>
        <w:jc w:val="both"/>
      </w:pPr>
      <w:r w:rsidRPr="00D22870">
        <w:t xml:space="preserve">Предоставените средства към 30.09.2024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D22870">
        <w:rPr>
          <w:noProof/>
        </w:rPr>
        <w:t xml:space="preserve">вътрешноградски транспорт и междуселищен </w:t>
      </w:r>
      <w:r w:rsidRPr="00D22870">
        <w:t>автомобилен транспорт или железопътен транспорт са както следва:</w:t>
      </w:r>
    </w:p>
    <w:p w14:paraId="23A95DE6" w14:textId="77777777" w:rsidR="00E86EAF" w:rsidRPr="00D623A1" w:rsidRDefault="00E86EAF" w:rsidP="00E86EAF">
      <w:pPr>
        <w:ind w:firstLine="567"/>
        <w:jc w:val="both"/>
      </w:pPr>
      <w:r w:rsidRPr="00D623A1">
        <w:t xml:space="preserve">- компенсации за пътувания с железопътния транспорт в размер на 7,4 млн. лв.; </w:t>
      </w:r>
    </w:p>
    <w:p w14:paraId="33840929" w14:textId="77777777" w:rsidR="00E86EAF" w:rsidRPr="000A59BA" w:rsidRDefault="00E86EAF" w:rsidP="00E86EAF">
      <w:pPr>
        <w:tabs>
          <w:tab w:val="left" w:pos="540"/>
          <w:tab w:val="left" w:pos="709"/>
        </w:tabs>
        <w:ind w:firstLine="567"/>
        <w:jc w:val="both"/>
        <w:rPr>
          <w:noProof/>
        </w:rPr>
      </w:pPr>
      <w:r w:rsidRPr="000A59BA">
        <w:rPr>
          <w:noProof/>
        </w:rPr>
        <w:t xml:space="preserve">- компенсации за пътувания с вътрешноградски транспорт и междуселищния автомобилен транспорт в страната – 143,4 млн. лв. </w:t>
      </w:r>
    </w:p>
    <w:p w14:paraId="6B60441B" w14:textId="77777777" w:rsidR="00E86EAF" w:rsidRPr="00E05CF3" w:rsidRDefault="00E86EAF" w:rsidP="00E86EAF">
      <w:pPr>
        <w:ind w:firstLine="567"/>
        <w:jc w:val="both"/>
        <w:rPr>
          <w:noProof/>
        </w:rPr>
      </w:pPr>
      <w:r w:rsidRPr="00E05CF3">
        <w:rPr>
          <w:noProof/>
        </w:rPr>
        <w:t xml:space="preserve">Предоставените средства за </w:t>
      </w:r>
      <w:r w:rsidRPr="00E05CF3">
        <w:t>компенсиране на намалените приходи от прилагането на цени за пътуване, предвидени в нормативни актове за определени категории пътници,</w:t>
      </w:r>
      <w:r w:rsidRPr="00E05CF3">
        <w:rPr>
          <w:noProof/>
        </w:rPr>
        <w:t xml:space="preserve"> по вътрешноградския транспорт и междуселищния автомобилен транспорт за деветмесечието на 2024 г., диференцирани по групи правоимащи лица и размер на намалението спрямо редовната цена, са както следва:</w:t>
      </w:r>
    </w:p>
    <w:p w14:paraId="6721B452" w14:textId="77777777" w:rsidR="00E86EAF" w:rsidRPr="00E05CF3" w:rsidRDefault="00E86EAF" w:rsidP="00E86EAF">
      <w:pPr>
        <w:pStyle w:val="BodyTextIndent"/>
        <w:spacing w:after="0"/>
        <w:ind w:left="0" w:firstLine="567"/>
        <w:jc w:val="both"/>
      </w:pPr>
      <w:r w:rsidRPr="00E05CF3">
        <w:t xml:space="preserve">- 42,4 млн. лв. за транспорт на деца и ученици; </w:t>
      </w:r>
    </w:p>
    <w:p w14:paraId="130F9904" w14:textId="77777777" w:rsidR="00E86EAF" w:rsidRPr="003D6897" w:rsidRDefault="00E86EAF" w:rsidP="00E86EAF">
      <w:pPr>
        <w:pStyle w:val="BodyTextIndent"/>
        <w:tabs>
          <w:tab w:val="left" w:pos="1026"/>
        </w:tabs>
        <w:spacing w:after="0"/>
        <w:ind w:left="0" w:firstLine="567"/>
        <w:jc w:val="both"/>
      </w:pPr>
      <w:r w:rsidRPr="003D6897">
        <w:t>- 101,0 млн. лв. за безплатни и по намалени цени пътувания по общини, в това число:</w:t>
      </w:r>
    </w:p>
    <w:p w14:paraId="586DDF28" w14:textId="77777777" w:rsidR="00E86EAF" w:rsidRPr="003D6897" w:rsidRDefault="00E86EAF" w:rsidP="00E86EAF">
      <w:pPr>
        <w:numPr>
          <w:ilvl w:val="0"/>
          <w:numId w:val="21"/>
        </w:numPr>
        <w:tabs>
          <w:tab w:val="left" w:pos="993"/>
        </w:tabs>
        <w:jc w:val="both"/>
      </w:pPr>
      <w:r w:rsidRPr="003D6897">
        <w:t xml:space="preserve">88,2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14 навършени години, учащи се и лица, получаващи пенсия, </w:t>
      </w:r>
      <w:r w:rsidRPr="003D6897">
        <w:rPr>
          <w:noProof/>
        </w:rPr>
        <w:t>лица с намалена работоспособност над 70,99 на 100 с вътрешноградския транспорт и междуселищния автомобилен транспорт</w:t>
      </w:r>
      <w:r w:rsidRPr="003D6897">
        <w:t xml:space="preserve">; </w:t>
      </w:r>
    </w:p>
    <w:p w14:paraId="0A16DDEC" w14:textId="77777777" w:rsidR="00E86EAF" w:rsidRPr="00607BF9" w:rsidRDefault="00E86EAF" w:rsidP="00E86EAF">
      <w:pPr>
        <w:numPr>
          <w:ilvl w:val="0"/>
          <w:numId w:val="21"/>
        </w:numPr>
        <w:tabs>
          <w:tab w:val="left" w:pos="993"/>
        </w:tabs>
        <w:jc w:val="both"/>
      </w:pPr>
      <w:r w:rsidRPr="00607BF9">
        <w:t>12,8 млн. лв. за превоз на служители, ползващи право на безплатно пътуване при изпълнение на служебните си задължения.</w:t>
      </w:r>
    </w:p>
    <w:p w14:paraId="2A4C58CA" w14:textId="77777777" w:rsidR="00E86EAF" w:rsidRPr="00607BF9" w:rsidRDefault="00E86EAF" w:rsidP="00E86EAF">
      <w:pPr>
        <w:tabs>
          <w:tab w:val="left" w:pos="567"/>
        </w:tabs>
        <w:ind w:firstLine="567"/>
        <w:jc w:val="both"/>
      </w:pPr>
      <w:r w:rsidRPr="00607BF9">
        <w:t>Средствата се разпределят по общини по предложение на Министерството на транспорта и съобщенията, Министерството на образованието и науката и на министерствата и ведомствата, чиито служители ползват право на безплатно пътуване за изпълнение на служебните си задължения в изпълнение на законови разпоредби.</w:t>
      </w:r>
    </w:p>
    <w:p w14:paraId="77A2C9EA" w14:textId="77777777" w:rsidR="00162F31" w:rsidRPr="00E943D4" w:rsidRDefault="00162F31" w:rsidP="00E86EAF">
      <w:pPr>
        <w:pStyle w:val="BodyTextIndent"/>
        <w:numPr>
          <w:ilvl w:val="1"/>
          <w:numId w:val="8"/>
        </w:numPr>
        <w:tabs>
          <w:tab w:val="num" w:pos="900"/>
        </w:tabs>
        <w:spacing w:before="240" w:after="0"/>
        <w:ind w:left="714" w:hanging="357"/>
        <w:jc w:val="both"/>
        <w:rPr>
          <w:b/>
          <w:bCs/>
        </w:rPr>
      </w:pPr>
      <w:r w:rsidRPr="00E943D4">
        <w:rPr>
          <w:b/>
          <w:bCs/>
        </w:rPr>
        <w:t>Бюджет на съдебната власт</w:t>
      </w:r>
    </w:p>
    <w:p w14:paraId="07AEFDC7" w14:textId="77777777" w:rsidR="00E943D4" w:rsidRPr="00387A3E" w:rsidRDefault="00E943D4" w:rsidP="00E943D4">
      <w:pPr>
        <w:spacing w:before="120"/>
        <w:jc w:val="both"/>
        <w:rPr>
          <w:color w:val="0070C0"/>
        </w:rPr>
      </w:pPr>
      <w:r w:rsidRPr="00BA51D8">
        <w:t>За деветмесечието на 202</w:t>
      </w:r>
      <w:r w:rsidRPr="00BA51D8">
        <w:rPr>
          <w:lang w:val="ru-RU"/>
        </w:rPr>
        <w:t>4</w:t>
      </w:r>
      <w:r w:rsidRPr="00BA51D8">
        <w:t xml:space="preserve"> г. по бюджета на съдебната власт са отчетени </w:t>
      </w:r>
      <w:r w:rsidRPr="00BA51D8">
        <w:rPr>
          <w:b/>
        </w:rPr>
        <w:t>приходи</w:t>
      </w:r>
      <w:r w:rsidRPr="00BA51D8">
        <w:t xml:space="preserve"> в размер на </w:t>
      </w:r>
      <w:r w:rsidRPr="00BE1E68">
        <w:rPr>
          <w:lang w:val="ru-RU"/>
        </w:rPr>
        <w:t>86,1</w:t>
      </w:r>
      <w:r w:rsidRPr="00BE1E68">
        <w:t xml:space="preserve"> млн. лв., от които 69,9 млн. лв. - приходи от съдебни такси. За сравнение, към 30.09.2023 г. са отчетени общо приходи в размер на 70,7 млн. лв., от които 59,4 млн. лв. - приходи от съдебни такси.</w:t>
      </w:r>
    </w:p>
    <w:p w14:paraId="5F4A7AC1" w14:textId="77777777" w:rsidR="00E943D4" w:rsidRPr="00387A3E" w:rsidRDefault="00E943D4" w:rsidP="00E943D4">
      <w:pPr>
        <w:tabs>
          <w:tab w:val="left" w:pos="90"/>
        </w:tabs>
        <w:spacing w:before="120"/>
        <w:jc w:val="both"/>
        <w:rPr>
          <w:color w:val="0070C0"/>
        </w:rPr>
      </w:pPr>
      <w:r w:rsidRPr="005E3C9A">
        <w:rPr>
          <w:b/>
        </w:rPr>
        <w:t xml:space="preserve">Разходите </w:t>
      </w:r>
      <w:r w:rsidRPr="005E3C9A">
        <w:t>по бюджета на съдебната власт</w:t>
      </w:r>
      <w:r w:rsidRPr="005E3C9A">
        <w:rPr>
          <w:b/>
        </w:rPr>
        <w:t xml:space="preserve"> </w:t>
      </w:r>
      <w:r w:rsidRPr="005E3C9A">
        <w:t>към 30.09.2024 г.</w:t>
      </w:r>
      <w:r w:rsidRPr="005E3C9A">
        <w:rPr>
          <w:b/>
        </w:rPr>
        <w:t xml:space="preserve"> </w:t>
      </w:r>
      <w:r w:rsidRPr="005E3C9A">
        <w:t>са в размер на 850,7 млн. лв., като с най-голям относителен дял от отчетените разходи са тези за персонал – 92,3 % (785,2 млн. лв.). За сравнение, през същия период на 2023 г. са отчетени общо разходи в размер 731,8 млн. лева.</w:t>
      </w:r>
    </w:p>
    <w:p w14:paraId="5AB19C11" w14:textId="77777777" w:rsidR="00162F31" w:rsidRPr="0048659B" w:rsidRDefault="00162F31" w:rsidP="00E86EAF">
      <w:pPr>
        <w:pStyle w:val="Heading1"/>
        <w:numPr>
          <w:ilvl w:val="0"/>
          <w:numId w:val="8"/>
        </w:numPr>
        <w:tabs>
          <w:tab w:val="left" w:pos="90"/>
          <w:tab w:val="left" w:pos="993"/>
        </w:tabs>
        <w:spacing w:before="240" w:after="120"/>
        <w:ind w:left="0" w:right="-108" w:firstLine="567"/>
        <w:jc w:val="both"/>
        <w:rPr>
          <w:sz w:val="24"/>
        </w:rPr>
      </w:pPr>
      <w:r w:rsidRPr="0048659B">
        <w:rPr>
          <w:sz w:val="24"/>
        </w:rPr>
        <w:t>Просрочени задължения</w:t>
      </w:r>
    </w:p>
    <w:p w14:paraId="3C4DDDA9" w14:textId="4924928F" w:rsidR="0048659B" w:rsidRPr="00387A3E" w:rsidRDefault="0048659B" w:rsidP="0048659B">
      <w:pPr>
        <w:spacing w:after="120"/>
        <w:jc w:val="both"/>
        <w:rPr>
          <w:color w:val="0070C0"/>
        </w:rPr>
      </w:pPr>
      <w:r w:rsidRPr="00017DFA">
        <w:t xml:space="preserve">Към </w:t>
      </w:r>
      <w:r w:rsidRPr="00017DFA">
        <w:rPr>
          <w:lang w:val="ru-RU"/>
        </w:rPr>
        <w:t>30</w:t>
      </w:r>
      <w:r w:rsidRPr="00017DFA">
        <w:t>.</w:t>
      </w:r>
      <w:r w:rsidRPr="00017DFA">
        <w:rPr>
          <w:lang w:val="ru-RU"/>
        </w:rPr>
        <w:t>0</w:t>
      </w:r>
      <w:r w:rsidRPr="00017DFA">
        <w:rPr>
          <w:lang w:val="en-US"/>
        </w:rPr>
        <w:t>9</w:t>
      </w:r>
      <w:r w:rsidRPr="00017DFA">
        <w:t xml:space="preserve">.2024 г. просрочените задължения на централно и местно правителство са в размер на </w:t>
      </w:r>
      <w:r w:rsidR="00786DE5" w:rsidRPr="00786DE5">
        <w:rPr>
          <w:b/>
          <w:lang w:val="en-US"/>
        </w:rPr>
        <w:t>286</w:t>
      </w:r>
      <w:r w:rsidR="00786DE5" w:rsidRPr="00786DE5">
        <w:rPr>
          <w:b/>
        </w:rPr>
        <w:t>,</w:t>
      </w:r>
      <w:r w:rsidR="00786DE5" w:rsidRPr="00786DE5">
        <w:rPr>
          <w:b/>
          <w:lang w:val="en-US"/>
        </w:rPr>
        <w:t>0</w:t>
      </w:r>
      <w:r w:rsidRPr="00786DE5">
        <w:rPr>
          <w:b/>
        </w:rPr>
        <w:t xml:space="preserve"> млн. лева.</w:t>
      </w:r>
      <w:r w:rsidRPr="00786DE5">
        <w:t xml:space="preserve"> </w:t>
      </w:r>
    </w:p>
    <w:p w14:paraId="123D7A35" w14:textId="60047CC1" w:rsidR="0048659B" w:rsidRPr="00387A3E" w:rsidRDefault="0048659B" w:rsidP="0048659B">
      <w:pPr>
        <w:spacing w:before="120"/>
        <w:jc w:val="both"/>
        <w:rPr>
          <w:noProof/>
          <w:color w:val="0070C0"/>
        </w:rPr>
      </w:pPr>
      <w:r w:rsidRPr="00874C29">
        <w:t xml:space="preserve">Размерът на просрочените задължения на </w:t>
      </w:r>
      <w:r w:rsidRPr="00874C29">
        <w:rPr>
          <w:b/>
        </w:rPr>
        <w:t>централното правителство</w:t>
      </w:r>
      <w:r w:rsidRPr="00874C29">
        <w:t xml:space="preserve"> (министерства, ведомства </w:t>
      </w:r>
      <w:r w:rsidRPr="00836958">
        <w:t>и разпоредителите с бюджет по чл. 13, ал. 3 и ал. 4 на ЗПФ) е</w:t>
      </w:r>
      <w:r w:rsidRPr="00836958">
        <w:rPr>
          <w:b/>
        </w:rPr>
        <w:t xml:space="preserve"> </w:t>
      </w:r>
      <w:r w:rsidRPr="00836958">
        <w:rPr>
          <w:b/>
          <w:lang w:val="en-US"/>
        </w:rPr>
        <w:t>163</w:t>
      </w:r>
      <w:r w:rsidRPr="00836958">
        <w:rPr>
          <w:b/>
        </w:rPr>
        <w:t xml:space="preserve">,9 млн. лева. </w:t>
      </w:r>
      <w:r w:rsidRPr="00836958">
        <w:t xml:space="preserve">Спрямо отчетените </w:t>
      </w:r>
      <w:r w:rsidRPr="00072337">
        <w:t xml:space="preserve">в края на 2023 г. те намаляват с 66,6 млн. лева. В обхвата на държавния бюджет по-значими проблеми с наличие на просрочени задължения има </w:t>
      </w:r>
      <w:r w:rsidRPr="00072337">
        <w:rPr>
          <w:bCs/>
        </w:rPr>
        <w:t>при следните министерства</w:t>
      </w:r>
      <w:r w:rsidRPr="00072337">
        <w:t xml:space="preserve">: </w:t>
      </w:r>
      <w:r w:rsidRPr="00072337">
        <w:rPr>
          <w:bCs/>
        </w:rPr>
        <w:t xml:space="preserve">Министерството на регионалното </w:t>
      </w:r>
      <w:r w:rsidRPr="006B5E74">
        <w:rPr>
          <w:bCs/>
        </w:rPr>
        <w:t xml:space="preserve">развитие и благоустройството – 113,8 млн. лв. </w:t>
      </w:r>
      <w:r w:rsidRPr="006B5E74">
        <w:rPr>
          <w:noProof/>
        </w:rPr>
        <w:t>(намаление с 66,9 млн. лв.</w:t>
      </w:r>
      <w:r w:rsidRPr="006B5E74">
        <w:t xml:space="preserve"> спрямо просрочията в края на 2023 г. във връзка с обезпечени със средства </w:t>
      </w:r>
      <w:r w:rsidRPr="006B5E74">
        <w:rPr>
          <w:noProof/>
        </w:rPr>
        <w:t xml:space="preserve">договори за текущ ремонт и </w:t>
      </w:r>
      <w:r w:rsidRPr="00AE63E7">
        <w:rPr>
          <w:noProof/>
        </w:rPr>
        <w:t>поддържане на републиканските пътища, вкл. и зимно поддържане</w:t>
      </w:r>
      <w:r w:rsidRPr="00AE63E7">
        <w:t>)</w:t>
      </w:r>
      <w:r w:rsidRPr="00AE63E7">
        <w:rPr>
          <w:lang w:val="ru-RU"/>
        </w:rPr>
        <w:t xml:space="preserve">; </w:t>
      </w:r>
      <w:r w:rsidRPr="00AE63E7">
        <w:rPr>
          <w:noProof/>
        </w:rPr>
        <w:t xml:space="preserve">Министерството на земеделието и храните – 12,5 млн. лв. (намаление с 10,6 млн. лв. </w:t>
      </w:r>
      <w:r w:rsidRPr="00AE63E7">
        <w:t>спрямо просрочията в края на 2023 г</w:t>
      </w:r>
      <w:r w:rsidRPr="00810ECC">
        <w:t>.</w:t>
      </w:r>
      <w:r w:rsidRPr="00810ECC">
        <w:rPr>
          <w:noProof/>
        </w:rPr>
        <w:t xml:space="preserve">); </w:t>
      </w:r>
      <w:r w:rsidRPr="003B6593">
        <w:rPr>
          <w:noProof/>
        </w:rPr>
        <w:t xml:space="preserve">Министерството на отбраната – 3,1 млн. лв. (просрочията са близки по размер до </w:t>
      </w:r>
      <w:r w:rsidRPr="00E738F5">
        <w:rPr>
          <w:noProof/>
        </w:rPr>
        <w:t xml:space="preserve">отчетените в края на 2023 г.), в т.ч. 3,0 млн. лв. на ВМА. От разпоредителите с бюджет по чл. 13, </w:t>
      </w:r>
      <w:r w:rsidRPr="006D42A0">
        <w:rPr>
          <w:noProof/>
        </w:rPr>
        <w:t xml:space="preserve">ал. 3 на Закона за публичните финанси проблеми с наличието на просрочени задължения има основно при държавните висши училища – 11,7 млн. лв. (увеличение с 6,3 млн. лв. </w:t>
      </w:r>
      <w:r w:rsidRPr="006D42A0">
        <w:t xml:space="preserve">спрямо отчетените в края на 2023 г. и представляват задължения за комунални услуги, неплатени данък сгради и такса смет на общините от Софийския университет „Св. Климент Охридски“, надвнесени такси от студенти и специализанти на Медицинския университет - София и просрочени задължения към </w:t>
      </w:r>
      <w:r w:rsidRPr="000F0A1B">
        <w:t>МБАЛ "Света Марина" - Варна от Техническия университет Варна</w:t>
      </w:r>
      <w:r w:rsidRPr="000F0A1B">
        <w:rPr>
          <w:noProof/>
        </w:rPr>
        <w:t xml:space="preserve">), Българската </w:t>
      </w:r>
      <w:r w:rsidRPr="00943D71">
        <w:rPr>
          <w:noProof/>
        </w:rPr>
        <w:t xml:space="preserve">национална телевизия – 9,9 млн. лв. (увеличение с 4,2 млн. лв. </w:t>
      </w:r>
      <w:r w:rsidRPr="00943D71">
        <w:t>спрямо отчетените в края на 2023 г.</w:t>
      </w:r>
      <w:r w:rsidRPr="00943D71">
        <w:rPr>
          <w:noProof/>
        </w:rPr>
        <w:t xml:space="preserve">, като това са основно </w:t>
      </w:r>
      <w:r w:rsidRPr="00943D71">
        <w:t xml:space="preserve">просрочени задължения към доставчици в страната) и </w:t>
      </w:r>
      <w:r w:rsidRPr="00943D71">
        <w:rPr>
          <w:noProof/>
        </w:rPr>
        <w:t xml:space="preserve">Българското </w:t>
      </w:r>
      <w:r w:rsidRPr="007D2593">
        <w:rPr>
          <w:noProof/>
        </w:rPr>
        <w:t xml:space="preserve">национало радио – 2,9 млн. лв. (увеличение с </w:t>
      </w:r>
      <w:r w:rsidRPr="007D2593">
        <w:rPr>
          <w:noProof/>
          <w:lang w:val="ru-RU"/>
        </w:rPr>
        <w:t>0</w:t>
      </w:r>
      <w:r w:rsidRPr="007D2593">
        <w:rPr>
          <w:noProof/>
        </w:rPr>
        <w:t>,3 млн. лв. спрямо просрочията в края на 2023 г.</w:t>
      </w:r>
      <w:r w:rsidRPr="007D2593">
        <w:t xml:space="preserve">, като това са основно </w:t>
      </w:r>
      <w:r w:rsidRPr="007D2593">
        <w:rPr>
          <w:szCs w:val="20"/>
        </w:rPr>
        <w:t xml:space="preserve">просрочени задължения за данъци, вноски, такси и административни </w:t>
      </w:r>
      <w:r w:rsidRPr="00510BDC">
        <w:rPr>
          <w:szCs w:val="20"/>
        </w:rPr>
        <w:t xml:space="preserve">санкции към Столична община за такса битови отпадъци за минали периоди, в т.ч. </w:t>
      </w:r>
      <w:r w:rsidRPr="00510BDC">
        <w:rPr>
          <w:szCs w:val="20"/>
          <w:lang w:val="ru-RU"/>
        </w:rPr>
        <w:t>1</w:t>
      </w:r>
      <w:r w:rsidRPr="00510BDC">
        <w:rPr>
          <w:szCs w:val="20"/>
        </w:rPr>
        <w:t>,4 млн. лв. за лихви</w:t>
      </w:r>
      <w:r w:rsidRPr="00510BDC">
        <w:t>)</w:t>
      </w:r>
      <w:r w:rsidRPr="00510BDC">
        <w:rPr>
          <w:noProof/>
        </w:rPr>
        <w:t xml:space="preserve">. От разпоредителите с бюджет по чл. 13, ал. 4 на Закона за публичните финанси проблеми наличие на просрочени задължения има при Държавно предприятие „Научно-производствен център“ – 2,4 млн. лв. (увеличение с 0,4 млн. лв. </w:t>
      </w:r>
      <w:r w:rsidRPr="00510BDC">
        <w:t>спрямо отчетените в края на 2023 г.</w:t>
      </w:r>
      <w:r w:rsidRPr="00510BDC">
        <w:rPr>
          <w:lang w:val="ru-RU"/>
        </w:rPr>
        <w:t>)</w:t>
      </w:r>
      <w:r w:rsidR="00BA1942">
        <w:rPr>
          <w:lang w:val="ru-RU"/>
        </w:rPr>
        <w:t xml:space="preserve">, представляващи основно просрочия за </w:t>
      </w:r>
      <w:r w:rsidR="00BA1942">
        <w:t>осигурителни вноски и данъци към МЗХ</w:t>
      </w:r>
      <w:r w:rsidR="00BA1942">
        <w:rPr>
          <w:lang w:val="ru-RU"/>
        </w:rPr>
        <w:t xml:space="preserve"> </w:t>
      </w:r>
      <w:r w:rsidRPr="00510BDC">
        <w:t>.</w:t>
      </w:r>
    </w:p>
    <w:p w14:paraId="5B86069D" w14:textId="4236E936" w:rsidR="0048659B" w:rsidRPr="001655F4" w:rsidRDefault="0048659B" w:rsidP="0048659B">
      <w:pPr>
        <w:spacing w:before="120" w:after="120"/>
        <w:jc w:val="both"/>
        <w:rPr>
          <w:noProof/>
        </w:rPr>
      </w:pPr>
      <w:r w:rsidRPr="00407B23">
        <w:rPr>
          <w:noProof/>
        </w:rPr>
        <w:t xml:space="preserve">Просрочените задължения по </w:t>
      </w:r>
      <w:r w:rsidRPr="00407B23">
        <w:rPr>
          <w:b/>
          <w:noProof/>
        </w:rPr>
        <w:t>бюджетите на общините</w:t>
      </w:r>
      <w:r w:rsidRPr="00407B23">
        <w:rPr>
          <w:noProof/>
        </w:rPr>
        <w:t xml:space="preserve"> към </w:t>
      </w:r>
      <w:r w:rsidRPr="00407B23">
        <w:rPr>
          <w:lang w:val="ru-RU"/>
        </w:rPr>
        <w:t>30</w:t>
      </w:r>
      <w:r w:rsidRPr="00407B23">
        <w:t>.</w:t>
      </w:r>
      <w:r w:rsidRPr="00407B23">
        <w:rPr>
          <w:lang w:val="ru-RU"/>
        </w:rPr>
        <w:t>09</w:t>
      </w:r>
      <w:r w:rsidRPr="00407B23">
        <w:t xml:space="preserve">.2024 г. </w:t>
      </w:r>
      <w:r w:rsidRPr="00407B23">
        <w:rPr>
          <w:noProof/>
        </w:rPr>
        <w:t xml:space="preserve">са в размер на </w:t>
      </w:r>
      <w:r w:rsidRPr="00407B23">
        <w:rPr>
          <w:b/>
          <w:noProof/>
          <w:lang w:val="ru-RU"/>
        </w:rPr>
        <w:t>122</w:t>
      </w:r>
      <w:r w:rsidRPr="00407B23">
        <w:rPr>
          <w:b/>
          <w:noProof/>
        </w:rPr>
        <w:t>,1 млн. лв.,</w:t>
      </w:r>
      <w:r w:rsidRPr="00407B23">
        <w:rPr>
          <w:noProof/>
        </w:rPr>
        <w:t xml:space="preserve"> като спрямо </w:t>
      </w:r>
      <w:r w:rsidRPr="00407B23">
        <w:t xml:space="preserve">края на 2023 г. </w:t>
      </w:r>
      <w:r w:rsidRPr="00407B23">
        <w:rPr>
          <w:noProof/>
        </w:rPr>
        <w:t>се отчита намаление с 36,1 млн. лева. С най-голям относителен дял в просрочените задължения по бюджетите на общините към края на месец септември 2024 г. са просрочените задължения към доставчици, които са в размер на 107,</w:t>
      </w:r>
      <w:r w:rsidR="00407B23" w:rsidRPr="00407B23">
        <w:rPr>
          <w:noProof/>
          <w:lang w:val="en-US"/>
        </w:rPr>
        <w:t>8</w:t>
      </w:r>
      <w:r w:rsidRPr="00407B23">
        <w:rPr>
          <w:noProof/>
        </w:rPr>
        <w:t> млн. лева. В делегираните от държавата дейности просрочените задължения са в размер на 6,9 млн. лева.</w:t>
      </w:r>
    </w:p>
    <w:p w14:paraId="3FB89A30" w14:textId="17A3A192" w:rsidR="0048659B" w:rsidRPr="00387A3E" w:rsidRDefault="0048659B" w:rsidP="0048659B">
      <w:pPr>
        <w:spacing w:after="120"/>
        <w:jc w:val="both"/>
        <w:rPr>
          <w:color w:val="0070C0"/>
          <w:lang w:val="en-US"/>
        </w:rPr>
      </w:pPr>
      <w:r w:rsidRPr="00317B05">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w:t>
      </w:r>
      <w:r w:rsidRPr="00051A6A">
        <w:rPr>
          <w:noProof/>
        </w:rPr>
        <w:t xml:space="preserve">търговски дружества). Към 30.09.2024 г. размерът на просрочените задължения е </w:t>
      </w:r>
      <w:r w:rsidR="00051A6A" w:rsidRPr="00051A6A">
        <w:rPr>
          <w:noProof/>
        </w:rPr>
        <w:t>63,1</w:t>
      </w:r>
      <w:r w:rsidR="00051A6A" w:rsidRPr="00051A6A">
        <w:rPr>
          <w:noProof/>
          <w:lang w:val="ru-RU"/>
        </w:rPr>
        <w:t xml:space="preserve"> </w:t>
      </w:r>
      <w:r w:rsidR="00051A6A" w:rsidRPr="00051A6A">
        <w:rPr>
          <w:noProof/>
        </w:rPr>
        <w:t>млн. лв., от които 50,3</w:t>
      </w:r>
      <w:r w:rsidR="00051A6A" w:rsidRPr="00051A6A">
        <w:rPr>
          <w:noProof/>
          <w:lang w:val="ru-RU"/>
        </w:rPr>
        <w:t xml:space="preserve"> </w:t>
      </w:r>
      <w:r w:rsidR="00051A6A" w:rsidRPr="00051A6A">
        <w:rPr>
          <w:noProof/>
        </w:rPr>
        <w:t xml:space="preserve">млн. лв. са на държавните болници и 12,8 млн. лв. са на общинските болници. Спрямо отчетените просрочени задължения към 31.12.2023 г. се отчита увеличение с </w:t>
      </w:r>
      <w:r w:rsidR="00051A6A" w:rsidRPr="00051A6A">
        <w:rPr>
          <w:noProof/>
          <w:lang w:val="en-US"/>
        </w:rPr>
        <w:t>6,8</w:t>
      </w:r>
      <w:r w:rsidR="00051A6A" w:rsidRPr="00051A6A">
        <w:rPr>
          <w:noProof/>
        </w:rPr>
        <w:t xml:space="preserve"> млн. лв. (с 12 на сто)</w:t>
      </w:r>
      <w:r w:rsidRPr="00051A6A">
        <w:t>.</w:t>
      </w:r>
    </w:p>
    <w:p w14:paraId="6592D9AC" w14:textId="77777777" w:rsidR="00F521AA" w:rsidRPr="00F234AC" w:rsidRDefault="00F521AA" w:rsidP="00E86EAF">
      <w:pPr>
        <w:pStyle w:val="Heading1"/>
        <w:numPr>
          <w:ilvl w:val="0"/>
          <w:numId w:val="8"/>
        </w:numPr>
        <w:tabs>
          <w:tab w:val="left" w:pos="90"/>
          <w:tab w:val="left" w:pos="993"/>
        </w:tabs>
        <w:spacing w:before="240" w:after="120"/>
        <w:ind w:left="0" w:right="-108" w:firstLine="567"/>
        <w:jc w:val="both"/>
        <w:rPr>
          <w:sz w:val="24"/>
        </w:rPr>
      </w:pPr>
      <w:r w:rsidRPr="00F234AC">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4DB57DA4" w14:textId="77777777" w:rsidR="00F521AA" w:rsidRPr="00F234AC" w:rsidRDefault="00F521AA" w:rsidP="00E86EAF">
      <w:pPr>
        <w:pStyle w:val="Heading1"/>
        <w:numPr>
          <w:ilvl w:val="1"/>
          <w:numId w:val="8"/>
        </w:numPr>
        <w:tabs>
          <w:tab w:val="left" w:pos="90"/>
          <w:tab w:val="left" w:pos="993"/>
        </w:tabs>
        <w:spacing w:before="120" w:after="120"/>
        <w:ind w:left="0" w:right="-108" w:firstLine="567"/>
        <w:jc w:val="both"/>
        <w:rPr>
          <w:sz w:val="24"/>
        </w:rPr>
      </w:pPr>
      <w:r w:rsidRPr="00F234AC">
        <w:rPr>
          <w:sz w:val="24"/>
        </w:rPr>
        <w:t xml:space="preserve"> Сметка за Европейски средства на Разплащателна агенция </w:t>
      </w:r>
      <w:r w:rsidR="00924745" w:rsidRPr="00F234AC">
        <w:rPr>
          <w:sz w:val="24"/>
        </w:rPr>
        <w:t xml:space="preserve">ДФ „Земеделие“ </w:t>
      </w:r>
      <w:r w:rsidRPr="00F234AC">
        <w:rPr>
          <w:sz w:val="24"/>
        </w:rPr>
        <w:t xml:space="preserve"> </w:t>
      </w:r>
    </w:p>
    <w:p w14:paraId="4EF19114" w14:textId="77777777" w:rsidR="00F234AC" w:rsidRPr="00324DF2" w:rsidRDefault="00F234AC" w:rsidP="00E86EAF">
      <w:pPr>
        <w:numPr>
          <w:ilvl w:val="0"/>
          <w:numId w:val="17"/>
        </w:numPr>
        <w:spacing w:before="120" w:after="120" w:line="276" w:lineRule="auto"/>
        <w:ind w:left="777" w:hanging="357"/>
        <w:jc w:val="both"/>
        <w:rPr>
          <w:b/>
          <w:lang w:eastAsia="bg-BG"/>
        </w:rPr>
      </w:pPr>
      <w:r w:rsidRPr="00324DF2">
        <w:rPr>
          <w:b/>
          <w:lang w:eastAsia="bg-BG"/>
        </w:rPr>
        <w:t>Приходи</w:t>
      </w:r>
    </w:p>
    <w:p w14:paraId="2457795E" w14:textId="77777777" w:rsidR="00F234AC" w:rsidRPr="001C5E29" w:rsidRDefault="00F234AC" w:rsidP="00F234AC">
      <w:pPr>
        <w:ind w:firstLine="567"/>
        <w:jc w:val="both"/>
      </w:pPr>
      <w:r w:rsidRPr="001C5E29">
        <w:t>За 202</w:t>
      </w:r>
      <w:r w:rsidRPr="001C5E29">
        <w:rPr>
          <w:lang w:val="ru-RU"/>
        </w:rPr>
        <w:t xml:space="preserve">4 </w:t>
      </w:r>
      <w:r w:rsidRPr="001C5E29">
        <w:t xml:space="preserve">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w:t>
      </w:r>
      <w:r w:rsidRPr="001C5E29">
        <w:rPr>
          <w:lang w:val="ru-RU"/>
        </w:rPr>
        <w:t>674</w:t>
      </w:r>
      <w:r w:rsidRPr="001C5E29">
        <w:t>,7 млн. лева.</w:t>
      </w:r>
      <w:r w:rsidRPr="001C5E29">
        <w:rPr>
          <w:lang w:val="ru-RU"/>
        </w:rPr>
        <w:t xml:space="preserve"> </w:t>
      </w:r>
      <w:r w:rsidRPr="001C5E29">
        <w:t>Към 30.09.202</w:t>
      </w:r>
      <w:r w:rsidRPr="001C5E29">
        <w:rPr>
          <w:lang w:val="ru-RU"/>
        </w:rPr>
        <w:t xml:space="preserve">4 </w:t>
      </w:r>
      <w:r w:rsidRPr="001C5E29">
        <w:t>г. постъпленията са в размер на 438,1 млн. лв., което представлява 64,9 % от годишния план. За същия период на предходната година отчетената сума в частта „Приходи“ е 225,3 млн. лева.</w:t>
      </w:r>
    </w:p>
    <w:p w14:paraId="4AD7E177" w14:textId="77777777" w:rsidR="00F234AC" w:rsidRPr="001C5E29" w:rsidRDefault="00F234AC" w:rsidP="00F234AC">
      <w:pPr>
        <w:tabs>
          <w:tab w:val="left" w:pos="709"/>
        </w:tabs>
        <w:ind w:firstLine="567"/>
        <w:jc w:val="both"/>
      </w:pPr>
      <w:r w:rsidRPr="001C5E29">
        <w:tab/>
        <w:t>Приходната част е формирана от приходи от наказателни лихви, помощи и дарения от чужбина и коректив на касови постъпления, както следва:</w:t>
      </w:r>
    </w:p>
    <w:p w14:paraId="56F175A9" w14:textId="77777777" w:rsidR="00F234AC" w:rsidRPr="001C5E29" w:rsidRDefault="00F234AC" w:rsidP="00E86EAF">
      <w:pPr>
        <w:numPr>
          <w:ilvl w:val="0"/>
          <w:numId w:val="16"/>
        </w:numPr>
        <w:tabs>
          <w:tab w:val="left" w:pos="993"/>
        </w:tabs>
        <w:spacing w:before="120" w:after="120"/>
        <w:ind w:left="1321" w:hanging="612"/>
        <w:jc w:val="both"/>
        <w:rPr>
          <w:b/>
          <w:i/>
        </w:rPr>
      </w:pPr>
      <w:r w:rsidRPr="001C5E29">
        <w:rPr>
          <w:b/>
          <w:i/>
        </w:rPr>
        <w:t>Приходи от наказателни лихви</w:t>
      </w:r>
    </w:p>
    <w:p w14:paraId="083BAFA9" w14:textId="77777777" w:rsidR="00F234AC" w:rsidRPr="001C5E29" w:rsidRDefault="00F234AC" w:rsidP="00F234AC">
      <w:pPr>
        <w:ind w:firstLine="567"/>
        <w:jc w:val="both"/>
      </w:pPr>
      <w:r w:rsidRPr="001C5E29">
        <w:t>Към края на третото тримесечие на 202</w:t>
      </w:r>
      <w:r w:rsidRPr="001C5E29">
        <w:rPr>
          <w:lang w:val="ru-RU"/>
        </w:rPr>
        <w:t xml:space="preserve">4 </w:t>
      </w:r>
      <w:r w:rsidRPr="001C5E29">
        <w:t>г. са отчетени приходи от получени наказателни лихви, свързани с вземания за възстановяване на средства от ЕК в размер на 1,2 млн. лева.</w:t>
      </w:r>
    </w:p>
    <w:p w14:paraId="74CEA302" w14:textId="77777777" w:rsidR="00F234AC" w:rsidRPr="001C5E29" w:rsidRDefault="00F234AC" w:rsidP="00E86EAF">
      <w:pPr>
        <w:numPr>
          <w:ilvl w:val="0"/>
          <w:numId w:val="16"/>
        </w:numPr>
        <w:tabs>
          <w:tab w:val="left" w:pos="993"/>
        </w:tabs>
        <w:spacing w:before="120" w:after="120"/>
        <w:ind w:left="1321" w:hanging="612"/>
        <w:jc w:val="both"/>
        <w:rPr>
          <w:b/>
          <w:i/>
        </w:rPr>
      </w:pPr>
      <w:r w:rsidRPr="001C5E29">
        <w:rPr>
          <w:b/>
          <w:i/>
        </w:rPr>
        <w:t>Текущи помощи и дарения от Европейския съюз</w:t>
      </w:r>
    </w:p>
    <w:p w14:paraId="365081E8" w14:textId="77777777" w:rsidR="00F234AC" w:rsidRPr="001C5E29" w:rsidRDefault="00F234AC" w:rsidP="00F234AC">
      <w:pPr>
        <w:ind w:firstLine="567"/>
        <w:jc w:val="both"/>
      </w:pPr>
      <w:r w:rsidRPr="001C5E29">
        <w:t>Общият размер на получените приходи, отчетени в „Текущи помощи и дарения от Европейския съюз“ към 30.09.202</w:t>
      </w:r>
      <w:r w:rsidRPr="001C5E29">
        <w:rPr>
          <w:lang w:val="ru-RU"/>
        </w:rPr>
        <w:t xml:space="preserve">4 </w:t>
      </w:r>
      <w:r w:rsidRPr="001C5E29">
        <w:t>г. е 44,7 млн. лв., при планирани за годината средства в размер на 52,6 млн. лева.</w:t>
      </w:r>
    </w:p>
    <w:p w14:paraId="499476A0" w14:textId="77777777" w:rsidR="00F234AC" w:rsidRPr="0064373A" w:rsidRDefault="00F234AC" w:rsidP="00F234AC">
      <w:pPr>
        <w:ind w:firstLine="567"/>
        <w:jc w:val="both"/>
      </w:pPr>
      <w:r w:rsidRPr="001C5E29">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30.09.202</w:t>
      </w:r>
      <w:r w:rsidRPr="001C5E29">
        <w:rPr>
          <w:lang w:val="ru-RU"/>
        </w:rPr>
        <w:t xml:space="preserve">4 </w:t>
      </w:r>
      <w:r w:rsidRPr="001C5E29">
        <w:t xml:space="preserve">г. възлизат на 28,9 млн. лв., което е 99,3 % от </w:t>
      </w:r>
      <w:r w:rsidRPr="0064373A">
        <w:t>планираните за годината 29,1 млн. лева. За същия период на миналата година отчетените текущи приходи са били в размер на 27,0 млн. лева.</w:t>
      </w:r>
    </w:p>
    <w:p w14:paraId="5F97ADB1" w14:textId="77777777" w:rsidR="00F234AC" w:rsidRPr="0064373A" w:rsidRDefault="00F234AC" w:rsidP="00F234AC">
      <w:pPr>
        <w:ind w:firstLine="567"/>
        <w:jc w:val="both"/>
      </w:pPr>
      <w:r w:rsidRPr="0064373A">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30.09.2024 г. са 5,4 млн. лв., което представлява 75,0</w:t>
      </w:r>
      <w:r w:rsidRPr="0064373A">
        <w:rPr>
          <w:lang w:val="ru-RU"/>
        </w:rPr>
        <w:t xml:space="preserve"> </w:t>
      </w:r>
      <w:r w:rsidRPr="0064373A">
        <w:t>% от планираните 7,2 млн. лв. за годината. За деветмесечието на 2023 г. по това направление са отчетени 5,6 млн. лева.</w:t>
      </w:r>
    </w:p>
    <w:p w14:paraId="58EF49C6" w14:textId="77777777" w:rsidR="00F234AC" w:rsidRPr="0064373A" w:rsidRDefault="00F234AC" w:rsidP="00F234AC">
      <w:pPr>
        <w:ind w:firstLine="567"/>
        <w:jc w:val="both"/>
      </w:pPr>
      <w:r w:rsidRPr="0064373A">
        <w:t>За периода 01.01-30.09.2024 г. са получени 10,4 млн. лв. текущи приходи, възстановени средства от Европейския фонд за морско дело и рибарство (ЕФМДР), което представлява 63,8</w:t>
      </w:r>
      <w:r w:rsidRPr="0064373A">
        <w:rPr>
          <w:lang w:val="ru-RU"/>
        </w:rPr>
        <w:t> </w:t>
      </w:r>
      <w:r w:rsidRPr="0064373A">
        <w:t>% от годишния план в размер на 16,3 млн. лева. През същия период на миналата година са получени 3,1 млн. лв. текущи приходи.</w:t>
      </w:r>
    </w:p>
    <w:p w14:paraId="6EEE0F09" w14:textId="77777777" w:rsidR="00F234AC" w:rsidRPr="0064373A" w:rsidRDefault="00F234AC" w:rsidP="00E86EAF">
      <w:pPr>
        <w:numPr>
          <w:ilvl w:val="0"/>
          <w:numId w:val="16"/>
        </w:numPr>
        <w:tabs>
          <w:tab w:val="left" w:pos="993"/>
        </w:tabs>
        <w:spacing w:before="120" w:after="120"/>
        <w:ind w:left="1321" w:hanging="612"/>
        <w:jc w:val="both"/>
        <w:rPr>
          <w:b/>
          <w:i/>
          <w:lang w:eastAsia="bg-BG"/>
        </w:rPr>
      </w:pPr>
      <w:r w:rsidRPr="0064373A">
        <w:rPr>
          <w:b/>
          <w:i/>
          <w:lang w:eastAsia="bg-BG"/>
        </w:rPr>
        <w:t>Капиталови помощи и дарения от Европейския съюз</w:t>
      </w:r>
    </w:p>
    <w:p w14:paraId="3DC3D1DE" w14:textId="77777777" w:rsidR="00F234AC" w:rsidRPr="00063BD1" w:rsidRDefault="00F234AC" w:rsidP="00F234AC">
      <w:pPr>
        <w:ind w:firstLine="567"/>
        <w:jc w:val="both"/>
      </w:pPr>
      <w:r w:rsidRPr="00063BD1">
        <w:t>Общият размер на получените приходи, отчетени в „Капиталови помощи и дарения от Европейския съюз“ към 30.09.2024 г. е 401,1 млн. лв. при планирани за годината 622,1 млн. лева.</w:t>
      </w:r>
    </w:p>
    <w:p w14:paraId="1C570665" w14:textId="77777777" w:rsidR="00F234AC" w:rsidRPr="007757E5" w:rsidRDefault="00F234AC" w:rsidP="00F234AC">
      <w:pPr>
        <w:ind w:firstLine="567"/>
        <w:jc w:val="both"/>
      </w:pPr>
      <w:r w:rsidRPr="007757E5">
        <w:t xml:space="preserve">Получените капиталови приходи от ЕЗФРСР по линия на ПРСР без директни плащания към края на месец септември 2024 г. са 390,4 млн. лв., от които 27,6 млн. лв. са аванс по линия на </w:t>
      </w:r>
      <w:r w:rsidRPr="007757E5">
        <w:rPr>
          <w:lang w:eastAsia="bg-BG"/>
        </w:rPr>
        <w:t xml:space="preserve">Стратегическия план по ОСП 2023-2027. </w:t>
      </w:r>
      <w:r w:rsidRPr="007757E5">
        <w:t xml:space="preserve"> Изпълнени са 64,4 % от годишния план, който е в размер на 606,6 млн. лева. За сравнение, за деветмесечието на предходната година, капиталовите приходи по ПРСР са били 191,1 млн. лева.</w:t>
      </w:r>
    </w:p>
    <w:p w14:paraId="519D14E0" w14:textId="77777777" w:rsidR="00F234AC" w:rsidRPr="00F670B7" w:rsidRDefault="00F234AC" w:rsidP="00F234AC">
      <w:pPr>
        <w:ind w:firstLine="567"/>
        <w:jc w:val="both"/>
      </w:pPr>
      <w:r w:rsidRPr="00F670B7">
        <w:t>В периода 01.01-3</w:t>
      </w:r>
      <w:r w:rsidRPr="00F670B7">
        <w:rPr>
          <w:lang w:val="ru-RU"/>
        </w:rPr>
        <w:t>0</w:t>
      </w:r>
      <w:r w:rsidRPr="00F670B7">
        <w:t xml:space="preserve">.09.2024 г. са получени капиталови приходи в размер </w:t>
      </w:r>
      <w:r w:rsidRPr="00F670B7">
        <w:rPr>
          <w:lang w:val="ru-RU"/>
        </w:rPr>
        <w:t>10</w:t>
      </w:r>
      <w:r w:rsidRPr="00F670B7">
        <w:t>,</w:t>
      </w:r>
      <w:r w:rsidRPr="00F670B7">
        <w:rPr>
          <w:lang w:val="ru-RU"/>
        </w:rPr>
        <w:t>7</w:t>
      </w:r>
      <w:r w:rsidRPr="00F670B7">
        <w:t xml:space="preserve"> млн. лв. от фонд ЕФМДР. Степента на изпълнение спрямо годишния разчет от 15,5 млн. лв. е 69,0 %. За същия период на предходната година по това направление са отчетени 4,0 млн. лева.</w:t>
      </w:r>
      <w:r w:rsidRPr="00F670B7">
        <w:tab/>
      </w:r>
    </w:p>
    <w:p w14:paraId="1236BA75" w14:textId="77777777" w:rsidR="00F234AC" w:rsidRPr="00F670B7" w:rsidRDefault="00F234AC" w:rsidP="00E86EAF">
      <w:pPr>
        <w:numPr>
          <w:ilvl w:val="0"/>
          <w:numId w:val="16"/>
        </w:numPr>
        <w:tabs>
          <w:tab w:val="left" w:pos="993"/>
        </w:tabs>
        <w:spacing w:before="120" w:after="120"/>
        <w:ind w:left="1321" w:hanging="612"/>
        <w:jc w:val="both"/>
        <w:rPr>
          <w:b/>
          <w:i/>
          <w:lang w:eastAsia="bg-BG"/>
        </w:rPr>
      </w:pPr>
      <w:r w:rsidRPr="00F670B7">
        <w:rPr>
          <w:b/>
          <w:i/>
          <w:lang w:eastAsia="bg-BG"/>
        </w:rPr>
        <w:t xml:space="preserve">Коректив на касови постъпления </w:t>
      </w:r>
    </w:p>
    <w:p w14:paraId="589BCF41" w14:textId="77777777" w:rsidR="00F234AC" w:rsidRPr="00F670B7" w:rsidRDefault="00F234AC" w:rsidP="00F234AC">
      <w:pPr>
        <w:spacing w:before="120" w:after="120"/>
        <w:ind w:firstLine="567"/>
        <w:jc w:val="both"/>
        <w:rPr>
          <w:bCs/>
          <w:iCs/>
        </w:rPr>
      </w:pPr>
      <w:r w:rsidRPr="00F670B7">
        <w:rPr>
          <w:bCs/>
          <w:iCs/>
        </w:rPr>
        <w:t>Към 30.09.2024 г. отчетеният коректив на касови постъпления е минус 8,9 млн. лв. Той е формиран от размера на принудително събрани суми от НАП, за които не е извършен превод на средства по сметката на ДФЗ-РА.</w:t>
      </w:r>
    </w:p>
    <w:p w14:paraId="6C6AC5A8" w14:textId="77777777" w:rsidR="00F234AC" w:rsidRPr="00F670B7" w:rsidRDefault="00F234AC" w:rsidP="00E86EAF">
      <w:pPr>
        <w:numPr>
          <w:ilvl w:val="0"/>
          <w:numId w:val="17"/>
        </w:numPr>
        <w:spacing w:before="120" w:after="120" w:line="276" w:lineRule="auto"/>
        <w:ind w:left="777" w:hanging="357"/>
        <w:jc w:val="both"/>
        <w:rPr>
          <w:b/>
          <w:lang w:eastAsia="bg-BG"/>
        </w:rPr>
      </w:pPr>
      <w:r w:rsidRPr="00F670B7">
        <w:rPr>
          <w:b/>
          <w:lang w:eastAsia="bg-BG"/>
        </w:rPr>
        <w:t>Разходи</w:t>
      </w:r>
    </w:p>
    <w:p w14:paraId="572D9E17" w14:textId="77777777" w:rsidR="00F234AC" w:rsidRPr="00222DD0" w:rsidRDefault="00F234AC" w:rsidP="00F234AC">
      <w:pPr>
        <w:ind w:firstLine="567"/>
        <w:jc w:val="both"/>
      </w:pPr>
      <w:r w:rsidRPr="00222DD0">
        <w:t>Общият размер на планираните за 2024 г. разходи по утвърдените годишни разчети на сметката за средства от Европейския съюз на Разплащателната агенция към ДФ „Земеделие” е 971,2 млн. лева.</w:t>
      </w:r>
    </w:p>
    <w:p w14:paraId="0C16AD1A" w14:textId="77777777" w:rsidR="00F234AC" w:rsidRPr="00222DD0" w:rsidRDefault="00F234AC" w:rsidP="00F234AC">
      <w:pPr>
        <w:ind w:firstLine="567"/>
        <w:jc w:val="both"/>
        <w:rPr>
          <w:szCs w:val="20"/>
        </w:rPr>
      </w:pPr>
      <w:r w:rsidRPr="00222DD0">
        <w:rPr>
          <w:szCs w:val="20"/>
        </w:rPr>
        <w:t>Уточненият план на субсидиите за текуща дейност и капиталовите трансфери за 2024 г. е 676,3 млн. лв. Изпълнението към 30.09.2024 г. възлиза на 59,0 % от годишния план при отчетени разходи в размер на 398,8 млн. лева.</w:t>
      </w:r>
    </w:p>
    <w:p w14:paraId="5CFB82A1" w14:textId="77777777" w:rsidR="00F234AC" w:rsidRPr="00222DD0" w:rsidRDefault="00F234AC" w:rsidP="00F234AC">
      <w:pPr>
        <w:ind w:firstLine="567"/>
        <w:jc w:val="both"/>
        <w:rPr>
          <w:szCs w:val="20"/>
        </w:rPr>
      </w:pPr>
      <w:r w:rsidRPr="00222DD0">
        <w:rPr>
          <w:szCs w:val="20"/>
        </w:rPr>
        <w:t>Останалите планирани разходи в размер на 294,9 млн. лв. са формирани от: разходи за заплати и възнаграждения на персонала 11,1 млн. лв., задължителни осигурителни вноски от работодатели 3,5 млн. лв., издръжка 27,3 млн. лв. и придобиване на ДМА 253,0 млн. лв. Те подлежат на отчитане в § 63-00 Трансфери между сметки за средствата от ЕС.</w:t>
      </w:r>
    </w:p>
    <w:p w14:paraId="37CF3F91" w14:textId="77777777" w:rsidR="00F234AC" w:rsidRPr="00222DD0" w:rsidRDefault="00F234AC" w:rsidP="00F234AC">
      <w:pPr>
        <w:ind w:firstLine="709"/>
        <w:jc w:val="both"/>
      </w:pPr>
      <w:r w:rsidRPr="00222DD0">
        <w:t>Изпълнението на отчетените разходи е както следва:</w:t>
      </w:r>
    </w:p>
    <w:p w14:paraId="24C678CA" w14:textId="77777777" w:rsidR="00F234AC" w:rsidRPr="00222DD0" w:rsidRDefault="00F234AC" w:rsidP="00E86EAF">
      <w:pPr>
        <w:numPr>
          <w:ilvl w:val="0"/>
          <w:numId w:val="16"/>
        </w:numPr>
        <w:tabs>
          <w:tab w:val="left" w:pos="993"/>
        </w:tabs>
        <w:spacing w:before="120" w:after="120"/>
        <w:ind w:left="1134" w:hanging="425"/>
        <w:jc w:val="both"/>
        <w:rPr>
          <w:b/>
          <w:i/>
          <w:lang w:eastAsia="bg-BG"/>
        </w:rPr>
      </w:pPr>
      <w:r w:rsidRPr="00222DD0">
        <w:rPr>
          <w:b/>
          <w:i/>
          <w:lang w:eastAsia="bg-BG"/>
        </w:rPr>
        <w:t>Субсидии и други текущи трансфери за нефинансови предприятия</w:t>
      </w:r>
    </w:p>
    <w:p w14:paraId="6D14B26D" w14:textId="77777777" w:rsidR="00F234AC" w:rsidRPr="005D629A" w:rsidRDefault="00F234AC" w:rsidP="00F234AC">
      <w:pPr>
        <w:ind w:firstLine="567"/>
        <w:contextualSpacing/>
        <w:jc w:val="both"/>
      </w:pPr>
      <w:r w:rsidRPr="005D629A">
        <w:t xml:space="preserve">За 2024 г. са планирани средства в размер на </w:t>
      </w:r>
      <w:r w:rsidRPr="005D629A">
        <w:rPr>
          <w:lang w:val="ru-RU"/>
        </w:rPr>
        <w:t>265</w:t>
      </w:r>
      <w:r w:rsidRPr="005D629A">
        <w:t>,</w:t>
      </w:r>
      <w:r w:rsidRPr="005D629A">
        <w:rPr>
          <w:lang w:val="ru-RU"/>
        </w:rPr>
        <w:t>0</w:t>
      </w:r>
      <w:r w:rsidRPr="005D629A">
        <w:t xml:space="preserve"> млн. лв. за субсидии и други текущи трансфери за нефинансови предприятия. Отчетените към 30.09.2024 г. средства представляват 69,8 % от планираните за годината и са в размер на 185,1 млн. лв. Към 30.09.2023 г. отчетените текущи субсидии са 118,8 млн. лв. </w:t>
      </w:r>
    </w:p>
    <w:p w14:paraId="4E0DDFA8" w14:textId="77777777" w:rsidR="00F234AC" w:rsidRPr="005D629A" w:rsidRDefault="00F234AC" w:rsidP="00F234AC">
      <w:pPr>
        <w:ind w:firstLine="567"/>
        <w:contextualSpacing/>
        <w:jc w:val="both"/>
      </w:pPr>
      <w:r w:rsidRPr="005D629A">
        <w:t>Изпълнението по дейности е както следва:</w:t>
      </w:r>
    </w:p>
    <w:p w14:paraId="054A04C7" w14:textId="77777777" w:rsidR="00F234AC" w:rsidRPr="003B07C8" w:rsidRDefault="00F234AC" w:rsidP="00F234AC">
      <w:pPr>
        <w:ind w:firstLine="567"/>
        <w:contextualSpacing/>
        <w:jc w:val="both"/>
      </w:pPr>
      <w:r w:rsidRPr="00387A3E">
        <w:rPr>
          <w:color w:val="0070C0"/>
        </w:rPr>
        <w:t xml:space="preserve">- </w:t>
      </w:r>
      <w:r w:rsidRPr="00F27F4F">
        <w:t xml:space="preserve">национално </w:t>
      </w:r>
      <w:r w:rsidRPr="003B07C8">
        <w:t>съфинансиране към ЕЗФРСР за директни плащания – 1</w:t>
      </w:r>
      <w:r w:rsidRPr="003B07C8">
        <w:rPr>
          <w:lang w:val="ru-RU"/>
        </w:rPr>
        <w:t>27,9</w:t>
      </w:r>
      <w:r w:rsidRPr="003B07C8">
        <w:t xml:space="preserve"> млн.</w:t>
      </w:r>
      <w:r w:rsidRPr="003B07C8">
        <w:rPr>
          <w:lang w:val="ru-RU"/>
        </w:rPr>
        <w:t xml:space="preserve"> </w:t>
      </w:r>
      <w:r w:rsidRPr="003B07C8">
        <w:t>лв., изпълнение 89,9</w:t>
      </w:r>
      <w:r w:rsidRPr="003B07C8">
        <w:rPr>
          <w:lang w:val="ru-RU"/>
        </w:rPr>
        <w:t xml:space="preserve"> </w:t>
      </w:r>
      <w:r w:rsidRPr="003B07C8">
        <w:t>% от планираните за годината 142,3 млн.</w:t>
      </w:r>
      <w:r w:rsidRPr="003B07C8">
        <w:rPr>
          <w:lang w:val="ru-RU"/>
        </w:rPr>
        <w:t xml:space="preserve"> </w:t>
      </w:r>
      <w:r w:rsidRPr="003B07C8">
        <w:t>лв.;</w:t>
      </w:r>
    </w:p>
    <w:p w14:paraId="03A60A7B" w14:textId="77777777" w:rsidR="00F234AC" w:rsidRPr="003B07C8" w:rsidRDefault="00F234AC" w:rsidP="00F234AC">
      <w:pPr>
        <w:ind w:firstLine="567"/>
        <w:contextualSpacing/>
        <w:jc w:val="both"/>
      </w:pPr>
      <w:r w:rsidRPr="003B07C8">
        <w:t>- текущи субсидии по Програмата за морско дело и рибарство – 14,9 млн.</w:t>
      </w:r>
      <w:r w:rsidRPr="003B07C8">
        <w:rPr>
          <w:lang w:val="ru-RU"/>
        </w:rPr>
        <w:t xml:space="preserve"> </w:t>
      </w:r>
      <w:r w:rsidRPr="003B07C8">
        <w:t>лв., изпълнение 86,1</w:t>
      </w:r>
      <w:r w:rsidRPr="003B07C8">
        <w:rPr>
          <w:lang w:val="ru-RU"/>
        </w:rPr>
        <w:t xml:space="preserve"> </w:t>
      </w:r>
      <w:r w:rsidRPr="003B07C8">
        <w:t>% от планираните 17,3 млн. лв.;</w:t>
      </w:r>
    </w:p>
    <w:p w14:paraId="13ECCF67" w14:textId="77777777" w:rsidR="00F234AC" w:rsidRPr="003B07C8" w:rsidRDefault="00F234AC" w:rsidP="00F234AC">
      <w:pPr>
        <w:ind w:firstLine="567"/>
        <w:contextualSpacing/>
        <w:jc w:val="both"/>
      </w:pPr>
      <w:r w:rsidRPr="003B07C8">
        <w:t>- текущи субсидии по Програмата за развитие на селските райони – 8,6 млн. лв., изпълнение от 15,5 % на планираните за годината 55,5 млн. лв.;</w:t>
      </w:r>
    </w:p>
    <w:p w14:paraId="7EDD572A" w14:textId="77777777" w:rsidR="00F234AC" w:rsidRPr="003B07C8" w:rsidRDefault="00F234AC" w:rsidP="00F234AC">
      <w:pPr>
        <w:ind w:firstLine="567"/>
        <w:contextualSpacing/>
        <w:jc w:val="both"/>
      </w:pPr>
      <w:r w:rsidRPr="003B07C8">
        <w:t xml:space="preserve">- текущи субсидии за пазарни мерки – 33,7 млн. лв., изпълнение от 67,5 % на планираните за 2024 г. 49,9 млн. лв. </w:t>
      </w:r>
    </w:p>
    <w:p w14:paraId="0C65E1AB" w14:textId="77777777" w:rsidR="00F234AC" w:rsidRPr="00C93E89" w:rsidRDefault="00F234AC" w:rsidP="00E86EAF">
      <w:pPr>
        <w:numPr>
          <w:ilvl w:val="0"/>
          <w:numId w:val="16"/>
        </w:numPr>
        <w:tabs>
          <w:tab w:val="left" w:pos="993"/>
        </w:tabs>
        <w:spacing w:before="120" w:after="120"/>
        <w:ind w:left="1321" w:hanging="612"/>
        <w:jc w:val="both"/>
        <w:rPr>
          <w:b/>
          <w:i/>
          <w:lang w:eastAsia="bg-BG"/>
        </w:rPr>
      </w:pPr>
      <w:r w:rsidRPr="00C93E89">
        <w:rPr>
          <w:b/>
          <w:i/>
          <w:lang w:eastAsia="bg-BG"/>
        </w:rPr>
        <w:t>Субсидии и други текущи трансфери за юридически лица с нестопанска цел</w:t>
      </w:r>
    </w:p>
    <w:p w14:paraId="3B8F16E4" w14:textId="77777777" w:rsidR="00F234AC" w:rsidRPr="00C93E89" w:rsidRDefault="00F234AC" w:rsidP="00F234AC">
      <w:pPr>
        <w:tabs>
          <w:tab w:val="left" w:pos="993"/>
        </w:tabs>
        <w:ind w:firstLine="567"/>
        <w:jc w:val="both"/>
      </w:pPr>
      <w:r w:rsidRPr="00C93E89">
        <w:t>За 2024 г. за субсидии и други текущи трансфери за юридически лица с нестопанска цел са планирани 21,0 млн. лева. Към края на третото тримесечие на годината са отчетени разходи в размер на 10,8 млн. лв., степен на изпълнение – 51,4</w:t>
      </w:r>
      <w:r w:rsidRPr="00C93E89">
        <w:rPr>
          <w:lang w:val="ru-RU"/>
        </w:rPr>
        <w:t xml:space="preserve"> </w:t>
      </w:r>
      <w:r w:rsidRPr="00C93E89">
        <w:t>%. За същия период на предходната 2023 г. този вид разходи са възлизали на 10,9 млн. лева.</w:t>
      </w:r>
    </w:p>
    <w:p w14:paraId="7B6E0463" w14:textId="77777777" w:rsidR="00F234AC" w:rsidRPr="00D171D2" w:rsidRDefault="00F234AC" w:rsidP="00F234AC">
      <w:pPr>
        <w:tabs>
          <w:tab w:val="left" w:pos="993"/>
        </w:tabs>
        <w:ind w:firstLine="567"/>
        <w:jc w:val="both"/>
      </w:pPr>
      <w:r w:rsidRPr="00D171D2">
        <w:t>Разпределението по дейности е както следва:</w:t>
      </w:r>
    </w:p>
    <w:p w14:paraId="46AB48D2" w14:textId="77777777" w:rsidR="00F234AC" w:rsidRPr="00D171D2" w:rsidRDefault="00F234AC" w:rsidP="00F234AC">
      <w:pPr>
        <w:tabs>
          <w:tab w:val="left" w:pos="993"/>
        </w:tabs>
        <w:ind w:firstLine="567"/>
        <w:jc w:val="both"/>
      </w:pPr>
      <w:r w:rsidRPr="00D171D2">
        <w:t>-  текущи субсидии национално съфинансиране към директни плащания: 0,1 млн. лв.;</w:t>
      </w:r>
    </w:p>
    <w:p w14:paraId="341567B2" w14:textId="77777777" w:rsidR="00F234AC" w:rsidRPr="00D171D2" w:rsidRDefault="00F234AC" w:rsidP="00F234AC">
      <w:pPr>
        <w:tabs>
          <w:tab w:val="left" w:pos="993"/>
        </w:tabs>
        <w:ind w:firstLine="567"/>
        <w:jc w:val="both"/>
      </w:pPr>
      <w:r w:rsidRPr="00D171D2">
        <w:t>-  текущи субсидии по ПМДР – 2,9 млн. лв., възлизащи на 31,9 % от планираните 9,1 млн. лв.;</w:t>
      </w:r>
    </w:p>
    <w:p w14:paraId="3437F57A" w14:textId="77777777" w:rsidR="00F234AC" w:rsidRPr="00D171D2" w:rsidRDefault="00F234AC" w:rsidP="00F234AC">
      <w:pPr>
        <w:tabs>
          <w:tab w:val="left" w:pos="993"/>
        </w:tabs>
        <w:ind w:firstLine="567"/>
        <w:jc w:val="both"/>
      </w:pPr>
      <w:r w:rsidRPr="00D171D2">
        <w:t>- текущи субсидии по Програмата за развитие на селските райони – 7,7 млн. лв., при планирани 11,9 млн. лв., степен на изпълнение 64,7 %;</w:t>
      </w:r>
    </w:p>
    <w:p w14:paraId="61D10CAE" w14:textId="77777777" w:rsidR="00F234AC" w:rsidRPr="00D171D2" w:rsidRDefault="00F234AC" w:rsidP="00F234AC">
      <w:pPr>
        <w:tabs>
          <w:tab w:val="left" w:pos="993"/>
        </w:tabs>
        <w:ind w:firstLine="567"/>
        <w:jc w:val="both"/>
      </w:pPr>
      <w:r w:rsidRPr="00D171D2">
        <w:t>- текущи субсидии за пазарни мерки – 0,05 млн. лева.</w:t>
      </w:r>
    </w:p>
    <w:p w14:paraId="2BE0545E" w14:textId="77777777" w:rsidR="00F234AC" w:rsidRPr="00D171D2" w:rsidRDefault="00F234AC" w:rsidP="00E86EAF">
      <w:pPr>
        <w:numPr>
          <w:ilvl w:val="0"/>
          <w:numId w:val="16"/>
        </w:numPr>
        <w:tabs>
          <w:tab w:val="left" w:pos="993"/>
        </w:tabs>
        <w:spacing w:before="120" w:after="120"/>
        <w:ind w:left="1321" w:hanging="612"/>
        <w:jc w:val="both"/>
        <w:rPr>
          <w:b/>
          <w:i/>
          <w:lang w:eastAsia="bg-BG"/>
        </w:rPr>
      </w:pPr>
      <w:r w:rsidRPr="00D171D2">
        <w:rPr>
          <w:b/>
          <w:i/>
          <w:lang w:eastAsia="bg-BG"/>
        </w:rPr>
        <w:t>Капиталови трансфери за нефинансови предприятия</w:t>
      </w:r>
    </w:p>
    <w:p w14:paraId="581155DD" w14:textId="77777777" w:rsidR="00F234AC" w:rsidRPr="00D171D2" w:rsidRDefault="00F234AC" w:rsidP="00F234AC">
      <w:pPr>
        <w:tabs>
          <w:tab w:val="left" w:pos="993"/>
        </w:tabs>
        <w:ind w:firstLine="567"/>
        <w:jc w:val="both"/>
      </w:pPr>
      <w:r w:rsidRPr="00D171D2">
        <w:t>За 2024 г. за капиталови трансфери за нефинансови предприятия са планирани 376,2 млн. лв. Към 30.09.2024 г. са отчетени 193,4 млн. лв., представляващи 51,4 % от годишния план. Отчетените за периода 01.01-30.09.2023 г. разходи за капиталови субсидии за физически лица и предприятия са били 115,7 млн. лв.</w:t>
      </w:r>
    </w:p>
    <w:p w14:paraId="2C17F693" w14:textId="77777777" w:rsidR="00F234AC" w:rsidRPr="00D171D2" w:rsidRDefault="00F234AC" w:rsidP="00F234AC">
      <w:pPr>
        <w:tabs>
          <w:tab w:val="left" w:pos="993"/>
        </w:tabs>
        <w:ind w:firstLine="567"/>
        <w:jc w:val="both"/>
      </w:pPr>
      <w:r w:rsidRPr="00D171D2">
        <w:t>Разпределението по дейности е както следва:</w:t>
      </w:r>
    </w:p>
    <w:p w14:paraId="2E5B1F79" w14:textId="77777777" w:rsidR="00F234AC" w:rsidRPr="00D171D2" w:rsidRDefault="00F234AC" w:rsidP="00F234AC">
      <w:pPr>
        <w:ind w:firstLine="567"/>
        <w:contextualSpacing/>
        <w:jc w:val="both"/>
      </w:pPr>
      <w:r w:rsidRPr="00D171D2">
        <w:t>- капиталови трансфери по Програмата за морско дело и рибарство (ПМДР) – 5,6 млн. лв., 101,8 %  изпълнение на годишния план (5,5 млн. лв.);</w:t>
      </w:r>
    </w:p>
    <w:p w14:paraId="78D33607" w14:textId="77777777" w:rsidR="00F234AC" w:rsidRPr="00D171D2" w:rsidRDefault="00F234AC" w:rsidP="00F234AC">
      <w:pPr>
        <w:ind w:firstLine="567"/>
        <w:contextualSpacing/>
        <w:jc w:val="both"/>
      </w:pPr>
      <w:r w:rsidRPr="00D171D2">
        <w:t>- капиталови трансфери по ПРСР – 187,3 млн. лв., 50,8 % изпълнение на годишния план, възлизащ на 368,5 млн. лв.;</w:t>
      </w:r>
    </w:p>
    <w:p w14:paraId="59CC98E9" w14:textId="77777777" w:rsidR="00F234AC" w:rsidRPr="003E524B" w:rsidRDefault="00F234AC" w:rsidP="00F234AC">
      <w:pPr>
        <w:ind w:firstLine="567"/>
        <w:contextualSpacing/>
        <w:jc w:val="both"/>
      </w:pPr>
      <w:r w:rsidRPr="003E524B">
        <w:t>- капиталови трансфери за пазарни мерки – 0,5 млн. лв., при годишен разчет 2,2 млн. лв., изпълнение 22,7 %.</w:t>
      </w:r>
    </w:p>
    <w:p w14:paraId="191311EA" w14:textId="77777777" w:rsidR="00F234AC" w:rsidRPr="00466598" w:rsidRDefault="00F234AC" w:rsidP="00E86EAF">
      <w:pPr>
        <w:numPr>
          <w:ilvl w:val="0"/>
          <w:numId w:val="16"/>
        </w:numPr>
        <w:tabs>
          <w:tab w:val="left" w:pos="993"/>
        </w:tabs>
        <w:spacing w:before="120" w:after="120"/>
        <w:ind w:left="1321" w:hanging="612"/>
        <w:jc w:val="both"/>
        <w:rPr>
          <w:b/>
          <w:i/>
          <w:lang w:eastAsia="bg-BG"/>
        </w:rPr>
      </w:pPr>
      <w:r w:rsidRPr="00466598">
        <w:rPr>
          <w:b/>
          <w:i/>
          <w:lang w:eastAsia="bg-BG"/>
        </w:rPr>
        <w:t>Капиталови трансфери за организации с нестопанска цел</w:t>
      </w:r>
    </w:p>
    <w:p w14:paraId="0BA30DBC" w14:textId="77777777" w:rsidR="00F234AC" w:rsidRPr="00466598" w:rsidRDefault="00F234AC" w:rsidP="00F234AC">
      <w:pPr>
        <w:ind w:firstLine="567"/>
        <w:jc w:val="both"/>
      </w:pPr>
      <w:r w:rsidRPr="00466598">
        <w:t>Годишните разчети за капиталови трансфери за организации с нестопанска цел за 2024 г. възлизат на 14,2 млн. лв. Към 30.09.2024 г. са отчетени 9,5 млн. лв., като степента на изпълнение е 66,9 %. През същия период на предходната година са отчетени 8,4 млн. лв.</w:t>
      </w:r>
    </w:p>
    <w:p w14:paraId="0952A2F7" w14:textId="77777777" w:rsidR="00F234AC" w:rsidRPr="00466598" w:rsidRDefault="00F234AC" w:rsidP="00F234AC">
      <w:pPr>
        <w:tabs>
          <w:tab w:val="left" w:pos="993"/>
        </w:tabs>
        <w:ind w:firstLine="567"/>
        <w:jc w:val="both"/>
      </w:pPr>
      <w:r w:rsidRPr="00466598">
        <w:t>Разпределението по дейности е както следва:</w:t>
      </w:r>
    </w:p>
    <w:p w14:paraId="4242A403" w14:textId="77777777" w:rsidR="00F234AC" w:rsidRPr="00466598" w:rsidRDefault="00F234AC" w:rsidP="00F234AC">
      <w:pPr>
        <w:ind w:firstLine="567"/>
        <w:contextualSpacing/>
        <w:jc w:val="both"/>
      </w:pPr>
      <w:r w:rsidRPr="00466598">
        <w:t>- капиталови трансфери по ПМДР – няма усвоени средства, при годишен разчет 1,7 млн. лв.;</w:t>
      </w:r>
    </w:p>
    <w:p w14:paraId="119AEF78" w14:textId="77777777" w:rsidR="00F234AC" w:rsidRPr="00466598" w:rsidRDefault="00F234AC" w:rsidP="00F234AC">
      <w:pPr>
        <w:ind w:firstLine="567"/>
        <w:contextualSpacing/>
        <w:jc w:val="both"/>
      </w:pPr>
      <w:r w:rsidRPr="00466598">
        <w:t>- капиталови трансфери по ПРСР – 9,5 млн. лв., 76,0 % изпълнение на годишния план от 12,5 млн. лева.</w:t>
      </w:r>
    </w:p>
    <w:p w14:paraId="7FE1830A" w14:textId="77777777" w:rsidR="00F234AC" w:rsidRPr="00466598" w:rsidRDefault="00F234AC" w:rsidP="00E86EAF">
      <w:pPr>
        <w:numPr>
          <w:ilvl w:val="0"/>
          <w:numId w:val="17"/>
        </w:numPr>
        <w:spacing w:before="120" w:after="120" w:line="276" w:lineRule="auto"/>
        <w:ind w:left="777" w:hanging="357"/>
        <w:jc w:val="both"/>
        <w:rPr>
          <w:b/>
          <w:lang w:eastAsia="bg-BG"/>
        </w:rPr>
      </w:pPr>
      <w:r w:rsidRPr="00466598">
        <w:rPr>
          <w:b/>
          <w:lang w:eastAsia="bg-BG"/>
        </w:rPr>
        <w:t xml:space="preserve">Трансфери </w:t>
      </w:r>
    </w:p>
    <w:p w14:paraId="096D1C89" w14:textId="77777777" w:rsidR="00F234AC" w:rsidRPr="00466598" w:rsidRDefault="00F234AC" w:rsidP="00F234AC">
      <w:pPr>
        <w:pStyle w:val="ListParagraph"/>
        <w:tabs>
          <w:tab w:val="left" w:pos="540"/>
        </w:tabs>
        <w:spacing w:after="0" w:line="240" w:lineRule="auto"/>
        <w:ind w:left="0" w:firstLine="567"/>
        <w:rPr>
          <w:rFonts w:ascii="Times New Roman" w:hAnsi="Times New Roman"/>
        </w:rPr>
      </w:pPr>
      <w:r w:rsidRPr="00466598">
        <w:rPr>
          <w:rFonts w:ascii="Times New Roman" w:hAnsi="Times New Roman"/>
        </w:rPr>
        <w:t>В частта на трансферите, в касовия отчет на ДФЗ-РА към 30.09.2024г. са отразени следните касови потоци:</w:t>
      </w:r>
    </w:p>
    <w:p w14:paraId="39EC57A9" w14:textId="77777777" w:rsidR="00F234AC" w:rsidRPr="005A2C4C" w:rsidRDefault="00F234AC" w:rsidP="00E86EAF">
      <w:pPr>
        <w:numPr>
          <w:ilvl w:val="0"/>
          <w:numId w:val="16"/>
        </w:numPr>
        <w:tabs>
          <w:tab w:val="left" w:pos="993"/>
        </w:tabs>
        <w:spacing w:before="120" w:after="120"/>
        <w:ind w:left="1321" w:hanging="612"/>
        <w:jc w:val="both"/>
        <w:rPr>
          <w:b/>
          <w:i/>
          <w:lang w:eastAsia="bg-BG"/>
        </w:rPr>
      </w:pPr>
      <w:r w:rsidRPr="005A2C4C">
        <w:rPr>
          <w:b/>
          <w:i/>
          <w:lang w:eastAsia="bg-BG"/>
        </w:rPr>
        <w:t xml:space="preserve">Трансфери между бюджети и сметки за средства от Европейския съюз </w:t>
      </w:r>
    </w:p>
    <w:p w14:paraId="3AEBC875" w14:textId="77777777" w:rsidR="00F234AC" w:rsidRPr="005A2C4C" w:rsidRDefault="00F234AC" w:rsidP="00F234AC">
      <w:pPr>
        <w:ind w:firstLine="567"/>
        <w:jc w:val="both"/>
      </w:pPr>
      <w:r w:rsidRPr="005A2C4C">
        <w:t>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и техният размер е 4,4 млн. лв.</w:t>
      </w:r>
    </w:p>
    <w:p w14:paraId="02761716" w14:textId="77777777" w:rsidR="00F234AC" w:rsidRPr="005A2C4C" w:rsidRDefault="00F234AC" w:rsidP="00F234AC">
      <w:pPr>
        <w:ind w:firstLine="567"/>
        <w:jc w:val="both"/>
      </w:pPr>
      <w:r w:rsidRPr="005A2C4C">
        <w:t>Предоставените за периода трансфери във връзка с чл.14 от Закона за подпомагане на земеделските производители възлизат на 0,</w:t>
      </w:r>
      <w:r w:rsidRPr="005A2C4C">
        <w:rPr>
          <w:lang w:val="ru-RU"/>
        </w:rPr>
        <w:t>4</w:t>
      </w:r>
      <w:r w:rsidRPr="005A2C4C">
        <w:t xml:space="preserve"> млн. лв.</w:t>
      </w:r>
    </w:p>
    <w:p w14:paraId="07604DA9" w14:textId="77777777" w:rsidR="00F234AC" w:rsidRPr="005A2C4C" w:rsidRDefault="00F234AC" w:rsidP="00E86EAF">
      <w:pPr>
        <w:numPr>
          <w:ilvl w:val="0"/>
          <w:numId w:val="16"/>
        </w:numPr>
        <w:tabs>
          <w:tab w:val="left" w:pos="993"/>
        </w:tabs>
        <w:spacing w:before="120" w:after="120"/>
        <w:ind w:left="1321" w:hanging="612"/>
        <w:jc w:val="both"/>
        <w:rPr>
          <w:b/>
          <w:i/>
          <w:lang w:eastAsia="bg-BG"/>
        </w:rPr>
      </w:pPr>
      <w:r w:rsidRPr="005A2C4C">
        <w:rPr>
          <w:b/>
          <w:i/>
          <w:lang w:eastAsia="bg-BG"/>
        </w:rPr>
        <w:t>Трансфери между сметки за средства от Европейския съюз:</w:t>
      </w:r>
    </w:p>
    <w:p w14:paraId="148FF563" w14:textId="77777777" w:rsidR="00F234AC" w:rsidRPr="004D14CB" w:rsidRDefault="00F234AC" w:rsidP="00F234AC">
      <w:pPr>
        <w:tabs>
          <w:tab w:val="left" w:pos="540"/>
        </w:tabs>
        <w:ind w:firstLine="567"/>
        <w:jc w:val="both"/>
      </w:pPr>
      <w:r w:rsidRPr="004D14CB">
        <w:t xml:space="preserve">Предоставените трансфери са формирани от изплатените субсидии на публични бенефициенти. Към 30.09.2024 г. са отчетени 114,6 млн. лв., в т.ч.: </w:t>
      </w:r>
    </w:p>
    <w:p w14:paraId="71C588C8" w14:textId="77777777" w:rsidR="00F234AC" w:rsidRPr="004D14CB" w:rsidRDefault="00F234AC" w:rsidP="00E86EAF">
      <w:pPr>
        <w:pStyle w:val="ListParagraph"/>
        <w:numPr>
          <w:ilvl w:val="0"/>
          <w:numId w:val="22"/>
        </w:numPr>
        <w:tabs>
          <w:tab w:val="left" w:pos="540"/>
          <w:tab w:val="left" w:pos="851"/>
        </w:tabs>
        <w:spacing w:after="0" w:line="240" w:lineRule="auto"/>
        <w:ind w:left="0" w:firstLine="562"/>
      </w:pPr>
      <w:r w:rsidRPr="004D14CB">
        <w:rPr>
          <w:rFonts w:ascii="Times New Roman" w:hAnsi="Times New Roman"/>
          <w:szCs w:val="24"/>
        </w:rPr>
        <w:t>национално съфинансиране към директните плащания: 0,4 млн. лв.;</w:t>
      </w:r>
    </w:p>
    <w:p w14:paraId="421D4998" w14:textId="77777777" w:rsidR="00F234AC" w:rsidRPr="004D14CB" w:rsidRDefault="00F234AC" w:rsidP="00E86EAF">
      <w:pPr>
        <w:pStyle w:val="ListParagraph"/>
        <w:numPr>
          <w:ilvl w:val="0"/>
          <w:numId w:val="22"/>
        </w:numPr>
        <w:tabs>
          <w:tab w:val="left" w:pos="540"/>
          <w:tab w:val="left" w:pos="851"/>
        </w:tabs>
        <w:spacing w:after="0" w:line="240" w:lineRule="auto"/>
        <w:ind w:left="0" w:firstLine="562"/>
        <w:rPr>
          <w:rFonts w:ascii="Times New Roman" w:hAnsi="Times New Roman"/>
          <w:szCs w:val="24"/>
        </w:rPr>
      </w:pPr>
      <w:r w:rsidRPr="004D14CB">
        <w:rPr>
          <w:rFonts w:ascii="Times New Roman" w:hAnsi="Times New Roman"/>
          <w:szCs w:val="24"/>
        </w:rPr>
        <w:t>по Програмата за развитие на селските райони: 101,8 млн. лв.;</w:t>
      </w:r>
    </w:p>
    <w:p w14:paraId="789D21DC" w14:textId="77777777" w:rsidR="00F234AC" w:rsidRPr="004D14CB" w:rsidRDefault="00F234AC" w:rsidP="00E86EAF">
      <w:pPr>
        <w:numPr>
          <w:ilvl w:val="0"/>
          <w:numId w:val="22"/>
        </w:numPr>
        <w:tabs>
          <w:tab w:val="left" w:pos="540"/>
          <w:tab w:val="left" w:pos="851"/>
        </w:tabs>
        <w:ind w:left="0" w:firstLine="567"/>
        <w:contextualSpacing/>
        <w:jc w:val="both"/>
      </w:pPr>
      <w:r w:rsidRPr="004D14CB">
        <w:t>по Програмата за морско дело и рибарство: 12,4 млн. лв.</w:t>
      </w:r>
    </w:p>
    <w:p w14:paraId="3F28E65D" w14:textId="77777777" w:rsidR="00F234AC" w:rsidRPr="004D14CB" w:rsidRDefault="00F234AC" w:rsidP="00F234AC">
      <w:pPr>
        <w:tabs>
          <w:tab w:val="left" w:pos="540"/>
        </w:tabs>
        <w:jc w:val="both"/>
      </w:pPr>
      <w:r w:rsidRPr="004D14CB">
        <w:tab/>
        <w:t>Към края на третото тримесечие на 2023 г. предоставените трансфери са възлизали на 50,6 млн. лв.</w:t>
      </w:r>
    </w:p>
    <w:p w14:paraId="1F1A57ED" w14:textId="77777777" w:rsidR="00F234AC" w:rsidRPr="004D14CB" w:rsidRDefault="00F234AC" w:rsidP="00E86EAF">
      <w:pPr>
        <w:numPr>
          <w:ilvl w:val="0"/>
          <w:numId w:val="17"/>
        </w:numPr>
        <w:spacing w:before="120" w:after="120" w:line="276" w:lineRule="auto"/>
        <w:ind w:left="777" w:hanging="357"/>
        <w:jc w:val="both"/>
        <w:rPr>
          <w:b/>
          <w:lang w:eastAsia="bg-BG"/>
        </w:rPr>
      </w:pPr>
      <w:r w:rsidRPr="004D14CB">
        <w:rPr>
          <w:b/>
          <w:lang w:eastAsia="bg-BG"/>
        </w:rPr>
        <w:t>Финансиране</w:t>
      </w:r>
    </w:p>
    <w:p w14:paraId="50ABE647" w14:textId="77777777" w:rsidR="00F234AC" w:rsidRPr="004D14CB" w:rsidRDefault="00F234AC" w:rsidP="00E86EAF">
      <w:pPr>
        <w:numPr>
          <w:ilvl w:val="0"/>
          <w:numId w:val="16"/>
        </w:numPr>
        <w:tabs>
          <w:tab w:val="left" w:pos="993"/>
        </w:tabs>
        <w:spacing w:before="120" w:after="120"/>
        <w:ind w:left="851" w:hanging="425"/>
        <w:jc w:val="both"/>
        <w:rPr>
          <w:b/>
          <w:lang w:eastAsia="bg-BG"/>
        </w:rPr>
      </w:pPr>
      <w:r w:rsidRPr="004D14CB">
        <w:rPr>
          <w:b/>
          <w:lang w:eastAsia="bg-BG"/>
        </w:rPr>
        <w:t>Суми по разчети за поети осигурителни вноски и данъци</w:t>
      </w:r>
    </w:p>
    <w:p w14:paraId="6DAE210F" w14:textId="77777777" w:rsidR="00F234AC" w:rsidRPr="000019D2" w:rsidRDefault="00F234AC" w:rsidP="00F234AC">
      <w:pPr>
        <w:ind w:firstLine="567"/>
        <w:jc w:val="both"/>
        <w:rPr>
          <w:lang w:eastAsia="bg-BG"/>
        </w:rPr>
      </w:pPr>
      <w:r w:rsidRPr="000019D2">
        <w:rPr>
          <w:lang w:eastAsia="bg-BG"/>
        </w:rPr>
        <w:t>Към края на третото тримесечие на 2024 г. сумата по разчети за поети данъци, формирани от удържан и внесен окончателен данък на физически лица, съгл. чл. 65, ал. 14 от ЗДДФЛ възлиза нето на 0,05 млн. лева.</w:t>
      </w:r>
    </w:p>
    <w:p w14:paraId="4C373289" w14:textId="77777777" w:rsidR="00F234AC" w:rsidRPr="000019D2" w:rsidRDefault="00F234AC" w:rsidP="00E86EAF">
      <w:pPr>
        <w:numPr>
          <w:ilvl w:val="0"/>
          <w:numId w:val="16"/>
        </w:numPr>
        <w:tabs>
          <w:tab w:val="left" w:pos="993"/>
        </w:tabs>
        <w:spacing w:before="120" w:after="120"/>
        <w:ind w:left="851" w:hanging="425"/>
        <w:jc w:val="both"/>
        <w:rPr>
          <w:b/>
          <w:lang w:eastAsia="bg-BG"/>
        </w:rPr>
      </w:pPr>
      <w:r w:rsidRPr="000019D2">
        <w:rPr>
          <w:b/>
          <w:lang w:eastAsia="bg-BG"/>
        </w:rPr>
        <w:t>Друго финансиране</w:t>
      </w:r>
    </w:p>
    <w:p w14:paraId="7C9A95CC" w14:textId="77777777" w:rsidR="00F234AC" w:rsidRPr="000019D2" w:rsidRDefault="00F234AC" w:rsidP="00F234AC">
      <w:pPr>
        <w:ind w:firstLine="567"/>
        <w:jc w:val="both"/>
        <w:rPr>
          <w:lang w:eastAsia="bg-BG"/>
        </w:rPr>
      </w:pPr>
      <w:r w:rsidRPr="000019D2">
        <w:rPr>
          <w:lang w:eastAsia="bg-BG"/>
        </w:rPr>
        <w:t>За периода 01.01-30.09.2024 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71,5 млн. лв., при планирани -4,8 млн. лева.</w:t>
      </w:r>
    </w:p>
    <w:p w14:paraId="51719FC1" w14:textId="77777777" w:rsidR="00F234AC" w:rsidRPr="000019D2" w:rsidRDefault="00F234AC" w:rsidP="00F234AC">
      <w:pPr>
        <w:ind w:firstLine="567"/>
        <w:jc w:val="both"/>
        <w:rPr>
          <w:lang w:eastAsia="bg-BG"/>
        </w:rPr>
      </w:pPr>
      <w:r w:rsidRPr="000019D2">
        <w:rPr>
          <w:lang w:eastAsia="bg-BG"/>
        </w:rPr>
        <w:t xml:space="preserve">Към 30.09.2024 г. са отчетени плащания в общ размер на </w:t>
      </w:r>
      <w:r w:rsidRPr="000019D2">
        <w:rPr>
          <w:lang w:val="ru-RU" w:eastAsia="bg-BG"/>
        </w:rPr>
        <w:t>1 116,9</w:t>
      </w:r>
      <w:r w:rsidRPr="000019D2">
        <w:rPr>
          <w:lang w:eastAsia="bg-BG"/>
        </w:rPr>
        <w:t xml:space="preserve"> млн. лв., представляващи 61,9 % от годишните разчети, които са 1 803,5 млн. лв. За същия период на 2023 г. плащанията, отчитани като финансиране са били 925,1 млн. лв.</w:t>
      </w:r>
    </w:p>
    <w:p w14:paraId="0F0A97A4" w14:textId="77777777" w:rsidR="00F234AC" w:rsidRPr="0044334C" w:rsidRDefault="00F234AC" w:rsidP="00F234AC">
      <w:pPr>
        <w:ind w:firstLine="567"/>
        <w:jc w:val="both"/>
        <w:rPr>
          <w:szCs w:val="20"/>
        </w:rPr>
      </w:pPr>
      <w:r w:rsidRPr="0044334C">
        <w:rPr>
          <w:szCs w:val="20"/>
        </w:rPr>
        <w:t>Отчетените плащания са по следните направления:</w:t>
      </w:r>
    </w:p>
    <w:p w14:paraId="246830F7" w14:textId="77777777" w:rsidR="00F234AC" w:rsidRPr="0044334C" w:rsidRDefault="00F234AC" w:rsidP="00E86EAF">
      <w:pPr>
        <w:numPr>
          <w:ilvl w:val="0"/>
          <w:numId w:val="18"/>
        </w:numPr>
        <w:tabs>
          <w:tab w:val="left" w:pos="851"/>
        </w:tabs>
        <w:ind w:left="851" w:hanging="284"/>
        <w:jc w:val="both"/>
        <w:rPr>
          <w:szCs w:val="20"/>
        </w:rPr>
      </w:pPr>
      <w:r w:rsidRPr="0044334C">
        <w:rPr>
          <w:szCs w:val="20"/>
        </w:rPr>
        <w:t>1 015,7 млн. лв. за директни плащания за сметка на ЕФГЗ, представляващи 62,7 % от планираните 1 620,3 млн. лв.;</w:t>
      </w:r>
    </w:p>
    <w:p w14:paraId="4C2B4B06" w14:textId="77777777" w:rsidR="00F234AC" w:rsidRPr="0044334C" w:rsidRDefault="00F234AC" w:rsidP="00E86EAF">
      <w:pPr>
        <w:numPr>
          <w:ilvl w:val="0"/>
          <w:numId w:val="18"/>
        </w:numPr>
        <w:tabs>
          <w:tab w:val="left" w:pos="851"/>
        </w:tabs>
        <w:ind w:left="851" w:hanging="284"/>
        <w:jc w:val="both"/>
        <w:rPr>
          <w:szCs w:val="20"/>
        </w:rPr>
      </w:pPr>
      <w:r w:rsidRPr="0044334C">
        <w:rPr>
          <w:szCs w:val="20"/>
        </w:rPr>
        <w:t>88,0 млн. лв. средства от ЕЗФРСР, прехвърлени към директни плащания, което е 73,8 % от планираните 119,2 млн. лв.;</w:t>
      </w:r>
    </w:p>
    <w:p w14:paraId="33E9F01C" w14:textId="77777777" w:rsidR="00F234AC" w:rsidRPr="00F72995" w:rsidRDefault="00F234AC" w:rsidP="00E86EAF">
      <w:pPr>
        <w:numPr>
          <w:ilvl w:val="0"/>
          <w:numId w:val="18"/>
        </w:numPr>
        <w:tabs>
          <w:tab w:val="left" w:pos="851"/>
        </w:tabs>
        <w:ind w:left="851" w:hanging="284"/>
        <w:jc w:val="both"/>
        <w:rPr>
          <w:szCs w:val="20"/>
        </w:rPr>
      </w:pPr>
      <w:r w:rsidRPr="00F72995">
        <w:rPr>
          <w:szCs w:val="20"/>
        </w:rPr>
        <w:t>6,2 млн. лв. за пазарни мерки при разчет за плащания в размер 37,0 млн. лв. изпълнение 16,8 %;</w:t>
      </w:r>
    </w:p>
    <w:p w14:paraId="30AD2E3A" w14:textId="77777777" w:rsidR="00F234AC" w:rsidRPr="00F72995" w:rsidRDefault="00F234AC" w:rsidP="00E86EAF">
      <w:pPr>
        <w:numPr>
          <w:ilvl w:val="0"/>
          <w:numId w:val="18"/>
        </w:numPr>
        <w:tabs>
          <w:tab w:val="left" w:pos="851"/>
        </w:tabs>
        <w:ind w:left="851" w:hanging="284"/>
        <w:jc w:val="both"/>
        <w:rPr>
          <w:szCs w:val="20"/>
        </w:rPr>
      </w:pPr>
      <w:r w:rsidRPr="00F72995">
        <w:rPr>
          <w:szCs w:val="20"/>
        </w:rPr>
        <w:t>7,0 млн. лв. за преструктуриране, изпълнение 25,9 % от планираните плащания в размер 27,0 млн. лв.</w:t>
      </w:r>
    </w:p>
    <w:p w14:paraId="7ED3288E" w14:textId="77777777" w:rsidR="00F234AC" w:rsidRPr="00A44C3A" w:rsidRDefault="00F234AC" w:rsidP="00F234AC">
      <w:pPr>
        <w:tabs>
          <w:tab w:val="left" w:pos="709"/>
        </w:tabs>
        <w:ind w:firstLine="567"/>
        <w:jc w:val="both"/>
        <w:rPr>
          <w:lang w:eastAsia="bg-BG"/>
        </w:rPr>
      </w:pPr>
      <w:r w:rsidRPr="00A44C3A">
        <w:rPr>
          <w:lang w:eastAsia="bg-BG"/>
        </w:rPr>
        <w:t>Възстановените суми от Европейския съюз към 30.09.2024 г. възлизат общо на 1 670,4 млн. лв., представляващи 93,2 % от планираните 1</w:t>
      </w:r>
      <w:r w:rsidRPr="00A44C3A">
        <w:rPr>
          <w:lang w:val="en-US" w:eastAsia="bg-BG"/>
        </w:rPr>
        <w:t> </w:t>
      </w:r>
      <w:r w:rsidRPr="00A44C3A">
        <w:rPr>
          <w:lang w:eastAsia="bg-BG"/>
        </w:rPr>
        <w:t>792,6 млн. лв. Отчетеното изпълнение за периода 01.01-30.09.2023 г. е 1 784,3 млн. лв.</w:t>
      </w:r>
    </w:p>
    <w:p w14:paraId="05C7C65A" w14:textId="77777777" w:rsidR="00F234AC" w:rsidRPr="00C24739" w:rsidRDefault="00F234AC" w:rsidP="00F234AC">
      <w:pPr>
        <w:tabs>
          <w:tab w:val="left" w:pos="709"/>
        </w:tabs>
        <w:ind w:firstLine="567"/>
        <w:jc w:val="both"/>
        <w:rPr>
          <w:lang w:eastAsia="bg-BG"/>
        </w:rPr>
      </w:pPr>
      <w:r w:rsidRPr="00C24739">
        <w:rPr>
          <w:lang w:eastAsia="bg-BG"/>
        </w:rPr>
        <w:t>Възстановени са суми по следните направления:</w:t>
      </w:r>
    </w:p>
    <w:p w14:paraId="5C111A6C" w14:textId="77777777" w:rsidR="00F234AC" w:rsidRPr="00C24739" w:rsidRDefault="00F234AC" w:rsidP="00E86EAF">
      <w:pPr>
        <w:numPr>
          <w:ilvl w:val="0"/>
          <w:numId w:val="18"/>
        </w:numPr>
        <w:tabs>
          <w:tab w:val="left" w:pos="851"/>
        </w:tabs>
        <w:ind w:left="851" w:hanging="284"/>
        <w:jc w:val="both"/>
        <w:rPr>
          <w:lang w:eastAsia="bg-BG"/>
        </w:rPr>
      </w:pPr>
      <w:r w:rsidRPr="00C24739">
        <w:rPr>
          <w:lang w:eastAsia="bg-BG"/>
        </w:rPr>
        <w:t>1 555,1 млн. лв. за директни плащания от ЕФГЗ – 96,8 % от планираните 1 605,8 млн. лв.;</w:t>
      </w:r>
    </w:p>
    <w:p w14:paraId="172F9620" w14:textId="77777777" w:rsidR="00F234AC" w:rsidRPr="00C24739" w:rsidRDefault="00F234AC" w:rsidP="00E86EAF">
      <w:pPr>
        <w:numPr>
          <w:ilvl w:val="0"/>
          <w:numId w:val="18"/>
        </w:numPr>
        <w:tabs>
          <w:tab w:val="left" w:pos="851"/>
        </w:tabs>
        <w:ind w:left="851" w:hanging="284"/>
        <w:jc w:val="both"/>
        <w:rPr>
          <w:lang w:eastAsia="bg-BG"/>
        </w:rPr>
      </w:pPr>
      <w:r w:rsidRPr="00C24739">
        <w:rPr>
          <w:lang w:eastAsia="bg-BG"/>
        </w:rPr>
        <w:t>92,3 млн. лв. от ЕЗФРСР, прехвърлени към директни плащания – 74,9 % от заложените 123,2 млн. лв.;</w:t>
      </w:r>
    </w:p>
    <w:p w14:paraId="179F0AE4" w14:textId="77777777" w:rsidR="00F234AC" w:rsidRPr="00C24739" w:rsidRDefault="00F234AC" w:rsidP="00E86EAF">
      <w:pPr>
        <w:numPr>
          <w:ilvl w:val="0"/>
          <w:numId w:val="18"/>
        </w:numPr>
        <w:tabs>
          <w:tab w:val="left" w:pos="851"/>
        </w:tabs>
        <w:ind w:left="851" w:hanging="284"/>
        <w:jc w:val="both"/>
        <w:rPr>
          <w:lang w:eastAsia="bg-BG"/>
        </w:rPr>
      </w:pPr>
      <w:r w:rsidRPr="00C24739">
        <w:rPr>
          <w:lang w:eastAsia="bg-BG"/>
        </w:rPr>
        <w:t>22,2 млн. лв. за пазарни мерки от ЕФГЗ при планирани 38,5 млн. лв., степен на изпълнение: 57,7 %;</w:t>
      </w:r>
    </w:p>
    <w:p w14:paraId="4B718852" w14:textId="77777777" w:rsidR="00F234AC" w:rsidRPr="00C24739" w:rsidRDefault="00F234AC" w:rsidP="00E86EAF">
      <w:pPr>
        <w:numPr>
          <w:ilvl w:val="0"/>
          <w:numId w:val="18"/>
        </w:numPr>
        <w:tabs>
          <w:tab w:val="left" w:pos="851"/>
        </w:tabs>
        <w:ind w:left="851" w:hanging="284"/>
        <w:jc w:val="both"/>
        <w:rPr>
          <w:lang w:eastAsia="bg-BG"/>
        </w:rPr>
      </w:pPr>
      <w:r w:rsidRPr="00C24739">
        <w:rPr>
          <w:lang w:eastAsia="bg-BG"/>
        </w:rPr>
        <w:t>0,8 млн. лв. за преструктуриране от ЕФГЗ при планирани 25,1 млн. лв., изпълнение 3,2 %.</w:t>
      </w:r>
    </w:p>
    <w:p w14:paraId="5D87942B" w14:textId="77777777" w:rsidR="00F234AC" w:rsidRPr="00C24739" w:rsidRDefault="00F234AC" w:rsidP="00F234AC">
      <w:pPr>
        <w:tabs>
          <w:tab w:val="left" w:pos="709"/>
        </w:tabs>
        <w:spacing w:after="120"/>
        <w:ind w:firstLine="567"/>
        <w:contextualSpacing/>
        <w:jc w:val="both"/>
      </w:pPr>
      <w:r w:rsidRPr="00C24739">
        <w:rPr>
          <w:lang w:eastAsia="bg-BG"/>
        </w:rPr>
        <w:t xml:space="preserve">Предоставените суми (нето) </w:t>
      </w:r>
      <w:r w:rsidRPr="00C24739">
        <w:t>по разчети с ЦБ за финансиране на плащания при недостиг на средства по сметки</w:t>
      </w:r>
      <w:r w:rsidRPr="00C24739">
        <w:rPr>
          <w:lang w:eastAsia="bg-BG"/>
        </w:rPr>
        <w:t xml:space="preserve"> към 30.09.2024 г. възлизат на -482,0 млн. лв., при планирани 6,1 млн. лв.</w:t>
      </w:r>
    </w:p>
    <w:p w14:paraId="41A9EBA7" w14:textId="77777777" w:rsidR="00EB292B" w:rsidRPr="00387A3E" w:rsidRDefault="00EB292B" w:rsidP="00EB292B">
      <w:pPr>
        <w:tabs>
          <w:tab w:val="left" w:pos="540"/>
        </w:tabs>
        <w:spacing w:before="120"/>
        <w:ind w:firstLine="567"/>
        <w:jc w:val="both"/>
        <w:rPr>
          <w:color w:val="0070C0"/>
        </w:rPr>
      </w:pPr>
      <w:r w:rsidRPr="00387A3E">
        <w:rPr>
          <w:color w:val="0070C0"/>
          <w:lang w:eastAsia="bg-BG"/>
        </w:rPr>
        <w:tab/>
      </w:r>
    </w:p>
    <w:p w14:paraId="2EC24654" w14:textId="77777777" w:rsidR="00EB292B" w:rsidRPr="00D839CD" w:rsidRDefault="00EB292B" w:rsidP="00E86EAF">
      <w:pPr>
        <w:pStyle w:val="Heading1"/>
        <w:numPr>
          <w:ilvl w:val="1"/>
          <w:numId w:val="8"/>
        </w:numPr>
        <w:spacing w:after="120"/>
        <w:ind w:left="792" w:right="-115" w:hanging="432"/>
        <w:jc w:val="both"/>
        <w:rPr>
          <w:sz w:val="24"/>
        </w:rPr>
      </w:pPr>
      <w:bookmarkStart w:id="71" w:name="_Toc83045529"/>
      <w:r w:rsidRPr="00D839CD">
        <w:rPr>
          <w:sz w:val="24"/>
        </w:rPr>
        <w:t>Сметка за средствата от Европейския съюз на Национален фонд към Министерство на финансите</w:t>
      </w:r>
      <w:bookmarkEnd w:id="71"/>
    </w:p>
    <w:p w14:paraId="3E748928" w14:textId="77777777" w:rsidR="00D839CD" w:rsidRPr="00171E09" w:rsidRDefault="00D839CD" w:rsidP="00247533">
      <w:pPr>
        <w:ind w:firstLine="567"/>
        <w:jc w:val="both"/>
        <w:rPr>
          <w:bCs/>
        </w:rPr>
      </w:pPr>
      <w:r w:rsidRPr="00171E09">
        <w:rPr>
          <w:bCs/>
        </w:rPr>
        <w:t>По сметките на НФ към 3</w:t>
      </w:r>
      <w:r w:rsidRPr="00171E09">
        <w:rPr>
          <w:bCs/>
          <w:lang w:val="ru-RU"/>
        </w:rPr>
        <w:t>0</w:t>
      </w:r>
      <w:r w:rsidRPr="00171E09">
        <w:rPr>
          <w:bCs/>
        </w:rPr>
        <w:t>.</w:t>
      </w:r>
      <w:r w:rsidRPr="00171E09">
        <w:rPr>
          <w:bCs/>
          <w:lang w:val="ru-RU"/>
        </w:rPr>
        <w:t>09</w:t>
      </w:r>
      <w:r w:rsidRPr="00171E09">
        <w:rPr>
          <w:bCs/>
        </w:rPr>
        <w:t>.2024 г. са постъпили приходи (нето) в размер на 1</w:t>
      </w:r>
      <w:r>
        <w:rPr>
          <w:bCs/>
        </w:rPr>
        <w:t> </w:t>
      </w:r>
      <w:r w:rsidRPr="00171E09">
        <w:rPr>
          <w:bCs/>
        </w:rPr>
        <w:t>690</w:t>
      </w:r>
      <w:r>
        <w:rPr>
          <w:bCs/>
        </w:rPr>
        <w:t>,</w:t>
      </w:r>
      <w:r w:rsidRPr="00171E09">
        <w:rPr>
          <w:bCs/>
        </w:rPr>
        <w:t>7</w:t>
      </w:r>
      <w:r w:rsidRPr="0041321D">
        <w:rPr>
          <w:bCs/>
          <w:lang w:val="ru-RU"/>
        </w:rPr>
        <w:t xml:space="preserve"> </w:t>
      </w:r>
      <w:r w:rsidRPr="00171E09">
        <w:rPr>
          <w:bCs/>
        </w:rPr>
        <w:t>млн.</w:t>
      </w:r>
      <w:r>
        <w:rPr>
          <w:bCs/>
        </w:rPr>
        <w:t> </w:t>
      </w:r>
      <w:r w:rsidRPr="00171E09">
        <w:rPr>
          <w:bCs/>
        </w:rPr>
        <w:t>лв</w:t>
      </w:r>
      <w:r>
        <w:rPr>
          <w:bCs/>
        </w:rPr>
        <w:t>.</w:t>
      </w:r>
      <w:r w:rsidRPr="00171E09">
        <w:rPr>
          <w:bCs/>
        </w:rPr>
        <w:t xml:space="preserve"> по програмите, съфинансирани от Европейския фонд за регионално развитие, Европейския социален фонд (вкл</w:t>
      </w:r>
      <w:r>
        <w:rPr>
          <w:bCs/>
        </w:rPr>
        <w:t>.</w:t>
      </w:r>
      <w:r w:rsidRPr="00171E09">
        <w:rPr>
          <w:bCs/>
        </w:rPr>
        <w:t xml:space="preserve"> Инициативата за младежка заетост), Кохезионния фонд на ЕС за финансовата рамка, както </w:t>
      </w:r>
      <w:r>
        <w:rPr>
          <w:bCs/>
        </w:rPr>
        <w:t xml:space="preserve">и </w:t>
      </w:r>
      <w:r w:rsidRPr="00171E09">
        <w:rPr>
          <w:bCs/>
        </w:rPr>
        <w:t>Европейския социален фонд+, ФМ на ЕИП 2014–2021 г., НФМ 2014–2021 г. и Швейцарско-българската програма за сътрудничество (ШБПС), като в тази сума са включени и отразените (нето) в отчетността на НФ операции по постъпването по банковите бюджетни сметки на Министерство</w:t>
      </w:r>
      <w:r>
        <w:rPr>
          <w:bCs/>
        </w:rPr>
        <w:t>то</w:t>
      </w:r>
      <w:r w:rsidRPr="00171E09">
        <w:rPr>
          <w:bCs/>
        </w:rPr>
        <w:t xml:space="preserve"> на регионалното развитие и благоустройството (МРРБ) на чуждото финансиране по двустранните програми за трансгранично сътрудничество по външните граници на EС (ПТСВГ) и изплатените средства от получения ресурс към бенефициенти извън страната.</w:t>
      </w:r>
    </w:p>
    <w:p w14:paraId="17BEAA43" w14:textId="77777777" w:rsidR="00D839CD" w:rsidRPr="00BB649A" w:rsidRDefault="00D839CD" w:rsidP="00247533">
      <w:pPr>
        <w:ind w:firstLine="567"/>
        <w:jc w:val="both"/>
        <w:rPr>
          <w:bCs/>
        </w:rPr>
      </w:pPr>
      <w:r w:rsidRPr="00BB649A">
        <w:rPr>
          <w:bCs/>
        </w:rPr>
        <w:t>Извършените разходи (нето) за периода с натрупване чрез сметките на НФ възлизат на 692</w:t>
      </w:r>
      <w:r>
        <w:rPr>
          <w:bCs/>
        </w:rPr>
        <w:t>,</w:t>
      </w:r>
      <w:r w:rsidRPr="00BB649A">
        <w:rPr>
          <w:bCs/>
        </w:rPr>
        <w:t>1 млн. лева. По видове разходи изпълнението е както следва: 92,13</w:t>
      </w:r>
      <w:r>
        <w:rPr>
          <w:bCs/>
        </w:rPr>
        <w:t xml:space="preserve"> </w:t>
      </w:r>
      <w:r w:rsidRPr="00BB649A">
        <w:rPr>
          <w:bCs/>
        </w:rPr>
        <w:t>% от общата стойност са капиталови трансфери, 7,65</w:t>
      </w:r>
      <w:r>
        <w:rPr>
          <w:bCs/>
        </w:rPr>
        <w:t xml:space="preserve"> </w:t>
      </w:r>
      <w:r w:rsidRPr="00BB649A">
        <w:rPr>
          <w:bCs/>
        </w:rPr>
        <w:t>% са субсидии, 0,22</w:t>
      </w:r>
      <w:r>
        <w:rPr>
          <w:bCs/>
        </w:rPr>
        <w:t xml:space="preserve"> </w:t>
      </w:r>
      <w:r w:rsidRPr="00BB649A">
        <w:rPr>
          <w:bCs/>
        </w:rPr>
        <w:t>% предоставени текущи и капиталови трансфери за чужбина и 0</w:t>
      </w:r>
      <w:r>
        <w:rPr>
          <w:bCs/>
        </w:rPr>
        <w:t>,</w:t>
      </w:r>
      <w:r w:rsidRPr="00BB649A">
        <w:rPr>
          <w:bCs/>
        </w:rPr>
        <w:t>0001</w:t>
      </w:r>
      <w:r>
        <w:rPr>
          <w:bCs/>
        </w:rPr>
        <w:t xml:space="preserve"> </w:t>
      </w:r>
      <w:r w:rsidRPr="00BB649A">
        <w:rPr>
          <w:bCs/>
        </w:rPr>
        <w:t>% - издръжка.</w:t>
      </w:r>
    </w:p>
    <w:p w14:paraId="089680F1" w14:textId="77777777" w:rsidR="00D839CD" w:rsidRPr="00BB649A" w:rsidRDefault="00D839CD" w:rsidP="00247533">
      <w:pPr>
        <w:ind w:firstLine="567"/>
        <w:jc w:val="both"/>
        <w:rPr>
          <w:bCs/>
        </w:rPr>
      </w:pPr>
      <w:r w:rsidRPr="00BB649A">
        <w:rPr>
          <w:bCs/>
        </w:rPr>
        <w:t>Трансферите (нето), временните безлихвени заеми (нето) и временна</w:t>
      </w:r>
      <w:r>
        <w:rPr>
          <w:bCs/>
        </w:rPr>
        <w:t>та</w:t>
      </w:r>
      <w:r w:rsidRPr="00BB649A">
        <w:rPr>
          <w:bCs/>
        </w:rPr>
        <w:t xml:space="preserve"> възмездна финансова помощ за разглеждания период са на стойност 1</w:t>
      </w:r>
      <w:r>
        <w:rPr>
          <w:bCs/>
        </w:rPr>
        <w:t> </w:t>
      </w:r>
      <w:r w:rsidRPr="00BB649A">
        <w:rPr>
          <w:bCs/>
        </w:rPr>
        <w:t>093</w:t>
      </w:r>
      <w:r>
        <w:rPr>
          <w:bCs/>
        </w:rPr>
        <w:t>,</w:t>
      </w:r>
      <w:r w:rsidRPr="00BB649A">
        <w:rPr>
          <w:bCs/>
        </w:rPr>
        <w:t>7 млн. лв. (включват предоставените трансфери към бенефициенти по Оперативните програми (ОП) на ЕС - програмен период 2014 – 2020 г. и програмен период 2021 – 2027 г., ПТСВГ за периода 2014 – 2020 г. и програмен период 2021 – 2027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10DD64A9" w14:textId="77777777" w:rsidR="00D839CD" w:rsidRPr="00BA2749" w:rsidRDefault="00D839CD" w:rsidP="00247533">
      <w:pPr>
        <w:ind w:firstLine="567"/>
        <w:jc w:val="both"/>
        <w:rPr>
          <w:bCs/>
        </w:rPr>
      </w:pPr>
      <w:r w:rsidRPr="00C47952">
        <w:rPr>
          <w:bCs/>
        </w:rPr>
        <w:t xml:space="preserve">Във връзка с изпълнение на програмите и проектите по програмен период 2014 – 2020 г., 2021 – 2027 г., ФМ на ЕИП и НФМ и НПВУ по сметките на НФ са получени трансфери от </w:t>
      </w:r>
      <w:r w:rsidRPr="00BA2749">
        <w:rPr>
          <w:bCs/>
        </w:rPr>
        <w:t>централния бюджет на стойност 408</w:t>
      </w:r>
      <w:r>
        <w:rPr>
          <w:bCs/>
        </w:rPr>
        <w:t>,</w:t>
      </w:r>
      <w:r w:rsidRPr="00BA2749">
        <w:rPr>
          <w:bCs/>
        </w:rPr>
        <w:t>0 млн. лева.</w:t>
      </w:r>
    </w:p>
    <w:p w14:paraId="186B6956" w14:textId="77777777" w:rsidR="00D839CD" w:rsidRPr="00BA2749" w:rsidRDefault="00D839CD" w:rsidP="00247533">
      <w:pPr>
        <w:ind w:firstLine="567"/>
        <w:jc w:val="both"/>
        <w:rPr>
          <w:bCs/>
        </w:rPr>
      </w:pPr>
      <w:r w:rsidRPr="00BA2749">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BA2749">
        <w:rPr>
          <w:bCs/>
        </w:rPr>
        <w:t>5 млн.</w:t>
      </w:r>
      <w:r>
        <w:rPr>
          <w:bCs/>
        </w:rPr>
        <w:t> </w:t>
      </w:r>
      <w:r w:rsidRPr="00BA2749">
        <w:rPr>
          <w:bCs/>
        </w:rPr>
        <w:t>лева.</w:t>
      </w:r>
    </w:p>
    <w:p w14:paraId="6BB4B5B9" w14:textId="77777777" w:rsidR="00D839CD" w:rsidRPr="00AA221B" w:rsidRDefault="00D839CD" w:rsidP="00247533">
      <w:pPr>
        <w:spacing w:before="120"/>
        <w:ind w:firstLine="567"/>
        <w:jc w:val="both"/>
        <w:rPr>
          <w:b/>
          <w:bCs/>
        </w:rPr>
      </w:pPr>
      <w:r w:rsidRPr="00AA221B">
        <w:rPr>
          <w:b/>
          <w:bCs/>
        </w:rPr>
        <w:t>Структурни и Кохезионен фондове (СКФ) 2007 – 2013 г.</w:t>
      </w:r>
    </w:p>
    <w:p w14:paraId="0EAC5DDD" w14:textId="77777777" w:rsidR="00D839CD" w:rsidRPr="00AA221B" w:rsidRDefault="00D839CD" w:rsidP="00247533">
      <w:pPr>
        <w:spacing w:before="120"/>
        <w:ind w:firstLine="567"/>
        <w:jc w:val="both"/>
      </w:pPr>
      <w:r w:rsidRPr="00AA221B">
        <w:rPr>
          <w:bCs/>
        </w:rPr>
        <w:t>През отчетния период са отчетени (нето) възстановени суми от бенефициенти на стойност на 0</w:t>
      </w:r>
      <w:r>
        <w:rPr>
          <w:bCs/>
        </w:rPr>
        <w:t>,</w:t>
      </w:r>
      <w:r w:rsidRPr="00AA221B">
        <w:rPr>
          <w:bCs/>
        </w:rPr>
        <w:t>5 млн. лв. и възстановено</w:t>
      </w:r>
      <w:r w:rsidRPr="00AA221B">
        <w:t xml:space="preserve"> </w:t>
      </w:r>
      <w:r w:rsidRPr="00AA221B">
        <w:rPr>
          <w:bCs/>
        </w:rPr>
        <w:t>авансово финансиране по реда на ДДС</w:t>
      </w:r>
      <w:r>
        <w:rPr>
          <w:bCs/>
        </w:rPr>
        <w:t xml:space="preserve"> </w:t>
      </w:r>
      <w:r w:rsidRPr="00AA221B">
        <w:rPr>
          <w:bCs/>
        </w:rPr>
        <w:t>6/2011 г. в размер на 0</w:t>
      </w:r>
      <w:r>
        <w:rPr>
          <w:bCs/>
        </w:rPr>
        <w:t>,</w:t>
      </w:r>
      <w:r w:rsidRPr="00AA221B">
        <w:rPr>
          <w:bCs/>
        </w:rPr>
        <w:t>7 млн. лева.</w:t>
      </w:r>
    </w:p>
    <w:p w14:paraId="0599B13E" w14:textId="1641728F" w:rsidR="00D839CD" w:rsidRPr="002C3506" w:rsidRDefault="00D839CD" w:rsidP="00554DFD">
      <w:pPr>
        <w:spacing w:before="120"/>
        <w:ind w:firstLine="567"/>
        <w:jc w:val="both"/>
        <w:rPr>
          <w:b/>
          <w:bCs/>
        </w:rPr>
      </w:pPr>
      <w:r w:rsidRPr="002C3506">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743155B6" w14:textId="2682A160" w:rsidR="00D839CD" w:rsidRPr="002C3506" w:rsidRDefault="00D839CD" w:rsidP="00554DFD">
      <w:pPr>
        <w:spacing w:before="120"/>
        <w:ind w:firstLine="567"/>
        <w:jc w:val="both"/>
        <w:rPr>
          <w:bCs/>
        </w:rPr>
      </w:pPr>
      <w:r w:rsidRPr="002C3506">
        <w:rPr>
          <w:bCs/>
        </w:rPr>
        <w:t xml:space="preserve">Общо получените средства (нето) от ЕК за периода са в размер на </w:t>
      </w:r>
      <w:r w:rsidRPr="0041321D">
        <w:rPr>
          <w:bCs/>
          <w:lang w:val="ru-RU"/>
        </w:rPr>
        <w:t>910</w:t>
      </w:r>
      <w:r>
        <w:rPr>
          <w:bCs/>
          <w:lang w:val="ru-RU"/>
        </w:rPr>
        <w:t>,</w:t>
      </w:r>
      <w:r w:rsidRPr="0041321D">
        <w:rPr>
          <w:bCs/>
          <w:lang w:val="ru-RU"/>
        </w:rPr>
        <w:t>6</w:t>
      </w:r>
      <w:r w:rsidRPr="002C3506">
        <w:rPr>
          <w:bCs/>
        </w:rPr>
        <w:t xml:space="preserve"> млн. лв. (вкл. за REACT-EU в размер на </w:t>
      </w:r>
      <w:r w:rsidRPr="0041321D">
        <w:rPr>
          <w:bCs/>
          <w:lang w:val="ru-RU"/>
        </w:rPr>
        <w:t>11</w:t>
      </w:r>
      <w:r>
        <w:rPr>
          <w:bCs/>
          <w:lang w:val="ru-RU"/>
        </w:rPr>
        <w:t>,</w:t>
      </w:r>
      <w:r w:rsidRPr="0041321D">
        <w:rPr>
          <w:bCs/>
          <w:lang w:val="ru-RU"/>
        </w:rPr>
        <w:t>9</w:t>
      </w:r>
      <w:r w:rsidRPr="002C3506">
        <w:rPr>
          <w:bCs/>
        </w:rPr>
        <w:t xml:space="preserve"> млн. лева) и са разпределени както следва:</w:t>
      </w:r>
    </w:p>
    <w:p w14:paraId="23B21E2E" w14:textId="77777777" w:rsidR="00D839CD" w:rsidRPr="002C3506" w:rsidRDefault="00D839CD" w:rsidP="00E86EAF">
      <w:pPr>
        <w:numPr>
          <w:ilvl w:val="0"/>
          <w:numId w:val="10"/>
        </w:numPr>
        <w:tabs>
          <w:tab w:val="clear" w:pos="1101"/>
          <w:tab w:val="num" w:pos="786"/>
        </w:tabs>
        <w:ind w:left="786"/>
        <w:jc w:val="both"/>
        <w:rPr>
          <w:bCs/>
        </w:rPr>
      </w:pPr>
      <w:r w:rsidRPr="002C3506">
        <w:rPr>
          <w:bCs/>
        </w:rPr>
        <w:t xml:space="preserve">ОП „Транспорт и транспортна инфраструктура” – </w:t>
      </w:r>
      <w:r w:rsidRPr="0041321D">
        <w:rPr>
          <w:bCs/>
          <w:lang w:val="ru-RU"/>
        </w:rPr>
        <w:t>312</w:t>
      </w:r>
      <w:r>
        <w:rPr>
          <w:bCs/>
          <w:lang w:val="ru-RU"/>
        </w:rPr>
        <w:t>,</w:t>
      </w:r>
      <w:r w:rsidRPr="0041321D">
        <w:rPr>
          <w:bCs/>
          <w:lang w:val="ru-RU"/>
        </w:rPr>
        <w:t>5</w:t>
      </w:r>
      <w:r w:rsidRPr="002C3506">
        <w:rPr>
          <w:bCs/>
        </w:rPr>
        <w:t xml:space="preserve"> млн. лв.;</w:t>
      </w:r>
    </w:p>
    <w:p w14:paraId="033C9651" w14:textId="77777777" w:rsidR="00D839CD" w:rsidRPr="002C3506" w:rsidRDefault="00D839CD" w:rsidP="00E86EAF">
      <w:pPr>
        <w:numPr>
          <w:ilvl w:val="0"/>
          <w:numId w:val="10"/>
        </w:numPr>
        <w:tabs>
          <w:tab w:val="clear" w:pos="1101"/>
          <w:tab w:val="num" w:pos="786"/>
        </w:tabs>
        <w:ind w:left="786"/>
        <w:jc w:val="both"/>
        <w:rPr>
          <w:bCs/>
        </w:rPr>
      </w:pPr>
      <w:r w:rsidRPr="002C3506">
        <w:rPr>
          <w:bCs/>
        </w:rPr>
        <w:t xml:space="preserve">ОП „Развитие на човешките ресурси 2014 - 2020 г.” – </w:t>
      </w:r>
      <w:r w:rsidRPr="0041321D">
        <w:rPr>
          <w:bCs/>
          <w:lang w:val="ru-RU"/>
        </w:rPr>
        <w:t>15</w:t>
      </w:r>
      <w:r>
        <w:rPr>
          <w:bCs/>
          <w:lang w:val="ru-RU"/>
        </w:rPr>
        <w:t>,</w:t>
      </w:r>
      <w:r w:rsidRPr="0041321D">
        <w:rPr>
          <w:bCs/>
          <w:lang w:val="ru-RU"/>
        </w:rPr>
        <w:t>7</w:t>
      </w:r>
      <w:r w:rsidRPr="002C3506">
        <w:rPr>
          <w:bCs/>
        </w:rPr>
        <w:t xml:space="preserve"> млн. лв.;</w:t>
      </w:r>
    </w:p>
    <w:p w14:paraId="465F5F77" w14:textId="77777777" w:rsidR="00D839CD" w:rsidRPr="002C3506" w:rsidRDefault="00D839CD" w:rsidP="00E86EAF">
      <w:pPr>
        <w:numPr>
          <w:ilvl w:val="0"/>
          <w:numId w:val="10"/>
        </w:numPr>
        <w:tabs>
          <w:tab w:val="clear" w:pos="1101"/>
          <w:tab w:val="num" w:pos="786"/>
        </w:tabs>
        <w:ind w:left="786"/>
        <w:jc w:val="both"/>
        <w:rPr>
          <w:bCs/>
        </w:rPr>
      </w:pPr>
      <w:r w:rsidRPr="002C3506">
        <w:rPr>
          <w:bCs/>
        </w:rPr>
        <w:t>Инициативата за младежка заетост – 9</w:t>
      </w:r>
      <w:r>
        <w:rPr>
          <w:bCs/>
        </w:rPr>
        <w:t>,</w:t>
      </w:r>
      <w:r w:rsidRPr="002C3506">
        <w:rPr>
          <w:bCs/>
        </w:rPr>
        <w:t>2 млн. лв.;</w:t>
      </w:r>
    </w:p>
    <w:p w14:paraId="53DE415B" w14:textId="77777777" w:rsidR="00D839CD" w:rsidRPr="002C3506" w:rsidRDefault="00D839CD" w:rsidP="00E86EAF">
      <w:pPr>
        <w:numPr>
          <w:ilvl w:val="0"/>
          <w:numId w:val="10"/>
        </w:numPr>
        <w:tabs>
          <w:tab w:val="clear" w:pos="1101"/>
          <w:tab w:val="num" w:pos="786"/>
        </w:tabs>
        <w:ind w:left="786"/>
        <w:jc w:val="both"/>
        <w:rPr>
          <w:bCs/>
        </w:rPr>
      </w:pPr>
      <w:r w:rsidRPr="002C3506">
        <w:rPr>
          <w:bCs/>
        </w:rPr>
        <w:t>ОП „Добро управление” – 3</w:t>
      </w:r>
      <w:r w:rsidRPr="0041321D">
        <w:rPr>
          <w:bCs/>
          <w:lang w:val="ru-RU"/>
        </w:rPr>
        <w:t>6</w:t>
      </w:r>
      <w:r>
        <w:rPr>
          <w:bCs/>
          <w:lang w:val="ru-RU"/>
        </w:rPr>
        <w:t>,</w:t>
      </w:r>
      <w:r w:rsidRPr="0041321D">
        <w:rPr>
          <w:bCs/>
          <w:lang w:val="ru-RU"/>
        </w:rPr>
        <w:t>8</w:t>
      </w:r>
      <w:r w:rsidRPr="002C3506">
        <w:rPr>
          <w:bCs/>
        </w:rPr>
        <w:t xml:space="preserve"> млн. лв.;</w:t>
      </w:r>
    </w:p>
    <w:p w14:paraId="107E2AD6" w14:textId="77777777" w:rsidR="00D839CD" w:rsidRPr="002C3506" w:rsidRDefault="00D839CD" w:rsidP="00E86EAF">
      <w:pPr>
        <w:numPr>
          <w:ilvl w:val="0"/>
          <w:numId w:val="10"/>
        </w:numPr>
        <w:tabs>
          <w:tab w:val="clear" w:pos="1101"/>
          <w:tab w:val="num" w:pos="786"/>
        </w:tabs>
        <w:ind w:left="786"/>
        <w:jc w:val="both"/>
        <w:rPr>
          <w:bCs/>
        </w:rPr>
      </w:pPr>
      <w:r w:rsidRPr="002C3506">
        <w:rPr>
          <w:bCs/>
        </w:rPr>
        <w:t xml:space="preserve">ОП „Околна среда 2014 – 2020 г.“ – </w:t>
      </w:r>
      <w:r w:rsidRPr="0041321D">
        <w:rPr>
          <w:bCs/>
          <w:lang w:val="ru-RU"/>
        </w:rPr>
        <w:t>280</w:t>
      </w:r>
      <w:r>
        <w:rPr>
          <w:bCs/>
          <w:lang w:val="ru-RU"/>
        </w:rPr>
        <w:t>,</w:t>
      </w:r>
      <w:r w:rsidRPr="0041321D">
        <w:rPr>
          <w:bCs/>
          <w:lang w:val="ru-RU"/>
        </w:rPr>
        <w:t>2</w:t>
      </w:r>
      <w:r w:rsidRPr="002C3506">
        <w:rPr>
          <w:bCs/>
        </w:rPr>
        <w:t xml:space="preserve"> млн. лв</w:t>
      </w:r>
      <w:r>
        <w:rPr>
          <w:bCs/>
        </w:rPr>
        <w:t>.</w:t>
      </w:r>
      <w:r w:rsidRPr="002C3506">
        <w:rPr>
          <w:bCs/>
        </w:rPr>
        <w:t>;</w:t>
      </w:r>
    </w:p>
    <w:p w14:paraId="533E00FF" w14:textId="77777777" w:rsidR="00D839CD" w:rsidRPr="00A131A6" w:rsidRDefault="00D839CD" w:rsidP="00E86EAF">
      <w:pPr>
        <w:numPr>
          <w:ilvl w:val="0"/>
          <w:numId w:val="10"/>
        </w:numPr>
        <w:tabs>
          <w:tab w:val="clear" w:pos="1101"/>
          <w:tab w:val="num" w:pos="786"/>
        </w:tabs>
        <w:ind w:left="786"/>
        <w:jc w:val="both"/>
        <w:rPr>
          <w:bCs/>
        </w:rPr>
      </w:pPr>
      <w:r w:rsidRPr="00A131A6">
        <w:rPr>
          <w:bCs/>
        </w:rPr>
        <w:t xml:space="preserve">ОП „Иновации и конкурентоспособност” – </w:t>
      </w:r>
      <w:r w:rsidRPr="0041321D">
        <w:rPr>
          <w:bCs/>
          <w:lang w:val="ru-RU"/>
        </w:rPr>
        <w:t>28</w:t>
      </w:r>
      <w:r>
        <w:rPr>
          <w:bCs/>
          <w:lang w:val="ru-RU"/>
        </w:rPr>
        <w:t>,</w:t>
      </w:r>
      <w:r w:rsidRPr="0041321D">
        <w:rPr>
          <w:bCs/>
          <w:lang w:val="ru-RU"/>
        </w:rPr>
        <w:t>9</w:t>
      </w:r>
      <w:r w:rsidRPr="00A131A6">
        <w:rPr>
          <w:bCs/>
        </w:rPr>
        <w:t xml:space="preserve"> млн. лв. (вкл. за REACT-EU в размер на </w:t>
      </w:r>
      <w:r w:rsidRPr="0041321D">
        <w:rPr>
          <w:bCs/>
          <w:lang w:val="ru-RU"/>
        </w:rPr>
        <w:t>2</w:t>
      </w:r>
      <w:r>
        <w:rPr>
          <w:bCs/>
          <w:lang w:val="ru-RU"/>
        </w:rPr>
        <w:t>,</w:t>
      </w:r>
      <w:r w:rsidRPr="0041321D">
        <w:rPr>
          <w:bCs/>
          <w:lang w:val="ru-RU"/>
        </w:rPr>
        <w:t>8</w:t>
      </w:r>
      <w:r w:rsidRPr="00A131A6">
        <w:rPr>
          <w:bCs/>
        </w:rPr>
        <w:t xml:space="preserve"> млн. лева);</w:t>
      </w:r>
    </w:p>
    <w:p w14:paraId="0CB92BC1" w14:textId="77777777" w:rsidR="00D839CD" w:rsidRPr="00A131A6" w:rsidRDefault="00D839CD" w:rsidP="00E86EAF">
      <w:pPr>
        <w:numPr>
          <w:ilvl w:val="0"/>
          <w:numId w:val="10"/>
        </w:numPr>
        <w:tabs>
          <w:tab w:val="clear" w:pos="1101"/>
          <w:tab w:val="num" w:pos="786"/>
        </w:tabs>
        <w:ind w:left="786"/>
        <w:jc w:val="both"/>
        <w:rPr>
          <w:bCs/>
        </w:rPr>
      </w:pPr>
      <w:r w:rsidRPr="00A131A6">
        <w:rPr>
          <w:bCs/>
        </w:rPr>
        <w:t>ОП „Региони в растеж“ – 1</w:t>
      </w:r>
      <w:r w:rsidRPr="0041321D">
        <w:rPr>
          <w:bCs/>
          <w:lang w:val="ru-RU"/>
        </w:rPr>
        <w:t>90</w:t>
      </w:r>
      <w:r>
        <w:rPr>
          <w:bCs/>
          <w:lang w:val="ru-RU"/>
        </w:rPr>
        <w:t>,</w:t>
      </w:r>
      <w:r w:rsidRPr="0041321D">
        <w:rPr>
          <w:bCs/>
          <w:lang w:val="ru-RU"/>
        </w:rPr>
        <w:t>1</w:t>
      </w:r>
      <w:r w:rsidRPr="00A131A6">
        <w:rPr>
          <w:bCs/>
        </w:rPr>
        <w:t xml:space="preserve"> млн. лв. (вкл. за REACT-EU в размер на 9</w:t>
      </w:r>
      <w:r>
        <w:rPr>
          <w:bCs/>
        </w:rPr>
        <w:t>,</w:t>
      </w:r>
      <w:r w:rsidRPr="00A131A6">
        <w:rPr>
          <w:bCs/>
        </w:rPr>
        <w:t>1 млн. лева) и</w:t>
      </w:r>
    </w:p>
    <w:p w14:paraId="36D03AEB" w14:textId="77777777" w:rsidR="00D839CD" w:rsidRPr="00EE31E9" w:rsidRDefault="00D839CD" w:rsidP="00E86EAF">
      <w:pPr>
        <w:numPr>
          <w:ilvl w:val="0"/>
          <w:numId w:val="10"/>
        </w:numPr>
        <w:tabs>
          <w:tab w:val="clear" w:pos="1101"/>
          <w:tab w:val="num" w:pos="786"/>
        </w:tabs>
        <w:ind w:left="786"/>
        <w:jc w:val="both"/>
        <w:rPr>
          <w:bCs/>
        </w:rPr>
      </w:pPr>
      <w:r w:rsidRPr="00EE31E9">
        <w:rPr>
          <w:bCs/>
        </w:rPr>
        <w:t xml:space="preserve">ОП „Наука и образование за интелигентен растеж” – </w:t>
      </w:r>
      <w:r w:rsidRPr="0041321D">
        <w:rPr>
          <w:bCs/>
          <w:lang w:val="ru-RU"/>
        </w:rPr>
        <w:t>37</w:t>
      </w:r>
      <w:r>
        <w:rPr>
          <w:bCs/>
          <w:lang w:val="ru-RU"/>
        </w:rPr>
        <w:t>,</w:t>
      </w:r>
      <w:r w:rsidRPr="0041321D">
        <w:rPr>
          <w:bCs/>
          <w:lang w:val="ru-RU"/>
        </w:rPr>
        <w:t>2</w:t>
      </w:r>
      <w:r w:rsidRPr="00EE31E9">
        <w:rPr>
          <w:bCs/>
        </w:rPr>
        <w:t xml:space="preserve"> млн. лв.</w:t>
      </w:r>
    </w:p>
    <w:p w14:paraId="6D711EDD" w14:textId="1D3809C6" w:rsidR="00D839CD" w:rsidRPr="001D6A23" w:rsidRDefault="00D839CD" w:rsidP="00D839CD">
      <w:pPr>
        <w:spacing w:before="120"/>
        <w:ind w:firstLine="567"/>
        <w:jc w:val="both"/>
        <w:rPr>
          <w:bCs/>
          <w:color w:val="00B0F0"/>
        </w:rPr>
      </w:pPr>
      <w:r w:rsidRPr="007E784D">
        <w:rPr>
          <w:bCs/>
        </w:rPr>
        <w:t xml:space="preserve">Направените разходи (нето) по Оперативни програми и трансферите (нето) към бюджетни организации и операции с активи за периода са на стойност </w:t>
      </w:r>
      <w:r w:rsidRPr="0041321D">
        <w:rPr>
          <w:bCs/>
          <w:lang w:val="ru-RU"/>
        </w:rPr>
        <w:t>820</w:t>
      </w:r>
      <w:r>
        <w:rPr>
          <w:bCs/>
          <w:lang w:val="ru-RU"/>
        </w:rPr>
        <w:t>,</w:t>
      </w:r>
      <w:r w:rsidRPr="0041321D">
        <w:rPr>
          <w:bCs/>
          <w:lang w:val="ru-RU"/>
        </w:rPr>
        <w:t>2</w:t>
      </w:r>
      <w:r w:rsidRPr="007E784D">
        <w:rPr>
          <w:bCs/>
        </w:rPr>
        <w:t xml:space="preserve"> млн. лв. (в тях влизат и извършените разходи по REACT-EU в размер на </w:t>
      </w:r>
      <w:r w:rsidRPr="0041321D">
        <w:rPr>
          <w:bCs/>
          <w:lang w:val="ru-RU"/>
        </w:rPr>
        <w:t>33</w:t>
      </w:r>
      <w:r>
        <w:rPr>
          <w:bCs/>
          <w:lang w:val="ru-RU"/>
        </w:rPr>
        <w:t>,</w:t>
      </w:r>
      <w:r w:rsidRPr="0041321D">
        <w:rPr>
          <w:bCs/>
          <w:lang w:val="ru-RU"/>
        </w:rPr>
        <w:t>8</w:t>
      </w:r>
      <w:r w:rsidRPr="007E784D">
        <w:rPr>
          <w:bCs/>
        </w:rPr>
        <w:t xml:space="preserve"> млн. лева), като разпределението по Оперативни програми е следното:</w:t>
      </w:r>
    </w:p>
    <w:p w14:paraId="27B9E7CB" w14:textId="77777777" w:rsidR="00D839CD" w:rsidRPr="00543465" w:rsidRDefault="00D839CD" w:rsidP="00E86EAF">
      <w:pPr>
        <w:numPr>
          <w:ilvl w:val="0"/>
          <w:numId w:val="10"/>
        </w:numPr>
        <w:tabs>
          <w:tab w:val="clear" w:pos="1101"/>
          <w:tab w:val="num" w:pos="786"/>
        </w:tabs>
        <w:ind w:left="786"/>
        <w:jc w:val="both"/>
        <w:rPr>
          <w:bCs/>
        </w:rPr>
      </w:pPr>
      <w:r w:rsidRPr="00543465">
        <w:rPr>
          <w:bCs/>
        </w:rPr>
        <w:t xml:space="preserve">ОП „Развитие на човешките ресурси 2014 - 2020 г.” – </w:t>
      </w:r>
      <w:r w:rsidRPr="0041321D">
        <w:rPr>
          <w:bCs/>
          <w:lang w:val="ru-RU"/>
        </w:rPr>
        <w:t>118</w:t>
      </w:r>
      <w:r>
        <w:rPr>
          <w:bCs/>
          <w:lang w:val="ru-RU"/>
        </w:rPr>
        <w:t>,</w:t>
      </w:r>
      <w:r w:rsidRPr="0041321D">
        <w:rPr>
          <w:bCs/>
          <w:lang w:val="ru-RU"/>
        </w:rPr>
        <w:t>2</w:t>
      </w:r>
      <w:r w:rsidRPr="00543465">
        <w:rPr>
          <w:bCs/>
        </w:rPr>
        <w:t xml:space="preserve"> млн. лв.</w:t>
      </w:r>
      <w:r w:rsidRPr="00543465">
        <w:t xml:space="preserve"> </w:t>
      </w:r>
      <w:r w:rsidRPr="00543465">
        <w:rPr>
          <w:bCs/>
        </w:rPr>
        <w:t>(вкл. за REACT-EU в размер на 5</w:t>
      </w:r>
      <w:r>
        <w:rPr>
          <w:bCs/>
        </w:rPr>
        <w:t>,</w:t>
      </w:r>
      <w:r w:rsidRPr="002426A2">
        <w:rPr>
          <w:bCs/>
          <w:lang w:val="ru-RU"/>
        </w:rPr>
        <w:t>1</w:t>
      </w:r>
      <w:r w:rsidRPr="00543465">
        <w:rPr>
          <w:bCs/>
        </w:rPr>
        <w:t xml:space="preserve"> млн. лева);</w:t>
      </w:r>
    </w:p>
    <w:p w14:paraId="21FE129E" w14:textId="77777777" w:rsidR="00D839CD" w:rsidRDefault="00D839CD" w:rsidP="00E86EAF">
      <w:pPr>
        <w:numPr>
          <w:ilvl w:val="0"/>
          <w:numId w:val="10"/>
        </w:numPr>
        <w:tabs>
          <w:tab w:val="clear" w:pos="1101"/>
          <w:tab w:val="num" w:pos="786"/>
        </w:tabs>
        <w:ind w:left="786"/>
        <w:jc w:val="both"/>
        <w:rPr>
          <w:bCs/>
        </w:rPr>
      </w:pPr>
      <w:r w:rsidRPr="00543465">
        <w:rPr>
          <w:bCs/>
        </w:rPr>
        <w:t>Инициативата за младежка заетост –</w:t>
      </w:r>
      <w:r w:rsidRPr="0041321D">
        <w:rPr>
          <w:bCs/>
          <w:lang w:val="ru-RU"/>
        </w:rPr>
        <w:t xml:space="preserve"> 4</w:t>
      </w:r>
      <w:r>
        <w:rPr>
          <w:bCs/>
          <w:lang w:val="ru-RU"/>
        </w:rPr>
        <w:t>,</w:t>
      </w:r>
      <w:r w:rsidRPr="0041321D">
        <w:rPr>
          <w:bCs/>
          <w:lang w:val="ru-RU"/>
        </w:rPr>
        <w:t>5</w:t>
      </w:r>
      <w:r w:rsidRPr="00543465">
        <w:rPr>
          <w:bCs/>
        </w:rPr>
        <w:t xml:space="preserve"> млн. лв.;</w:t>
      </w:r>
    </w:p>
    <w:p w14:paraId="2B1CEFE5" w14:textId="77777777" w:rsidR="00D839CD" w:rsidRPr="00543465" w:rsidRDefault="00D839CD" w:rsidP="00E86EAF">
      <w:pPr>
        <w:numPr>
          <w:ilvl w:val="0"/>
          <w:numId w:val="10"/>
        </w:numPr>
        <w:tabs>
          <w:tab w:val="clear" w:pos="1101"/>
          <w:tab w:val="num" w:pos="786"/>
        </w:tabs>
        <w:ind w:left="786"/>
        <w:jc w:val="both"/>
        <w:rPr>
          <w:bCs/>
        </w:rPr>
      </w:pPr>
      <w:r w:rsidRPr="00543465">
        <w:rPr>
          <w:bCs/>
        </w:rPr>
        <w:t>ФЕПН</w:t>
      </w:r>
      <w:r>
        <w:rPr>
          <w:bCs/>
        </w:rPr>
        <w:t>Л</w:t>
      </w:r>
      <w:r w:rsidRPr="00543465">
        <w:rPr>
          <w:bCs/>
        </w:rPr>
        <w:t xml:space="preserve"> 2014-2020</w:t>
      </w:r>
      <w:r>
        <w:rPr>
          <w:bCs/>
        </w:rPr>
        <w:t xml:space="preserve"> – </w:t>
      </w:r>
      <w:r w:rsidRPr="003F59B7">
        <w:rPr>
          <w:bCs/>
        </w:rPr>
        <w:t>възстановени средства от бенефициенти</w:t>
      </w:r>
      <w:r>
        <w:rPr>
          <w:bCs/>
        </w:rPr>
        <w:t xml:space="preserve"> в размер на </w:t>
      </w:r>
      <w:r w:rsidRPr="002426A2">
        <w:rPr>
          <w:bCs/>
        </w:rPr>
        <w:t>– 0,01 млн. лв.;</w:t>
      </w:r>
    </w:p>
    <w:p w14:paraId="102BFC63" w14:textId="77777777" w:rsidR="00D839CD" w:rsidRPr="003F59B7" w:rsidRDefault="00D839CD" w:rsidP="00E86EAF">
      <w:pPr>
        <w:numPr>
          <w:ilvl w:val="0"/>
          <w:numId w:val="10"/>
        </w:numPr>
        <w:tabs>
          <w:tab w:val="clear" w:pos="1101"/>
          <w:tab w:val="num" w:pos="786"/>
        </w:tabs>
        <w:ind w:left="786"/>
        <w:jc w:val="both"/>
        <w:rPr>
          <w:bCs/>
        </w:rPr>
      </w:pPr>
      <w:r w:rsidRPr="003F59B7">
        <w:rPr>
          <w:bCs/>
        </w:rPr>
        <w:t>ОП „Иновации и конкурентоспособност” – 43</w:t>
      </w:r>
      <w:r>
        <w:rPr>
          <w:bCs/>
        </w:rPr>
        <w:t>,</w:t>
      </w:r>
      <w:r w:rsidRPr="0041321D">
        <w:rPr>
          <w:bCs/>
          <w:lang w:val="ru-RU"/>
        </w:rPr>
        <w:t>8</w:t>
      </w:r>
      <w:r w:rsidRPr="003F59B7">
        <w:rPr>
          <w:bCs/>
        </w:rPr>
        <w:t xml:space="preserve"> млн. лв. (вкл. за REACT-EU в размер на </w:t>
      </w:r>
      <w:r w:rsidRPr="0041321D">
        <w:rPr>
          <w:bCs/>
          <w:lang w:val="ru-RU"/>
        </w:rPr>
        <w:t>3</w:t>
      </w:r>
      <w:r>
        <w:rPr>
          <w:bCs/>
          <w:lang w:val="ru-RU"/>
        </w:rPr>
        <w:t>,</w:t>
      </w:r>
      <w:r w:rsidRPr="0041321D">
        <w:rPr>
          <w:bCs/>
          <w:lang w:val="ru-RU"/>
        </w:rPr>
        <w:t>3</w:t>
      </w:r>
      <w:r w:rsidRPr="003F59B7">
        <w:rPr>
          <w:bCs/>
        </w:rPr>
        <w:t xml:space="preserve"> млн. лева);</w:t>
      </w:r>
    </w:p>
    <w:p w14:paraId="027E0D6D" w14:textId="77777777" w:rsidR="00D839CD" w:rsidRPr="00891612" w:rsidRDefault="00D839CD" w:rsidP="00E86EAF">
      <w:pPr>
        <w:numPr>
          <w:ilvl w:val="0"/>
          <w:numId w:val="10"/>
        </w:numPr>
        <w:tabs>
          <w:tab w:val="clear" w:pos="1101"/>
          <w:tab w:val="num" w:pos="786"/>
        </w:tabs>
        <w:ind w:left="786"/>
        <w:jc w:val="both"/>
        <w:rPr>
          <w:bCs/>
        </w:rPr>
      </w:pPr>
      <w:r w:rsidRPr="00891612">
        <w:rPr>
          <w:bCs/>
        </w:rPr>
        <w:t>ОП „Добро управление” – 33</w:t>
      </w:r>
      <w:r>
        <w:rPr>
          <w:bCs/>
        </w:rPr>
        <w:t>,</w:t>
      </w:r>
      <w:r w:rsidRPr="00891612">
        <w:rPr>
          <w:bCs/>
        </w:rPr>
        <w:t>0 млн. лв.;</w:t>
      </w:r>
    </w:p>
    <w:p w14:paraId="38D5CF90" w14:textId="77777777" w:rsidR="00D839CD" w:rsidRPr="00DE66A2" w:rsidRDefault="00D839CD" w:rsidP="00E86EAF">
      <w:pPr>
        <w:numPr>
          <w:ilvl w:val="0"/>
          <w:numId w:val="10"/>
        </w:numPr>
        <w:tabs>
          <w:tab w:val="clear" w:pos="1101"/>
          <w:tab w:val="num" w:pos="786"/>
        </w:tabs>
        <w:ind w:left="786"/>
        <w:jc w:val="both"/>
        <w:rPr>
          <w:bCs/>
        </w:rPr>
      </w:pPr>
      <w:r w:rsidRPr="00DE66A2">
        <w:rPr>
          <w:bCs/>
        </w:rPr>
        <w:t>ОП „Региони в растеж“ – 17</w:t>
      </w:r>
      <w:r w:rsidRPr="0041321D">
        <w:rPr>
          <w:bCs/>
          <w:lang w:val="ru-RU"/>
        </w:rPr>
        <w:t>3</w:t>
      </w:r>
      <w:r>
        <w:rPr>
          <w:bCs/>
          <w:lang w:val="ru-RU"/>
        </w:rPr>
        <w:t>,</w:t>
      </w:r>
      <w:r w:rsidRPr="00DE66A2">
        <w:rPr>
          <w:bCs/>
        </w:rPr>
        <w:t>0 млн. лв.</w:t>
      </w:r>
      <w:r w:rsidRPr="0041321D">
        <w:rPr>
          <w:bCs/>
          <w:lang w:val="ru-RU"/>
        </w:rPr>
        <w:t xml:space="preserve"> </w:t>
      </w:r>
      <w:r w:rsidRPr="00DE66A2">
        <w:rPr>
          <w:bCs/>
        </w:rPr>
        <w:t>(вкл. за REACT-EU в размер на 25</w:t>
      </w:r>
      <w:r>
        <w:rPr>
          <w:bCs/>
        </w:rPr>
        <w:t>,</w:t>
      </w:r>
      <w:r w:rsidRPr="00DE66A2">
        <w:rPr>
          <w:bCs/>
        </w:rPr>
        <w:t>4 млн. лева);</w:t>
      </w:r>
    </w:p>
    <w:p w14:paraId="7D888D4B" w14:textId="77777777" w:rsidR="00D839CD" w:rsidRPr="002E3CC8" w:rsidRDefault="00D839CD" w:rsidP="00E86EAF">
      <w:pPr>
        <w:numPr>
          <w:ilvl w:val="0"/>
          <w:numId w:val="10"/>
        </w:numPr>
        <w:tabs>
          <w:tab w:val="clear" w:pos="1101"/>
          <w:tab w:val="num" w:pos="786"/>
        </w:tabs>
        <w:ind w:left="786"/>
        <w:jc w:val="both"/>
        <w:rPr>
          <w:bCs/>
        </w:rPr>
      </w:pPr>
      <w:r w:rsidRPr="002E3CC8">
        <w:rPr>
          <w:bCs/>
        </w:rPr>
        <w:t>ОП „Транспорт и транспортна инфраструктура” – 125</w:t>
      </w:r>
      <w:r>
        <w:rPr>
          <w:bCs/>
        </w:rPr>
        <w:t>,1</w:t>
      </w:r>
      <w:r w:rsidRPr="002E3CC8">
        <w:rPr>
          <w:bCs/>
        </w:rPr>
        <w:t xml:space="preserve"> млн. лв.;</w:t>
      </w:r>
    </w:p>
    <w:p w14:paraId="7AA1801C" w14:textId="77777777" w:rsidR="00D839CD" w:rsidRPr="00891612" w:rsidRDefault="00D839CD" w:rsidP="00E86EAF">
      <w:pPr>
        <w:numPr>
          <w:ilvl w:val="0"/>
          <w:numId w:val="10"/>
        </w:numPr>
        <w:tabs>
          <w:tab w:val="clear" w:pos="1101"/>
          <w:tab w:val="num" w:pos="786"/>
        </w:tabs>
        <w:ind w:left="786"/>
        <w:jc w:val="both"/>
        <w:rPr>
          <w:bCs/>
        </w:rPr>
      </w:pPr>
      <w:r w:rsidRPr="00891612">
        <w:rPr>
          <w:bCs/>
        </w:rPr>
        <w:t>ОП „Наука и образование за интелигентен растеж” – 59</w:t>
      </w:r>
      <w:r>
        <w:rPr>
          <w:bCs/>
        </w:rPr>
        <w:t>,</w:t>
      </w:r>
      <w:r w:rsidRPr="00891612">
        <w:rPr>
          <w:bCs/>
        </w:rPr>
        <w:t>6 млн. лв. (вкл. възстановени средства от бенефициенти по REACT-EU в размер на 0</w:t>
      </w:r>
      <w:r>
        <w:rPr>
          <w:bCs/>
        </w:rPr>
        <w:t>,</w:t>
      </w:r>
      <w:r w:rsidRPr="00891612">
        <w:rPr>
          <w:bCs/>
        </w:rPr>
        <w:t>03 млн. лева) и</w:t>
      </w:r>
    </w:p>
    <w:p w14:paraId="20BCBAC5" w14:textId="77777777" w:rsidR="00D839CD" w:rsidRPr="00DE66A2" w:rsidRDefault="00D839CD" w:rsidP="00E86EAF">
      <w:pPr>
        <w:numPr>
          <w:ilvl w:val="0"/>
          <w:numId w:val="10"/>
        </w:numPr>
        <w:tabs>
          <w:tab w:val="clear" w:pos="1101"/>
          <w:tab w:val="num" w:pos="786"/>
        </w:tabs>
        <w:ind w:left="786"/>
        <w:jc w:val="both"/>
        <w:rPr>
          <w:bCs/>
        </w:rPr>
      </w:pPr>
      <w:r w:rsidRPr="00DE66A2">
        <w:rPr>
          <w:bCs/>
        </w:rPr>
        <w:t>ОП „Околна среда 2014 – 2020 г.“ – 263</w:t>
      </w:r>
      <w:r>
        <w:rPr>
          <w:bCs/>
        </w:rPr>
        <w:t>,</w:t>
      </w:r>
      <w:r w:rsidRPr="00DE66A2">
        <w:rPr>
          <w:bCs/>
        </w:rPr>
        <w:t>0 млн. лв.</w:t>
      </w:r>
    </w:p>
    <w:p w14:paraId="0355D024" w14:textId="77777777" w:rsidR="00D839CD" w:rsidRPr="001B5CB9" w:rsidRDefault="00D839CD" w:rsidP="00D839CD">
      <w:pPr>
        <w:spacing w:before="120"/>
        <w:ind w:firstLine="567"/>
        <w:jc w:val="both"/>
        <w:rPr>
          <w:bCs/>
        </w:rPr>
      </w:pPr>
      <w:r w:rsidRPr="001B5CB9">
        <w:t>Възстановеното авансово финансиране по реда на ДДС</w:t>
      </w:r>
      <w:r>
        <w:t xml:space="preserve"> </w:t>
      </w:r>
      <w:r w:rsidRPr="001B5CB9">
        <w:t>6/2011 г. е в размер на 383</w:t>
      </w:r>
      <w:r>
        <w:t>,</w:t>
      </w:r>
      <w:r w:rsidRPr="001B5CB9">
        <w:t>9 млн. лева, в т.ч. възстановена възмездна финансова помощ по ОПТТИ и ОПОС.</w:t>
      </w:r>
    </w:p>
    <w:p w14:paraId="0E1EADE1" w14:textId="77777777" w:rsidR="00D839CD" w:rsidRPr="002C3506" w:rsidRDefault="00D839CD" w:rsidP="00D839CD">
      <w:pPr>
        <w:ind w:firstLine="567"/>
        <w:jc w:val="both"/>
        <w:rPr>
          <w:bCs/>
        </w:rPr>
      </w:pPr>
      <w:r w:rsidRPr="002C3506">
        <w:rPr>
          <w:bCs/>
        </w:rPr>
        <w:t>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76</w:t>
      </w:r>
      <w:r>
        <w:rPr>
          <w:bCs/>
        </w:rPr>
        <w:t>,</w:t>
      </w:r>
      <w:r w:rsidRPr="002C3506">
        <w:rPr>
          <w:bCs/>
        </w:rPr>
        <w:t>9 млн. лева.</w:t>
      </w:r>
    </w:p>
    <w:p w14:paraId="4A013813" w14:textId="77777777" w:rsidR="00D839CD" w:rsidRDefault="00D839CD" w:rsidP="00D839CD">
      <w:pPr>
        <w:spacing w:before="120"/>
        <w:ind w:firstLine="567"/>
        <w:jc w:val="both"/>
        <w:rPr>
          <w:b/>
          <w:bCs/>
        </w:rPr>
      </w:pPr>
      <w:r w:rsidRPr="00923C26">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14:paraId="2BD1189B" w14:textId="77777777" w:rsidR="00D839CD" w:rsidRPr="002426A2" w:rsidRDefault="00D839CD" w:rsidP="00D839CD">
      <w:pPr>
        <w:spacing w:before="120"/>
        <w:ind w:firstLine="567"/>
        <w:jc w:val="both"/>
        <w:rPr>
          <w:b/>
          <w:bCs/>
        </w:rPr>
      </w:pPr>
      <w:r w:rsidRPr="00923C26">
        <w:rPr>
          <w:bCs/>
        </w:rPr>
        <w:t>Получените средства (нето) от Е</w:t>
      </w:r>
      <w:r>
        <w:rPr>
          <w:bCs/>
        </w:rPr>
        <w:t>К за периода са в размер на 743,</w:t>
      </w:r>
      <w:r w:rsidRPr="00923C26">
        <w:rPr>
          <w:bCs/>
        </w:rPr>
        <w:t>7 млн. л</w:t>
      </w:r>
      <w:r>
        <w:rPr>
          <w:bCs/>
        </w:rPr>
        <w:t>е</w:t>
      </w:r>
      <w:r w:rsidRPr="00923C26">
        <w:rPr>
          <w:bCs/>
        </w:rPr>
        <w:t>в</w:t>
      </w:r>
      <w:r>
        <w:rPr>
          <w:bCs/>
        </w:rPr>
        <w:t>а</w:t>
      </w:r>
      <w:r w:rsidRPr="00923C26">
        <w:rPr>
          <w:bCs/>
        </w:rPr>
        <w:t>.</w:t>
      </w:r>
    </w:p>
    <w:p w14:paraId="0FA9B4C6" w14:textId="77777777" w:rsidR="00D839CD" w:rsidRPr="00923C26" w:rsidRDefault="00D839CD" w:rsidP="00D839CD">
      <w:pPr>
        <w:ind w:firstLine="567"/>
        <w:jc w:val="both"/>
        <w:rPr>
          <w:bCs/>
        </w:rPr>
      </w:pPr>
      <w:r w:rsidRPr="00923C26">
        <w:rPr>
          <w:bCs/>
        </w:rPr>
        <w:t>Направените разходи (нето) за периода са в размер на 509</w:t>
      </w:r>
      <w:r>
        <w:rPr>
          <w:bCs/>
        </w:rPr>
        <w:t>,</w:t>
      </w:r>
      <w:r w:rsidRPr="00923C26">
        <w:rPr>
          <w:bCs/>
        </w:rPr>
        <w:t>7 млн. лв. и са разпределени както следва:</w:t>
      </w:r>
    </w:p>
    <w:p w14:paraId="7C88C7D3" w14:textId="77777777" w:rsidR="00D839CD" w:rsidRPr="00923C26" w:rsidRDefault="00D839CD" w:rsidP="00E86EAF">
      <w:pPr>
        <w:numPr>
          <w:ilvl w:val="0"/>
          <w:numId w:val="10"/>
        </w:numPr>
        <w:tabs>
          <w:tab w:val="clear" w:pos="1101"/>
          <w:tab w:val="num" w:pos="786"/>
        </w:tabs>
        <w:ind w:left="786"/>
        <w:jc w:val="both"/>
        <w:rPr>
          <w:bCs/>
        </w:rPr>
      </w:pPr>
      <w:r w:rsidRPr="00923C26">
        <w:rPr>
          <w:bCs/>
        </w:rPr>
        <w:t>Програма „Развитие на човешките ресурси” 2021-2027 г. – 139</w:t>
      </w:r>
      <w:r>
        <w:rPr>
          <w:bCs/>
        </w:rPr>
        <w:t>,</w:t>
      </w:r>
      <w:r w:rsidRPr="00923C26">
        <w:rPr>
          <w:bCs/>
        </w:rPr>
        <w:t xml:space="preserve">8 млн. лв.;  </w:t>
      </w:r>
    </w:p>
    <w:p w14:paraId="2666D6D3" w14:textId="77777777" w:rsidR="00D839CD" w:rsidRPr="009268CB" w:rsidRDefault="00D839CD" w:rsidP="00E86EAF">
      <w:pPr>
        <w:numPr>
          <w:ilvl w:val="0"/>
          <w:numId w:val="10"/>
        </w:numPr>
        <w:tabs>
          <w:tab w:val="clear" w:pos="1101"/>
          <w:tab w:val="num" w:pos="786"/>
        </w:tabs>
        <w:ind w:left="786"/>
        <w:jc w:val="both"/>
        <w:rPr>
          <w:bCs/>
        </w:rPr>
      </w:pPr>
      <w:r w:rsidRPr="00923C26">
        <w:rPr>
          <w:bCs/>
        </w:rPr>
        <w:t xml:space="preserve">Програма „Храни и </w:t>
      </w:r>
      <w:r w:rsidRPr="009268CB">
        <w:rPr>
          <w:bCs/>
        </w:rPr>
        <w:t>основно материално подпомагане” 2021-2027 г. – 78</w:t>
      </w:r>
      <w:r>
        <w:rPr>
          <w:bCs/>
        </w:rPr>
        <w:t>,</w:t>
      </w:r>
      <w:r w:rsidRPr="009268CB">
        <w:rPr>
          <w:bCs/>
        </w:rPr>
        <w:t>0 млн. лв.;</w:t>
      </w:r>
    </w:p>
    <w:p w14:paraId="524C2927" w14:textId="77777777" w:rsidR="00D839CD" w:rsidRPr="009268CB" w:rsidRDefault="00D839CD" w:rsidP="00E86EAF">
      <w:pPr>
        <w:numPr>
          <w:ilvl w:val="0"/>
          <w:numId w:val="10"/>
        </w:numPr>
        <w:tabs>
          <w:tab w:val="clear" w:pos="1101"/>
          <w:tab w:val="num" w:pos="786"/>
        </w:tabs>
        <w:ind w:left="786"/>
        <w:jc w:val="both"/>
        <w:rPr>
          <w:bCs/>
        </w:rPr>
      </w:pPr>
      <w:r w:rsidRPr="009268CB">
        <w:rPr>
          <w:bCs/>
        </w:rPr>
        <w:t>Програма „Образование” 2021-2027 г. – 49</w:t>
      </w:r>
      <w:r>
        <w:rPr>
          <w:bCs/>
        </w:rPr>
        <w:t>,</w:t>
      </w:r>
      <w:r w:rsidRPr="009268CB">
        <w:rPr>
          <w:bCs/>
        </w:rPr>
        <w:t>6 млн. лв.;</w:t>
      </w:r>
    </w:p>
    <w:p w14:paraId="4ED3A877" w14:textId="77777777" w:rsidR="00D839CD" w:rsidRPr="0087381C" w:rsidRDefault="00D839CD" w:rsidP="00E86EAF">
      <w:pPr>
        <w:numPr>
          <w:ilvl w:val="0"/>
          <w:numId w:val="10"/>
        </w:numPr>
        <w:tabs>
          <w:tab w:val="clear" w:pos="1101"/>
          <w:tab w:val="num" w:pos="786"/>
        </w:tabs>
        <w:ind w:left="786"/>
        <w:jc w:val="both"/>
        <w:rPr>
          <w:bCs/>
        </w:rPr>
      </w:pPr>
      <w:r w:rsidRPr="0087381C">
        <w:rPr>
          <w:bCs/>
        </w:rPr>
        <w:t>Програма „Околна среда“ 2021-2027 г. – 122</w:t>
      </w:r>
      <w:r>
        <w:rPr>
          <w:bCs/>
        </w:rPr>
        <w:t>,0</w:t>
      </w:r>
      <w:r w:rsidRPr="0087381C">
        <w:rPr>
          <w:bCs/>
        </w:rPr>
        <w:t xml:space="preserve"> млн. лв.;</w:t>
      </w:r>
    </w:p>
    <w:p w14:paraId="28F2BB44" w14:textId="77777777" w:rsidR="00D839CD" w:rsidRPr="0087381C" w:rsidRDefault="00D839CD" w:rsidP="00E86EAF">
      <w:pPr>
        <w:numPr>
          <w:ilvl w:val="0"/>
          <w:numId w:val="10"/>
        </w:numPr>
        <w:tabs>
          <w:tab w:val="clear" w:pos="1101"/>
          <w:tab w:val="num" w:pos="786"/>
        </w:tabs>
        <w:ind w:left="786"/>
        <w:jc w:val="both"/>
        <w:rPr>
          <w:bCs/>
        </w:rPr>
      </w:pPr>
      <w:r w:rsidRPr="0087381C">
        <w:rPr>
          <w:bCs/>
        </w:rPr>
        <w:t>Програма „Техническа помощ“ – 7</w:t>
      </w:r>
      <w:r>
        <w:rPr>
          <w:bCs/>
        </w:rPr>
        <w:t>,</w:t>
      </w:r>
      <w:r w:rsidRPr="0087381C">
        <w:rPr>
          <w:bCs/>
        </w:rPr>
        <w:t>4 млн. лв.;</w:t>
      </w:r>
    </w:p>
    <w:p w14:paraId="0306F7F9" w14:textId="77777777" w:rsidR="00D839CD" w:rsidRPr="0087381C" w:rsidRDefault="00D839CD" w:rsidP="00E86EAF">
      <w:pPr>
        <w:numPr>
          <w:ilvl w:val="0"/>
          <w:numId w:val="10"/>
        </w:numPr>
        <w:tabs>
          <w:tab w:val="clear" w:pos="1101"/>
          <w:tab w:val="num" w:pos="786"/>
        </w:tabs>
        <w:ind w:left="786"/>
        <w:jc w:val="both"/>
        <w:rPr>
          <w:bCs/>
        </w:rPr>
      </w:pPr>
      <w:r w:rsidRPr="0087381C">
        <w:rPr>
          <w:bCs/>
        </w:rPr>
        <w:t>Програма „Конкурентоспособност и иновации в предприятията“ 2021 2027 г. – 14</w:t>
      </w:r>
      <w:r>
        <w:rPr>
          <w:bCs/>
        </w:rPr>
        <w:t>,</w:t>
      </w:r>
      <w:r w:rsidRPr="0087381C">
        <w:rPr>
          <w:bCs/>
        </w:rPr>
        <w:t>1 млн.</w:t>
      </w:r>
      <w:r>
        <w:rPr>
          <w:bCs/>
        </w:rPr>
        <w:t> </w:t>
      </w:r>
      <w:r w:rsidRPr="0087381C">
        <w:rPr>
          <w:bCs/>
        </w:rPr>
        <w:t>лв.;</w:t>
      </w:r>
    </w:p>
    <w:p w14:paraId="3D63BDE2" w14:textId="77777777" w:rsidR="00D839CD" w:rsidRPr="00223594" w:rsidRDefault="00D839CD" w:rsidP="00E86EAF">
      <w:pPr>
        <w:numPr>
          <w:ilvl w:val="0"/>
          <w:numId w:val="10"/>
        </w:numPr>
        <w:tabs>
          <w:tab w:val="clear" w:pos="1101"/>
          <w:tab w:val="num" w:pos="786"/>
        </w:tabs>
        <w:ind w:left="786"/>
        <w:jc w:val="both"/>
        <w:rPr>
          <w:bCs/>
        </w:rPr>
      </w:pPr>
      <w:r w:rsidRPr="00223594">
        <w:rPr>
          <w:bCs/>
        </w:rPr>
        <w:t>Програма „Развитие на регионите“ 2021</w:t>
      </w:r>
      <w:r>
        <w:rPr>
          <w:bCs/>
        </w:rPr>
        <w:t xml:space="preserve"> -</w:t>
      </w:r>
      <w:r w:rsidRPr="00223594">
        <w:rPr>
          <w:bCs/>
        </w:rPr>
        <w:t xml:space="preserve"> 2027 г. – 0</w:t>
      </w:r>
      <w:r>
        <w:rPr>
          <w:bCs/>
        </w:rPr>
        <w:t>,</w:t>
      </w:r>
      <w:r w:rsidRPr="00223594">
        <w:rPr>
          <w:bCs/>
        </w:rPr>
        <w:t>3 млн. лв.;</w:t>
      </w:r>
    </w:p>
    <w:p w14:paraId="36786A4F" w14:textId="77777777" w:rsidR="00D839CD" w:rsidRPr="00223594" w:rsidRDefault="00D839CD" w:rsidP="00E86EAF">
      <w:pPr>
        <w:numPr>
          <w:ilvl w:val="0"/>
          <w:numId w:val="10"/>
        </w:numPr>
        <w:tabs>
          <w:tab w:val="clear" w:pos="1101"/>
          <w:tab w:val="num" w:pos="786"/>
        </w:tabs>
        <w:ind w:left="786"/>
        <w:jc w:val="both"/>
        <w:rPr>
          <w:bCs/>
        </w:rPr>
      </w:pPr>
      <w:r w:rsidRPr="00223594">
        <w:rPr>
          <w:bCs/>
        </w:rPr>
        <w:t>Фонд за справедлив преход – 7</w:t>
      </w:r>
      <w:r>
        <w:rPr>
          <w:bCs/>
        </w:rPr>
        <w:t>,</w:t>
      </w:r>
      <w:r w:rsidRPr="00223594">
        <w:rPr>
          <w:bCs/>
        </w:rPr>
        <w:t>7 млн. лв.;</w:t>
      </w:r>
    </w:p>
    <w:p w14:paraId="4493360F" w14:textId="77777777" w:rsidR="00D839CD" w:rsidRPr="00223594" w:rsidRDefault="00D839CD" w:rsidP="00E86EAF">
      <w:pPr>
        <w:numPr>
          <w:ilvl w:val="0"/>
          <w:numId w:val="10"/>
        </w:numPr>
        <w:tabs>
          <w:tab w:val="clear" w:pos="1101"/>
          <w:tab w:val="num" w:pos="786"/>
        </w:tabs>
        <w:ind w:left="786"/>
        <w:jc w:val="both"/>
        <w:rPr>
          <w:bCs/>
        </w:rPr>
      </w:pPr>
      <w:r w:rsidRPr="00223594">
        <w:rPr>
          <w:bCs/>
        </w:rPr>
        <w:t>Програма „Научни изследвания, иновации и дигитализация за интелигентна трансформация“ 2021</w:t>
      </w:r>
      <w:r>
        <w:rPr>
          <w:bCs/>
        </w:rPr>
        <w:t xml:space="preserve"> -</w:t>
      </w:r>
      <w:r w:rsidRPr="00223594">
        <w:rPr>
          <w:bCs/>
        </w:rPr>
        <w:t xml:space="preserve"> 2027 г. – 14</w:t>
      </w:r>
      <w:r>
        <w:rPr>
          <w:bCs/>
        </w:rPr>
        <w:t>,</w:t>
      </w:r>
      <w:r w:rsidRPr="00223594">
        <w:rPr>
          <w:bCs/>
        </w:rPr>
        <w:t>4 млн. лв. и</w:t>
      </w:r>
    </w:p>
    <w:p w14:paraId="5E8DC3BA" w14:textId="77777777" w:rsidR="00D839CD" w:rsidRDefault="00D839CD" w:rsidP="00E86EAF">
      <w:pPr>
        <w:numPr>
          <w:ilvl w:val="0"/>
          <w:numId w:val="10"/>
        </w:numPr>
        <w:tabs>
          <w:tab w:val="clear" w:pos="1101"/>
          <w:tab w:val="num" w:pos="786"/>
        </w:tabs>
        <w:ind w:left="786"/>
        <w:jc w:val="both"/>
        <w:rPr>
          <w:bCs/>
        </w:rPr>
      </w:pPr>
      <w:r w:rsidRPr="00352B4B">
        <w:rPr>
          <w:bCs/>
        </w:rPr>
        <w:t>Програма „Транспортна свързаност“ – 76</w:t>
      </w:r>
      <w:r>
        <w:rPr>
          <w:bCs/>
        </w:rPr>
        <w:t>,</w:t>
      </w:r>
      <w:r w:rsidRPr="00352B4B">
        <w:rPr>
          <w:bCs/>
        </w:rPr>
        <w:t>4 млн. лв.</w:t>
      </w:r>
    </w:p>
    <w:p w14:paraId="7F9A8E15" w14:textId="77777777" w:rsidR="00D839CD" w:rsidRPr="00F3324F" w:rsidRDefault="00D839CD" w:rsidP="00D839CD">
      <w:pPr>
        <w:ind w:firstLine="426"/>
        <w:jc w:val="both"/>
        <w:rPr>
          <w:bCs/>
        </w:rPr>
      </w:pPr>
      <w:r>
        <w:t xml:space="preserve">    </w:t>
      </w:r>
      <w:r w:rsidRPr="00F3324F">
        <w:t>Платеното авансово финансиране по реда на ДДС</w:t>
      </w:r>
      <w:r>
        <w:t xml:space="preserve"> </w:t>
      </w:r>
      <w:r w:rsidRPr="00F3324F">
        <w:t xml:space="preserve">6/2011 г. е в размер на </w:t>
      </w:r>
      <w:r w:rsidRPr="0041321D">
        <w:rPr>
          <w:lang w:val="ru-RU"/>
        </w:rPr>
        <w:t>2</w:t>
      </w:r>
      <w:r>
        <w:rPr>
          <w:lang w:val="ru-RU"/>
        </w:rPr>
        <w:t>,</w:t>
      </w:r>
      <w:r w:rsidRPr="00F3324F">
        <w:t xml:space="preserve">9 млн. </w:t>
      </w:r>
      <w:r>
        <w:t>л</w:t>
      </w:r>
      <w:r w:rsidRPr="00F3324F">
        <w:t>ева</w:t>
      </w:r>
      <w:r>
        <w:t>.</w:t>
      </w:r>
    </w:p>
    <w:p w14:paraId="6749C1D3" w14:textId="77777777" w:rsidR="00D839CD" w:rsidRPr="00504EBE" w:rsidRDefault="00D839CD" w:rsidP="00D839CD">
      <w:pPr>
        <w:spacing w:before="120"/>
        <w:ind w:firstLine="567"/>
        <w:jc w:val="both"/>
        <w:rPr>
          <w:b/>
          <w:bCs/>
        </w:rPr>
      </w:pPr>
      <w:r w:rsidRPr="00504EBE">
        <w:rPr>
          <w:b/>
          <w:bCs/>
        </w:rPr>
        <w:t>Национален план за възстановяване и устойчивост (НПВУ)</w:t>
      </w:r>
    </w:p>
    <w:p w14:paraId="139DA1C8" w14:textId="77777777" w:rsidR="00D839CD" w:rsidRPr="00504EBE" w:rsidRDefault="00D839CD" w:rsidP="00D839CD">
      <w:pPr>
        <w:spacing w:before="120"/>
        <w:ind w:firstLine="567"/>
        <w:jc w:val="both"/>
        <w:rPr>
          <w:bCs/>
        </w:rPr>
      </w:pPr>
      <w:r w:rsidRPr="00504EBE">
        <w:rPr>
          <w:bCs/>
        </w:rPr>
        <w:t>През отчетния период чрез НПВУ бяха извършени разходи и трансфери (нето)</w:t>
      </w:r>
      <w:r w:rsidRPr="0041321D">
        <w:rPr>
          <w:bCs/>
          <w:lang w:val="ru-RU"/>
        </w:rPr>
        <w:t xml:space="preserve"> </w:t>
      </w:r>
      <w:r w:rsidRPr="00504EBE">
        <w:rPr>
          <w:bCs/>
        </w:rPr>
        <w:t>в размер на 577</w:t>
      </w:r>
      <w:r>
        <w:rPr>
          <w:bCs/>
        </w:rPr>
        <w:t>,</w:t>
      </w:r>
      <w:r w:rsidRPr="00504EBE">
        <w:rPr>
          <w:bCs/>
        </w:rPr>
        <w:t>8 млн. лева.</w:t>
      </w:r>
    </w:p>
    <w:p w14:paraId="21543F3D" w14:textId="77777777" w:rsidR="00D839CD" w:rsidRPr="00B52704" w:rsidRDefault="00D839CD" w:rsidP="00D839CD">
      <w:pPr>
        <w:spacing w:before="120"/>
        <w:ind w:firstLine="567"/>
        <w:jc w:val="both"/>
        <w:rPr>
          <w:b/>
          <w:bCs/>
        </w:rPr>
      </w:pPr>
      <w:r w:rsidRPr="001D6A23">
        <w:rPr>
          <w:bCs/>
          <w:color w:val="00B0F0"/>
        </w:rPr>
        <w:tab/>
      </w:r>
      <w:r w:rsidRPr="00B52704">
        <w:rPr>
          <w:b/>
          <w:bCs/>
        </w:rPr>
        <w:t>Двустранни програми за трансгранично сътрудничество по външните граници на Европейския съюз 2007 – 2013 г., 2014 – 2020 г. и 2021 – 2027 г.</w:t>
      </w:r>
    </w:p>
    <w:p w14:paraId="380AC8E0" w14:textId="77777777" w:rsidR="00D839CD" w:rsidRPr="00B52704" w:rsidRDefault="00D839CD" w:rsidP="00D839CD">
      <w:pPr>
        <w:spacing w:before="120"/>
        <w:ind w:firstLine="567"/>
        <w:jc w:val="both"/>
        <w:rPr>
          <w:bCs/>
        </w:rPr>
      </w:pPr>
      <w:r w:rsidRPr="00B52704">
        <w:rPr>
          <w:bCs/>
        </w:rPr>
        <w:t>Получените средства към 30.</w:t>
      </w:r>
      <w:r w:rsidRPr="0041321D">
        <w:rPr>
          <w:bCs/>
          <w:lang w:val="ru-RU"/>
        </w:rPr>
        <w:t>0</w:t>
      </w:r>
      <w:r w:rsidRPr="00B52704">
        <w:rPr>
          <w:bCs/>
        </w:rPr>
        <w:t>9.202</w:t>
      </w:r>
      <w:r w:rsidRPr="0041321D">
        <w:rPr>
          <w:bCs/>
          <w:lang w:val="ru-RU"/>
        </w:rPr>
        <w:t>4</w:t>
      </w:r>
      <w:r w:rsidRPr="00B52704">
        <w:rPr>
          <w:bCs/>
        </w:rPr>
        <w:t xml:space="preserve"> г. са на стойност </w:t>
      </w:r>
      <w:r w:rsidRPr="0041321D">
        <w:rPr>
          <w:bCs/>
          <w:lang w:val="ru-RU"/>
        </w:rPr>
        <w:t>0</w:t>
      </w:r>
      <w:r>
        <w:rPr>
          <w:bCs/>
          <w:lang w:val="ru-RU"/>
        </w:rPr>
        <w:t>,</w:t>
      </w:r>
      <w:r w:rsidRPr="00B52704">
        <w:rPr>
          <w:bCs/>
        </w:rPr>
        <w:t>2 млн. лв., представляващи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14:paraId="10C8F851" w14:textId="77777777" w:rsidR="00D839CD" w:rsidRPr="00B52704" w:rsidRDefault="00D839CD" w:rsidP="00D839CD">
      <w:pPr>
        <w:ind w:firstLine="567"/>
        <w:jc w:val="both"/>
        <w:rPr>
          <w:b/>
          <w:bCs/>
        </w:rPr>
      </w:pPr>
      <w:r w:rsidRPr="00B52704">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9</w:t>
      </w:r>
      <w:r>
        <w:rPr>
          <w:bCs/>
        </w:rPr>
        <w:t>,</w:t>
      </w:r>
      <w:r w:rsidRPr="00B52704">
        <w:rPr>
          <w:bCs/>
        </w:rPr>
        <w:t xml:space="preserve">4 млн. лв., включително за плащания към бенефициенти в страната, извършени за сметка на полученото финансиране от страната-партньор по тези програми. </w:t>
      </w:r>
    </w:p>
    <w:p w14:paraId="08EB0515" w14:textId="77777777" w:rsidR="00D839CD" w:rsidRPr="00A77E94" w:rsidRDefault="00D839CD" w:rsidP="00D839CD">
      <w:pPr>
        <w:spacing w:before="120"/>
        <w:ind w:firstLine="567"/>
        <w:jc w:val="both"/>
        <w:rPr>
          <w:b/>
          <w:bCs/>
        </w:rPr>
      </w:pPr>
      <w:r w:rsidRPr="00A77E94">
        <w:rPr>
          <w:b/>
          <w:bCs/>
        </w:rPr>
        <w:t>Финансов механизъм на Европейското икономическо пространство и Норвежки финансов механизъм за периода 2009-2014 г. и 2014-2021 г.</w:t>
      </w:r>
    </w:p>
    <w:p w14:paraId="3B2EBF4F" w14:textId="77777777" w:rsidR="00D839CD" w:rsidRPr="00A77E94" w:rsidRDefault="00D839CD" w:rsidP="00D839CD">
      <w:pPr>
        <w:spacing w:before="120"/>
        <w:ind w:firstLine="567"/>
        <w:jc w:val="both"/>
        <w:rPr>
          <w:b/>
          <w:bCs/>
        </w:rPr>
      </w:pPr>
      <w:r w:rsidRPr="00A77E94">
        <w:rPr>
          <w:bCs/>
        </w:rPr>
        <w:t>Получените средства към 30.</w:t>
      </w:r>
      <w:r w:rsidRPr="0041321D">
        <w:rPr>
          <w:bCs/>
          <w:lang w:val="ru-RU"/>
        </w:rPr>
        <w:t>0</w:t>
      </w:r>
      <w:r w:rsidRPr="00A77E94">
        <w:rPr>
          <w:bCs/>
        </w:rPr>
        <w:t>9.202</w:t>
      </w:r>
      <w:r w:rsidRPr="0041321D">
        <w:rPr>
          <w:bCs/>
          <w:lang w:val="ru-RU"/>
        </w:rPr>
        <w:t>4</w:t>
      </w:r>
      <w:r w:rsidRPr="00A77E94">
        <w:rPr>
          <w:bCs/>
        </w:rPr>
        <w:t xml:space="preserve"> г. са в размер на 36</w:t>
      </w:r>
      <w:r>
        <w:rPr>
          <w:bCs/>
        </w:rPr>
        <w:t>,</w:t>
      </w:r>
      <w:r w:rsidRPr="00A77E94">
        <w:rPr>
          <w:bCs/>
        </w:rPr>
        <w:t>2 млн. л</w:t>
      </w:r>
      <w:r>
        <w:rPr>
          <w:bCs/>
        </w:rPr>
        <w:t>е</w:t>
      </w:r>
      <w:r w:rsidRPr="00A77E94">
        <w:rPr>
          <w:bCs/>
        </w:rPr>
        <w:t>в</w:t>
      </w:r>
      <w:r>
        <w:rPr>
          <w:bCs/>
        </w:rPr>
        <w:t>а</w:t>
      </w:r>
      <w:r w:rsidRPr="00A77E94">
        <w:rPr>
          <w:bCs/>
        </w:rPr>
        <w:t>.</w:t>
      </w:r>
    </w:p>
    <w:p w14:paraId="0B6E1AE2" w14:textId="77777777" w:rsidR="00D839CD" w:rsidRPr="00A77E94" w:rsidRDefault="00D839CD" w:rsidP="00D839CD">
      <w:pPr>
        <w:spacing w:before="120"/>
        <w:ind w:firstLine="567"/>
        <w:jc w:val="both"/>
        <w:rPr>
          <w:b/>
          <w:bCs/>
        </w:rPr>
      </w:pPr>
      <w:r w:rsidRPr="00A77E94">
        <w:rPr>
          <w:bCs/>
        </w:rPr>
        <w:t>Сумата на разходите и трансферите (нето) за периода са на обща стойност 46</w:t>
      </w:r>
      <w:r>
        <w:rPr>
          <w:bCs/>
        </w:rPr>
        <w:t>,</w:t>
      </w:r>
      <w:r w:rsidRPr="00A77E94">
        <w:rPr>
          <w:bCs/>
        </w:rPr>
        <w:t>0 млн. лева.</w:t>
      </w:r>
      <w:r w:rsidRPr="00A77E94">
        <w:rPr>
          <w:b/>
          <w:bCs/>
        </w:rPr>
        <w:t xml:space="preserve"> </w:t>
      </w:r>
    </w:p>
    <w:p w14:paraId="1A0A1A22" w14:textId="77777777" w:rsidR="00D839CD" w:rsidRPr="00923C26" w:rsidRDefault="00D839CD" w:rsidP="00D839CD">
      <w:pPr>
        <w:spacing w:before="120"/>
        <w:ind w:firstLine="567"/>
        <w:jc w:val="both"/>
        <w:rPr>
          <w:b/>
          <w:bCs/>
        </w:rPr>
      </w:pPr>
      <w:r w:rsidRPr="00923C26">
        <w:rPr>
          <w:b/>
          <w:bCs/>
        </w:rPr>
        <w:t xml:space="preserve">Резерва за приспособяване във връзка с последиците от </w:t>
      </w:r>
      <w:proofErr w:type="spellStart"/>
      <w:r w:rsidRPr="00923C26">
        <w:rPr>
          <w:b/>
          <w:bCs/>
        </w:rPr>
        <w:t>Брексит</w:t>
      </w:r>
      <w:proofErr w:type="spellEnd"/>
    </w:p>
    <w:p w14:paraId="10994F83" w14:textId="1F1069A5" w:rsidR="00D839CD" w:rsidRDefault="00D839CD" w:rsidP="00D839CD">
      <w:pPr>
        <w:spacing w:before="120"/>
        <w:ind w:firstLine="567"/>
        <w:jc w:val="both"/>
        <w:rPr>
          <w:bCs/>
          <w:color w:val="00B0F0"/>
        </w:rPr>
      </w:pPr>
      <w:r w:rsidRPr="00923C26">
        <w:rPr>
          <w:bCs/>
        </w:rPr>
        <w:t>Сумата на разходите и трансферите (нето) за периода са на обща стойност 1</w:t>
      </w:r>
      <w:r w:rsidR="008A5631">
        <w:rPr>
          <w:bCs/>
        </w:rPr>
        <w:t>,</w:t>
      </w:r>
      <w:r w:rsidRPr="0041321D">
        <w:rPr>
          <w:bCs/>
          <w:lang w:val="ru-RU"/>
        </w:rPr>
        <w:t>7</w:t>
      </w:r>
      <w:r w:rsidRPr="00923C26">
        <w:rPr>
          <w:bCs/>
        </w:rPr>
        <w:t xml:space="preserve"> млн. лева</w:t>
      </w:r>
      <w:r w:rsidRPr="001D6A23">
        <w:rPr>
          <w:bCs/>
          <w:color w:val="00B0F0"/>
        </w:rPr>
        <w:t>.</w:t>
      </w:r>
    </w:p>
    <w:p w14:paraId="648C212A" w14:textId="77777777" w:rsidR="00D839CD" w:rsidRPr="00F54F10" w:rsidRDefault="00D839CD" w:rsidP="00D839CD">
      <w:pPr>
        <w:spacing w:before="120"/>
        <w:ind w:firstLine="567"/>
        <w:jc w:val="both"/>
        <w:rPr>
          <w:b/>
          <w:bCs/>
        </w:rPr>
      </w:pPr>
      <w:r w:rsidRPr="00F54F10">
        <w:rPr>
          <w:b/>
          <w:bCs/>
        </w:rPr>
        <w:t>Швейцарско-българската програма за сътрудничество</w:t>
      </w:r>
    </w:p>
    <w:p w14:paraId="6EE13A85" w14:textId="77777777" w:rsidR="00D839CD" w:rsidRPr="00F54F10" w:rsidRDefault="00D839CD" w:rsidP="00D839CD">
      <w:pPr>
        <w:spacing w:before="120"/>
        <w:ind w:firstLine="567"/>
        <w:jc w:val="both"/>
        <w:rPr>
          <w:bCs/>
        </w:rPr>
      </w:pPr>
      <w:r w:rsidRPr="00F54F10">
        <w:rPr>
          <w:bCs/>
        </w:rPr>
        <w:t>Получените средства към 30.</w:t>
      </w:r>
      <w:r w:rsidRPr="0041321D">
        <w:rPr>
          <w:bCs/>
          <w:lang w:val="ru-RU"/>
        </w:rPr>
        <w:t>0</w:t>
      </w:r>
      <w:r w:rsidRPr="00F54F10">
        <w:rPr>
          <w:bCs/>
        </w:rPr>
        <w:t>9.202</w:t>
      </w:r>
      <w:r w:rsidRPr="0041321D">
        <w:rPr>
          <w:bCs/>
          <w:lang w:val="ru-RU"/>
        </w:rPr>
        <w:t>4</w:t>
      </w:r>
      <w:r w:rsidRPr="00F54F10">
        <w:rPr>
          <w:bCs/>
        </w:rPr>
        <w:t xml:space="preserve"> г. са в размер на 0</w:t>
      </w:r>
      <w:r>
        <w:rPr>
          <w:bCs/>
        </w:rPr>
        <w:t>,</w:t>
      </w:r>
      <w:r w:rsidRPr="00F54F10">
        <w:rPr>
          <w:bCs/>
        </w:rPr>
        <w:t>01 млн. л</w:t>
      </w:r>
      <w:r>
        <w:rPr>
          <w:bCs/>
        </w:rPr>
        <w:t>е</w:t>
      </w:r>
      <w:r w:rsidRPr="00F54F10">
        <w:rPr>
          <w:bCs/>
        </w:rPr>
        <w:t>в</w:t>
      </w:r>
      <w:r>
        <w:rPr>
          <w:bCs/>
        </w:rPr>
        <w:t>а</w:t>
      </w:r>
      <w:r w:rsidRPr="00F54F10">
        <w:rPr>
          <w:bCs/>
        </w:rPr>
        <w:t>.</w:t>
      </w:r>
    </w:p>
    <w:p w14:paraId="518F0098" w14:textId="77777777" w:rsidR="00D839CD" w:rsidRPr="00F54F10" w:rsidRDefault="00D839CD" w:rsidP="00D839CD">
      <w:pPr>
        <w:spacing w:before="120"/>
        <w:ind w:firstLine="567"/>
        <w:jc w:val="both"/>
        <w:rPr>
          <w:b/>
          <w:bCs/>
        </w:rPr>
      </w:pPr>
      <w:r w:rsidRPr="00F54F10">
        <w:rPr>
          <w:b/>
          <w:bCs/>
        </w:rPr>
        <w:t xml:space="preserve">Програма ФАР </w:t>
      </w:r>
    </w:p>
    <w:p w14:paraId="76169FDB" w14:textId="77777777" w:rsidR="00D839CD" w:rsidRPr="00F54F10" w:rsidRDefault="00D839CD" w:rsidP="00D839CD">
      <w:pPr>
        <w:ind w:firstLine="567"/>
        <w:rPr>
          <w:bCs/>
        </w:rPr>
      </w:pPr>
      <w:r w:rsidRPr="00F54F10">
        <w:rPr>
          <w:bCs/>
        </w:rPr>
        <w:t>През отчетния период са възстановени суми от бенефициенти на стойност 0</w:t>
      </w:r>
      <w:r>
        <w:rPr>
          <w:bCs/>
        </w:rPr>
        <w:t>,</w:t>
      </w:r>
      <w:r w:rsidRPr="0041321D">
        <w:rPr>
          <w:bCs/>
          <w:lang w:val="ru-RU"/>
        </w:rPr>
        <w:t>0</w:t>
      </w:r>
      <w:r w:rsidRPr="00F54F10">
        <w:rPr>
          <w:bCs/>
        </w:rPr>
        <w:t xml:space="preserve">05 млн. лв. </w:t>
      </w:r>
    </w:p>
    <w:p w14:paraId="5CFF9030" w14:textId="77777777" w:rsidR="00D839CD" w:rsidRPr="00F54F10" w:rsidRDefault="00D839CD" w:rsidP="00D839CD">
      <w:pPr>
        <w:spacing w:before="120"/>
        <w:ind w:firstLine="567"/>
        <w:rPr>
          <w:b/>
          <w:bCs/>
        </w:rPr>
      </w:pPr>
      <w:r w:rsidRPr="00F54F10">
        <w:rPr>
          <w:b/>
          <w:bCs/>
        </w:rPr>
        <w:t xml:space="preserve">Програма САПАРД </w:t>
      </w:r>
    </w:p>
    <w:p w14:paraId="534B768D" w14:textId="77777777" w:rsidR="00D839CD" w:rsidRPr="00D305D8" w:rsidRDefault="00D839CD" w:rsidP="00D839CD">
      <w:pPr>
        <w:ind w:firstLine="567"/>
        <w:jc w:val="both"/>
        <w:rPr>
          <w:bCs/>
        </w:rPr>
      </w:pPr>
      <w:r w:rsidRPr="00D305D8">
        <w:rPr>
          <w:bCs/>
        </w:rPr>
        <w:t>През периода са извършени възстановявания от бенефициенти по дългове на стойност 0</w:t>
      </w:r>
      <w:r>
        <w:rPr>
          <w:bCs/>
        </w:rPr>
        <w:t>,</w:t>
      </w:r>
      <w:r w:rsidRPr="00D305D8">
        <w:rPr>
          <w:bCs/>
        </w:rPr>
        <w:t>0001 млн. л</w:t>
      </w:r>
      <w:r>
        <w:rPr>
          <w:bCs/>
        </w:rPr>
        <w:t>е</w:t>
      </w:r>
      <w:r w:rsidRPr="00D305D8">
        <w:rPr>
          <w:bCs/>
        </w:rPr>
        <w:t>в</w:t>
      </w:r>
      <w:r>
        <w:rPr>
          <w:bCs/>
        </w:rPr>
        <w:t>а</w:t>
      </w:r>
      <w:r w:rsidRPr="00D305D8">
        <w:rPr>
          <w:bCs/>
        </w:rPr>
        <w:t>.</w:t>
      </w:r>
    </w:p>
    <w:p w14:paraId="1487192F" w14:textId="77777777" w:rsidR="00936CD8" w:rsidRPr="005D17D6" w:rsidRDefault="00936CD8" w:rsidP="00E86EAF">
      <w:pPr>
        <w:pStyle w:val="Heading1"/>
        <w:numPr>
          <w:ilvl w:val="0"/>
          <w:numId w:val="8"/>
        </w:numPr>
        <w:spacing w:before="360"/>
        <w:ind w:left="533" w:right="-108" w:hanging="391"/>
        <w:jc w:val="both"/>
        <w:rPr>
          <w:sz w:val="24"/>
        </w:rPr>
      </w:pPr>
      <w:r w:rsidRPr="005D17D6">
        <w:rPr>
          <w:sz w:val="24"/>
        </w:rPr>
        <w:t>Бюджети на социално и здравно-осигурителните фондове и бюджети по чл. 13, ал. 2 и ал. 3 на Закона за публичните финанси</w:t>
      </w:r>
    </w:p>
    <w:p w14:paraId="1DDDE11E" w14:textId="14471732" w:rsidR="00936CD8" w:rsidRDefault="00936CD8" w:rsidP="00E86EAF">
      <w:pPr>
        <w:pStyle w:val="Heading1"/>
        <w:numPr>
          <w:ilvl w:val="1"/>
          <w:numId w:val="8"/>
        </w:numPr>
        <w:spacing w:before="240"/>
        <w:ind w:left="788" w:right="-108" w:hanging="431"/>
        <w:jc w:val="both"/>
        <w:rPr>
          <w:sz w:val="24"/>
        </w:rPr>
      </w:pPr>
      <w:r w:rsidRPr="005D17D6">
        <w:rPr>
          <w:sz w:val="24"/>
        </w:rPr>
        <w:t>Социално и здравно-осигурителни фондове</w:t>
      </w:r>
    </w:p>
    <w:p w14:paraId="0651A080" w14:textId="77777777" w:rsidR="008A76B7" w:rsidRPr="008A76B7" w:rsidRDefault="008A76B7" w:rsidP="008A76B7"/>
    <w:p w14:paraId="1EE3D9F1" w14:textId="77777777" w:rsidR="00CA4EF0" w:rsidRPr="005D17D6" w:rsidRDefault="00CA4EF0" w:rsidP="00E86EAF">
      <w:pPr>
        <w:numPr>
          <w:ilvl w:val="1"/>
          <w:numId w:val="5"/>
        </w:numPr>
        <w:spacing w:before="120" w:line="276" w:lineRule="auto"/>
        <w:ind w:left="992" w:hanging="357"/>
        <w:jc w:val="both"/>
        <w:rPr>
          <w:b/>
          <w:bCs/>
        </w:rPr>
      </w:pPr>
      <w:r w:rsidRPr="005D17D6">
        <w:rPr>
          <w:b/>
        </w:rPr>
        <w:t>Държавно обществено осигуряване</w:t>
      </w:r>
    </w:p>
    <w:p w14:paraId="0674D5D8" w14:textId="121F0B0A" w:rsidR="00565262" w:rsidRPr="00387A3E" w:rsidRDefault="00565262" w:rsidP="00565262">
      <w:pPr>
        <w:ind w:firstLine="567"/>
        <w:jc w:val="both"/>
        <w:rPr>
          <w:rFonts w:eastAsiaTheme="minorHAnsi"/>
          <w:color w:val="0070C0"/>
        </w:rPr>
      </w:pPr>
      <w:r w:rsidRPr="00097D67">
        <w:t xml:space="preserve">Общата сума на </w:t>
      </w:r>
      <w:r w:rsidRPr="00097D67">
        <w:rPr>
          <w:b/>
        </w:rPr>
        <w:t>приходите, помощите и даренията</w:t>
      </w:r>
      <w:r w:rsidRPr="00097D67">
        <w:t xml:space="preserve"> по бюджета на Държавното обществено осигуряване (ДОО) към 30.0</w:t>
      </w:r>
      <w:r w:rsidRPr="00097D67">
        <w:rPr>
          <w:lang w:val="en-US"/>
        </w:rPr>
        <w:t>9</w:t>
      </w:r>
      <w:r w:rsidRPr="00097D67">
        <w:t>.202</w:t>
      </w:r>
      <w:r w:rsidRPr="00097D67">
        <w:rPr>
          <w:lang w:val="ru-RU"/>
        </w:rPr>
        <w:t>4</w:t>
      </w:r>
      <w:r w:rsidRPr="00097D67">
        <w:t xml:space="preserve"> г. възлиза на </w:t>
      </w:r>
      <w:r w:rsidRPr="00097D67">
        <w:rPr>
          <w:lang w:val="en-US"/>
        </w:rPr>
        <w:t>9</w:t>
      </w:r>
      <w:r w:rsidRPr="00097D67">
        <w:t> </w:t>
      </w:r>
      <w:r w:rsidRPr="00097D67">
        <w:rPr>
          <w:lang w:val="en-US"/>
        </w:rPr>
        <w:t>600</w:t>
      </w:r>
      <w:r w:rsidRPr="00097D67">
        <w:t>,</w:t>
      </w:r>
      <w:r w:rsidRPr="00097D67">
        <w:rPr>
          <w:lang w:val="en-US"/>
        </w:rPr>
        <w:t>4</w:t>
      </w:r>
      <w:r w:rsidRPr="00097D67">
        <w:t xml:space="preserve"> млн. лв. Съпоставени с първото девет месеца на 2023 г., приходите по бюджета на ДОО нарастват с</w:t>
      </w:r>
      <w:r w:rsidRPr="00097D67">
        <w:rPr>
          <w:lang w:val="ru-RU"/>
        </w:rPr>
        <w:t xml:space="preserve"> 1 305</w:t>
      </w:r>
      <w:r w:rsidRPr="00097D67">
        <w:t>,0 млн. лв. (15,7</w:t>
      </w:r>
      <w:r w:rsidR="0002578D">
        <w:t> </w:t>
      </w:r>
      <w:r w:rsidRPr="00097D67">
        <w:t>%). Постъпилите средства представляват 74,5 % спрямо разчетените в Закона за бюджета на Държавното обществено осигуряване за 2024 г. (ЗБДОО за  2024 г.). Най-голям е делът на приходите от осигурителни вноски (98,4 % от общите приходи), които за отчетния период са в размер на 9 448,2 млн. лв. Приходите от осигурителни вноски към 30.09.2024 г. са 74,2 % от разчетите към ЗБДОО за 2024 г., а спрямо същия период на предходната година нарастват с 15,8</w:t>
      </w:r>
      <w:r w:rsidRPr="00097D67">
        <w:rPr>
          <w:lang w:val="en-US"/>
        </w:rPr>
        <w:t> </w:t>
      </w:r>
      <w:r w:rsidRPr="00097D67">
        <w:t>%.</w:t>
      </w:r>
    </w:p>
    <w:p w14:paraId="4B3C6C6D" w14:textId="77777777" w:rsidR="00565262" w:rsidRPr="009A518A" w:rsidRDefault="00565262" w:rsidP="00565262">
      <w:pPr>
        <w:ind w:firstLine="567"/>
        <w:jc w:val="both"/>
        <w:rPr>
          <w:bCs/>
        </w:rPr>
      </w:pPr>
      <w:r w:rsidRPr="00AF59DF">
        <w:rPr>
          <w:bCs/>
        </w:rPr>
        <w:t xml:space="preserve">Отчетените неданъчни приходи към края на септември 2024 г. по бюджета на ДОО възлизат на 152,2 млн. лв., в т.ч. 138,1 млн. лв. постъпили средства по чл. 4б, чл. 4в и чл. </w:t>
      </w:r>
      <w:r w:rsidRPr="009A518A">
        <w:rPr>
          <w:bCs/>
        </w:rPr>
        <w:t>69б от Кодекса за социално осигуряване (КСО)</w:t>
      </w:r>
      <w:r w:rsidRPr="009A518A">
        <w:t>.</w:t>
      </w:r>
      <w:r w:rsidRPr="009A518A">
        <w:rPr>
          <w:bCs/>
        </w:rPr>
        <w:t xml:space="preserve"> </w:t>
      </w:r>
    </w:p>
    <w:p w14:paraId="68186AD6" w14:textId="77777777" w:rsidR="00565262" w:rsidRPr="00C17EE8" w:rsidRDefault="00565262" w:rsidP="00565262">
      <w:pPr>
        <w:ind w:firstLine="567"/>
        <w:jc w:val="both"/>
        <w:rPr>
          <w:bCs/>
        </w:rPr>
      </w:pPr>
      <w:r w:rsidRPr="009A518A">
        <w:rPr>
          <w:bCs/>
        </w:rPr>
        <w:t xml:space="preserve">Получените трансфери от централния бюджет (вкл. за поети осигурителни вноски) </w:t>
      </w:r>
      <w:r w:rsidRPr="00C17EE8">
        <w:rPr>
          <w:bCs/>
        </w:rPr>
        <w:t>за периода са 8 525,2 млн. лв.</w:t>
      </w:r>
    </w:p>
    <w:p w14:paraId="0BC77A66" w14:textId="77777777" w:rsidR="00565262" w:rsidRPr="00C17EE8" w:rsidRDefault="00565262" w:rsidP="00565262">
      <w:pPr>
        <w:tabs>
          <w:tab w:val="num" w:pos="1499"/>
          <w:tab w:val="num" w:pos="2148"/>
        </w:tabs>
        <w:ind w:firstLine="567"/>
        <w:jc w:val="both"/>
        <w:rPr>
          <w:bCs/>
        </w:rPr>
      </w:pPr>
      <w:r w:rsidRPr="00C17EE8">
        <w:rPr>
          <w:bCs/>
        </w:rPr>
        <w:t xml:space="preserve">Размерът на извършените </w:t>
      </w:r>
      <w:r w:rsidRPr="00C17EE8">
        <w:rPr>
          <w:b/>
          <w:bCs/>
        </w:rPr>
        <w:t xml:space="preserve">разходи </w:t>
      </w:r>
      <w:r w:rsidRPr="00C17EE8">
        <w:rPr>
          <w:bCs/>
        </w:rPr>
        <w:t xml:space="preserve">за първите девет месеца на 2024 г. по бюджета на ДОО е 18 044,2 млн. лв. Спрямо същия период на миналата година, общо разходите по бюджета на ДОО са с 2 191,8 млн. лв. (13,8 %) повече. Изразходваните средства представляват 74,1 % от разчетените със ЗБДОО 2024 г. разходи.  От структурна гледна точка най-голям относителен дял в общите разходи заемат разходите за пенсии, обезщетения и помощи, изплащани на основание КСО – общо 17 908,4 млн. лв. или 99,2 % от общия размер на разходите за отчетния период. </w:t>
      </w:r>
    </w:p>
    <w:p w14:paraId="7EAF48AF" w14:textId="77777777" w:rsidR="00565262" w:rsidRPr="00667692" w:rsidRDefault="00565262" w:rsidP="00565262">
      <w:pPr>
        <w:tabs>
          <w:tab w:val="num" w:pos="1499"/>
          <w:tab w:val="num" w:pos="2148"/>
        </w:tabs>
        <w:ind w:firstLine="567"/>
        <w:jc w:val="both"/>
        <w:rPr>
          <w:bCs/>
          <w:lang w:val="ru-RU"/>
        </w:rPr>
      </w:pPr>
      <w:r w:rsidRPr="00C17EE8">
        <w:rPr>
          <w:bCs/>
        </w:rPr>
        <w:t xml:space="preserve">Отчетените разходи за </w:t>
      </w:r>
      <w:r w:rsidRPr="00C17EE8">
        <w:rPr>
          <w:b/>
          <w:bCs/>
        </w:rPr>
        <w:t>пенсии</w:t>
      </w:r>
      <w:r w:rsidRPr="00C17EE8">
        <w:rPr>
          <w:bCs/>
        </w:rPr>
        <w:t xml:space="preserve"> по бюджета на ДОО към 30.09.2024 г. възлизат на </w:t>
      </w:r>
      <w:r w:rsidRPr="00667692">
        <w:rPr>
          <w:bCs/>
        </w:rPr>
        <w:t xml:space="preserve">15 912,6 млн. лв., което е с 1 842,8 млн. лв. повече спрямо първите девет месеца на 2023 г. и представляват 73,7 % от разчета за годината. Основната причина за това е изплащането през първото полугодие на 2024 г. на осъвременените пенсии с 12 % от 1 юли 2023 г., вкл. увеличението на минималната пенсия и осъвременяването на пенсиите от 1 юли 2024 г. с 11 на сто. </w:t>
      </w:r>
    </w:p>
    <w:p w14:paraId="2584532B" w14:textId="77777777" w:rsidR="00565262" w:rsidRPr="00667692" w:rsidRDefault="00565262" w:rsidP="00565262">
      <w:pPr>
        <w:tabs>
          <w:tab w:val="num" w:pos="1499"/>
          <w:tab w:val="num" w:pos="2148"/>
        </w:tabs>
        <w:ind w:firstLine="567"/>
        <w:jc w:val="both"/>
      </w:pPr>
      <w:r w:rsidRPr="00667692">
        <w:t xml:space="preserve">Отчетените разходи за </w:t>
      </w:r>
      <w:r w:rsidRPr="00667692">
        <w:rPr>
          <w:b/>
        </w:rPr>
        <w:t>краткосрочни обезщетения и помощи по КСО</w:t>
      </w:r>
      <w:r w:rsidRPr="00667692">
        <w:t xml:space="preserve"> са в размер на 1 995,</w:t>
      </w:r>
      <w:r w:rsidRPr="00667692">
        <w:rPr>
          <w:lang w:val="ru-RU"/>
        </w:rPr>
        <w:t>8</w:t>
      </w:r>
      <w:r w:rsidRPr="00667692">
        <w:t xml:space="preserve"> млн. лева. Спрямо същия период на миналата година изплатените обезщетения по КСО са с 331,8 млн. лв. (19,9 %) повече. Спрямо разчета в ЗБДОО за 2024 г. изпълнението е 78,4 %.</w:t>
      </w:r>
    </w:p>
    <w:p w14:paraId="60775A2F" w14:textId="77777777" w:rsidR="00565262" w:rsidRPr="00982460" w:rsidRDefault="00565262" w:rsidP="00E86EAF">
      <w:pPr>
        <w:numPr>
          <w:ilvl w:val="1"/>
          <w:numId w:val="5"/>
        </w:numPr>
        <w:tabs>
          <w:tab w:val="num" w:pos="709"/>
          <w:tab w:val="left" w:pos="851"/>
          <w:tab w:val="left" w:pos="1134"/>
        </w:tabs>
        <w:spacing w:before="120" w:line="276" w:lineRule="auto"/>
        <w:ind w:left="709" w:hanging="357"/>
        <w:jc w:val="both"/>
        <w:rPr>
          <w:b/>
          <w:bCs/>
        </w:rPr>
      </w:pPr>
      <w:r w:rsidRPr="00982460">
        <w:rPr>
          <w:b/>
          <w:bCs/>
        </w:rPr>
        <w:t>Национална здравноосигурителна каса</w:t>
      </w:r>
    </w:p>
    <w:p w14:paraId="5DCB9470" w14:textId="77777777" w:rsidR="00565262" w:rsidRPr="00387A3E" w:rsidRDefault="00565262" w:rsidP="00565262">
      <w:pPr>
        <w:ind w:firstLine="567"/>
        <w:jc w:val="both"/>
        <w:rPr>
          <w:color w:val="0070C0"/>
        </w:rPr>
      </w:pPr>
      <w:r w:rsidRPr="00982460">
        <w:t xml:space="preserve">Общият размер на събраните </w:t>
      </w:r>
      <w:r w:rsidRPr="00982460">
        <w:rPr>
          <w:b/>
        </w:rPr>
        <w:t>приходи, помощи и дарения</w:t>
      </w:r>
      <w:r w:rsidRPr="00982460">
        <w:t xml:space="preserve"> по бюджета на НЗОК за първите девет месеца на 2024 г. възлиза на 3 697,9 млн. лв., което е с 524,4 млн. лв.  (16,5 %) повече в сравнение със същия период на предходната година. Постъпилите средства представляват 75,3 % от предвидените в Закона за бюджета на Националната здравноосигурителна каса за 2024 г. (ЗБНЗОК за 2024 г.) приходи. Постъпленията от здравноосигурителни вноски са в размер на 3</w:t>
      </w:r>
      <w:r w:rsidRPr="00982460">
        <w:rPr>
          <w:lang w:val="en-US"/>
        </w:rPr>
        <w:t> </w:t>
      </w:r>
      <w:r w:rsidRPr="00982460">
        <w:t xml:space="preserve">676,4 млн. лв., което е 75,3 % от предвидените в ЗБНЗОК за 2024 г. и с 526,9 млн. лв. повече от първите девет месеца на 2023 г. Събраните неданъчни приходи за деветмесечието на 2024 г. са 21,5 млн. лв., като основната част от тях са приходи от глоби, санкции и наказателни лихви. </w:t>
      </w:r>
    </w:p>
    <w:p w14:paraId="660A84F2" w14:textId="77777777" w:rsidR="00565262" w:rsidRPr="0073657D" w:rsidRDefault="00565262" w:rsidP="00565262">
      <w:pPr>
        <w:ind w:firstLine="567"/>
        <w:jc w:val="both"/>
        <w:rPr>
          <w:lang w:val="ru-RU"/>
        </w:rPr>
      </w:pPr>
      <w:r w:rsidRPr="00982460">
        <w:t>Полученият трансфер от МЗ за</w:t>
      </w:r>
      <w:r w:rsidRPr="00982460">
        <w:rPr>
          <w:szCs w:val="20"/>
        </w:rPr>
        <w:t xml:space="preserve"> финансиране на разходите </w:t>
      </w:r>
      <w:r w:rsidRPr="00982460">
        <w:t xml:space="preserve">за лекарствени продукти – ваксини и дейности по прилагането им по чл. 82, ал. 2, т. 3 от Закона за здравето; за дейности за здравно неосигурени лица, включващи: интензивно лечение; комплексно диспансерно (амбулаторно) наблюдение при пациенти с кожно-венерически и психиатрични заболявания; </w:t>
      </w:r>
      <w:r w:rsidRPr="00982460">
        <w:rPr>
          <w:szCs w:val="20"/>
        </w:rPr>
        <w:t xml:space="preserve">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w:t>
      </w:r>
      <w:r w:rsidRPr="0073657D">
        <w:rPr>
          <w:szCs w:val="20"/>
        </w:rPr>
        <w:t>здравно осигуряване</w:t>
      </w:r>
      <w:r w:rsidRPr="0073657D">
        <w:t xml:space="preserve"> </w:t>
      </w:r>
      <w:r w:rsidRPr="0073657D">
        <w:rPr>
          <w:szCs w:val="20"/>
        </w:rPr>
        <w:t xml:space="preserve">за отчетния период e в размер на </w:t>
      </w:r>
      <w:r w:rsidRPr="0073657D">
        <w:rPr>
          <w:szCs w:val="20"/>
          <w:lang w:val="ru-RU"/>
        </w:rPr>
        <w:t>135</w:t>
      </w:r>
      <w:r w:rsidRPr="0073657D">
        <w:rPr>
          <w:szCs w:val="20"/>
        </w:rPr>
        <w:t>,3</w:t>
      </w:r>
      <w:r w:rsidRPr="0073657D">
        <w:t xml:space="preserve"> млн. лева.</w:t>
      </w:r>
    </w:p>
    <w:p w14:paraId="3C9B2636" w14:textId="77777777" w:rsidR="00565262" w:rsidRPr="0073657D" w:rsidRDefault="00565262" w:rsidP="00565262">
      <w:pPr>
        <w:ind w:firstLine="567"/>
        <w:jc w:val="both"/>
      </w:pPr>
      <w:r w:rsidRPr="0073657D">
        <w:t>Получените трансфери от централния бюджет (вкл. за поети осигурителни вноски) за периода са 2</w:t>
      </w:r>
      <w:r w:rsidRPr="0073657D">
        <w:rPr>
          <w:lang w:val="en-US"/>
        </w:rPr>
        <w:t> </w:t>
      </w:r>
      <w:r w:rsidRPr="0073657D">
        <w:t xml:space="preserve">313,8 млн. лв. </w:t>
      </w:r>
      <w:r>
        <w:t xml:space="preserve">В сумата се включва и предоставен допълнителен трансфер в размер на 5,5 млн. лв. </w:t>
      </w:r>
      <w:r w:rsidRPr="00667547">
        <w:rPr>
          <w:color w:val="000000" w:themeColor="text1"/>
        </w:rPr>
        <w:t xml:space="preserve">в изпълнение на ПМС </w:t>
      </w:r>
      <w:r>
        <w:rPr>
          <w:color w:val="000000" w:themeColor="text1"/>
        </w:rPr>
        <w:t xml:space="preserve">№ </w:t>
      </w:r>
      <w:r w:rsidRPr="00667547">
        <w:rPr>
          <w:color w:val="000000" w:themeColor="text1"/>
        </w:rPr>
        <w:t>137</w:t>
      </w:r>
      <w:r>
        <w:rPr>
          <w:color w:val="000000" w:themeColor="text1"/>
        </w:rPr>
        <w:t>/</w:t>
      </w:r>
      <w:r w:rsidRPr="00667547">
        <w:rPr>
          <w:color w:val="000000" w:themeColor="text1"/>
        </w:rPr>
        <w:t xml:space="preserve"> 2024 г.</w:t>
      </w:r>
      <w:r>
        <w:rPr>
          <w:color w:val="000000" w:themeColor="text1"/>
        </w:rPr>
        <w:t xml:space="preserve"> </w:t>
      </w:r>
      <w:r w:rsidRPr="00667547">
        <w:rPr>
          <w:color w:val="000000" w:themeColor="text1"/>
        </w:rPr>
        <w:t>за преодоляване на диспропорции във възнагражденията на персонала в бюджетните организации</w:t>
      </w:r>
      <w:r>
        <w:rPr>
          <w:color w:val="000000" w:themeColor="text1"/>
        </w:rPr>
        <w:t>.</w:t>
      </w:r>
    </w:p>
    <w:p w14:paraId="2715A77B" w14:textId="77777777" w:rsidR="00565262" w:rsidRPr="00453302" w:rsidRDefault="00565262" w:rsidP="00565262">
      <w:pPr>
        <w:ind w:firstLine="567"/>
        <w:jc w:val="both"/>
      </w:pPr>
      <w:r w:rsidRPr="00453302">
        <w:t xml:space="preserve">Отчетените </w:t>
      </w:r>
      <w:r w:rsidRPr="00453302">
        <w:rPr>
          <w:b/>
        </w:rPr>
        <w:t>разходи</w:t>
      </w:r>
      <w:r w:rsidRPr="00453302">
        <w:t xml:space="preserve"> към 30.09.2024 г. са в размер на 6 031,4 млн. лв. и нарастват с 1 084,8</w:t>
      </w:r>
      <w:r w:rsidRPr="00453302">
        <w:rPr>
          <w:lang w:val="en-US"/>
        </w:rPr>
        <w:t> </w:t>
      </w:r>
      <w:r w:rsidRPr="00453302">
        <w:t>млн. лв. (21,9 %) спрямо същия период на миналата година. Спрямо годишните разчети извършените разходи представляват 73,8 %.</w:t>
      </w:r>
    </w:p>
    <w:p w14:paraId="04C6E690" w14:textId="77777777" w:rsidR="00565262" w:rsidRPr="007D5380" w:rsidRDefault="00565262" w:rsidP="00565262">
      <w:pPr>
        <w:ind w:firstLine="567"/>
        <w:jc w:val="both"/>
      </w:pPr>
      <w:r w:rsidRPr="007D5380">
        <w:t>Най-голям относителен дял в общите разходи (96,6 %) заемат здравноосигурителните плащания, които възлизат на 5 827,5 млн. лева. В отделните направления на здравноосигурителни плащания изпълнението на бюджета за първите девет месеца на 2024 г. е следното:</w:t>
      </w:r>
    </w:p>
    <w:p w14:paraId="5D87E3B9" w14:textId="77777777" w:rsidR="00565262" w:rsidRPr="007D5380" w:rsidRDefault="00565262" w:rsidP="00E86EAF">
      <w:pPr>
        <w:numPr>
          <w:ilvl w:val="0"/>
          <w:numId w:val="12"/>
        </w:numPr>
        <w:tabs>
          <w:tab w:val="num" w:pos="0"/>
          <w:tab w:val="left" w:pos="720"/>
          <w:tab w:val="left" w:pos="1134"/>
        </w:tabs>
        <w:spacing w:before="120" w:line="276" w:lineRule="auto"/>
        <w:ind w:hanging="6169"/>
        <w:jc w:val="both"/>
        <w:rPr>
          <w:bCs/>
        </w:rPr>
      </w:pPr>
      <w:r w:rsidRPr="007D5380">
        <w:rPr>
          <w:b/>
          <w:i/>
        </w:rPr>
        <w:t>първична извънболнична медицинска помощ</w:t>
      </w:r>
      <w:r w:rsidRPr="007D5380">
        <w:rPr>
          <w:i/>
        </w:rPr>
        <w:t xml:space="preserve"> –</w:t>
      </w:r>
      <w:r w:rsidRPr="007D5380">
        <w:t xml:space="preserve"> 405,4 млн. лева;</w:t>
      </w:r>
      <w:r w:rsidRPr="007D5380">
        <w:rPr>
          <w:bCs/>
        </w:rPr>
        <w:t xml:space="preserve"> </w:t>
      </w:r>
    </w:p>
    <w:p w14:paraId="41382000" w14:textId="77777777" w:rsidR="00565262" w:rsidRPr="007D5380" w:rsidRDefault="00565262" w:rsidP="00E86EAF">
      <w:pPr>
        <w:numPr>
          <w:ilvl w:val="0"/>
          <w:numId w:val="12"/>
        </w:numPr>
        <w:tabs>
          <w:tab w:val="num" w:pos="0"/>
          <w:tab w:val="left" w:pos="720"/>
          <w:tab w:val="left" w:pos="1134"/>
        </w:tabs>
        <w:spacing w:line="276" w:lineRule="auto"/>
        <w:ind w:hanging="6169"/>
        <w:jc w:val="both"/>
        <w:rPr>
          <w:i/>
        </w:rPr>
      </w:pPr>
      <w:r w:rsidRPr="007D5380">
        <w:rPr>
          <w:b/>
          <w:i/>
        </w:rPr>
        <w:t xml:space="preserve">специализирана извънболнична медицинска помощ </w:t>
      </w:r>
      <w:r w:rsidRPr="007D5380">
        <w:t xml:space="preserve"> – 416,6 млн. лева;</w:t>
      </w:r>
    </w:p>
    <w:p w14:paraId="21307A24" w14:textId="77777777" w:rsidR="00565262" w:rsidRPr="007D5380" w:rsidRDefault="00565262" w:rsidP="00E86EAF">
      <w:pPr>
        <w:numPr>
          <w:ilvl w:val="0"/>
          <w:numId w:val="12"/>
        </w:numPr>
        <w:tabs>
          <w:tab w:val="num" w:pos="0"/>
          <w:tab w:val="left" w:pos="720"/>
          <w:tab w:val="left" w:pos="1134"/>
        </w:tabs>
        <w:spacing w:line="276" w:lineRule="auto"/>
        <w:ind w:hanging="6169"/>
        <w:jc w:val="both"/>
        <w:rPr>
          <w:b/>
        </w:rPr>
      </w:pPr>
      <w:r w:rsidRPr="007D5380">
        <w:rPr>
          <w:b/>
          <w:i/>
        </w:rPr>
        <w:t xml:space="preserve">дентална помощ </w:t>
      </w:r>
      <w:r w:rsidRPr="007D5380">
        <w:rPr>
          <w:b/>
        </w:rPr>
        <w:t xml:space="preserve">– </w:t>
      </w:r>
      <w:r w:rsidRPr="007D5380">
        <w:rPr>
          <w:lang w:val="en-US"/>
        </w:rPr>
        <w:t>2</w:t>
      </w:r>
      <w:r w:rsidRPr="007D5380">
        <w:t>79,8 млн. лева;</w:t>
      </w:r>
    </w:p>
    <w:p w14:paraId="5BCA7E42" w14:textId="77777777" w:rsidR="00565262" w:rsidRPr="006F6436" w:rsidRDefault="00565262" w:rsidP="00E86EAF">
      <w:pPr>
        <w:numPr>
          <w:ilvl w:val="0"/>
          <w:numId w:val="12"/>
        </w:numPr>
        <w:tabs>
          <w:tab w:val="num" w:pos="0"/>
          <w:tab w:val="left" w:pos="720"/>
          <w:tab w:val="left" w:pos="1134"/>
        </w:tabs>
        <w:spacing w:line="276" w:lineRule="auto"/>
        <w:ind w:hanging="6169"/>
        <w:jc w:val="both"/>
        <w:rPr>
          <w:b/>
          <w:i/>
        </w:rPr>
      </w:pPr>
      <w:r w:rsidRPr="006F6436">
        <w:rPr>
          <w:b/>
          <w:i/>
        </w:rPr>
        <w:t xml:space="preserve">медико-диагностична дейност </w:t>
      </w:r>
      <w:r w:rsidRPr="006F6436">
        <w:t>– 168,8 млн. лева;</w:t>
      </w:r>
      <w:r w:rsidRPr="006F6436">
        <w:rPr>
          <w:b/>
          <w:i/>
        </w:rPr>
        <w:t xml:space="preserve"> </w:t>
      </w:r>
    </w:p>
    <w:p w14:paraId="025A9940" w14:textId="77777777" w:rsidR="00565262" w:rsidRPr="006F6436" w:rsidRDefault="00565262" w:rsidP="00E86EAF">
      <w:pPr>
        <w:numPr>
          <w:ilvl w:val="0"/>
          <w:numId w:val="12"/>
        </w:numPr>
        <w:tabs>
          <w:tab w:val="num" w:pos="0"/>
          <w:tab w:val="left" w:pos="1134"/>
        </w:tabs>
        <w:spacing w:line="276" w:lineRule="auto"/>
        <w:ind w:left="1134" w:hanging="425"/>
        <w:jc w:val="both"/>
      </w:pPr>
      <w:r w:rsidRPr="006F6436">
        <w:rPr>
          <w:b/>
          <w:i/>
        </w:rPr>
        <w:t xml:space="preserve">лекарствени продукти, медицински изделия и диетични храни за домашно лечение на територията на страната  - </w:t>
      </w:r>
      <w:r w:rsidRPr="006F6436">
        <w:t>861,8 млн. лв.</w:t>
      </w:r>
    </w:p>
    <w:p w14:paraId="68B5D59C" w14:textId="77777777" w:rsidR="00565262" w:rsidRPr="006F6436" w:rsidRDefault="00565262" w:rsidP="00E86EAF">
      <w:pPr>
        <w:numPr>
          <w:ilvl w:val="0"/>
          <w:numId w:val="12"/>
        </w:numPr>
        <w:tabs>
          <w:tab w:val="num" w:pos="0"/>
          <w:tab w:val="left" w:pos="1134"/>
          <w:tab w:val="num" w:pos="6096"/>
        </w:tabs>
        <w:spacing w:line="276" w:lineRule="auto"/>
        <w:ind w:left="1134" w:hanging="425"/>
        <w:jc w:val="both"/>
      </w:pPr>
      <w:r w:rsidRPr="006F6436">
        <w:rPr>
          <w:b/>
          <w:i/>
        </w:rPr>
        <w:t xml:space="preserve"> лекарствени продукти за лечение на злокачествени заболявания в условията на болнична медицинска помощ </w:t>
      </w:r>
      <w:r w:rsidRPr="006F6436">
        <w:t xml:space="preserve"> – 750,6 млн. лева;</w:t>
      </w:r>
    </w:p>
    <w:p w14:paraId="22D0A5B5" w14:textId="77777777" w:rsidR="00565262" w:rsidRPr="006F6436" w:rsidRDefault="00565262" w:rsidP="00E86EAF">
      <w:pPr>
        <w:numPr>
          <w:ilvl w:val="0"/>
          <w:numId w:val="12"/>
        </w:numPr>
        <w:tabs>
          <w:tab w:val="num" w:pos="0"/>
          <w:tab w:val="left" w:pos="720"/>
          <w:tab w:val="num" w:pos="1134"/>
        </w:tabs>
        <w:spacing w:line="276" w:lineRule="auto"/>
        <w:ind w:left="1134" w:hanging="425"/>
        <w:jc w:val="both"/>
      </w:pPr>
      <w:r w:rsidRPr="006F6436">
        <w:rPr>
          <w:b/>
          <w:i/>
        </w:rPr>
        <w:t>медицински изделия, прилагани в болничната  помощ –</w:t>
      </w:r>
      <w:r w:rsidRPr="006F6436">
        <w:t xml:space="preserve"> 120,</w:t>
      </w:r>
      <w:r w:rsidRPr="006F6436">
        <w:rPr>
          <w:lang w:val="ru-RU"/>
        </w:rPr>
        <w:t>9</w:t>
      </w:r>
      <w:r w:rsidRPr="006F6436">
        <w:t xml:space="preserve"> млн. лева;</w:t>
      </w:r>
    </w:p>
    <w:p w14:paraId="3971C7AD" w14:textId="77777777" w:rsidR="00565262" w:rsidRPr="006F6436" w:rsidRDefault="00565262" w:rsidP="00E86EAF">
      <w:pPr>
        <w:numPr>
          <w:ilvl w:val="0"/>
          <w:numId w:val="12"/>
        </w:numPr>
        <w:tabs>
          <w:tab w:val="num" w:pos="0"/>
          <w:tab w:val="left" w:pos="720"/>
          <w:tab w:val="left" w:pos="1134"/>
        </w:tabs>
        <w:spacing w:line="276" w:lineRule="auto"/>
        <w:ind w:hanging="6169"/>
        <w:jc w:val="both"/>
      </w:pPr>
      <w:r w:rsidRPr="006F6436">
        <w:rPr>
          <w:b/>
          <w:i/>
        </w:rPr>
        <w:t>болнична медицинска помощ –</w:t>
      </w:r>
      <w:r w:rsidRPr="006F6436">
        <w:t xml:space="preserve"> 2 778,0 млн. лева.</w:t>
      </w:r>
      <w:r w:rsidRPr="006F6436">
        <w:tab/>
        <w:t xml:space="preserve"> </w:t>
      </w:r>
    </w:p>
    <w:p w14:paraId="5D061728" w14:textId="77777777" w:rsidR="00565262" w:rsidRPr="009D7A23" w:rsidRDefault="00565262" w:rsidP="00E86EAF">
      <w:pPr>
        <w:numPr>
          <w:ilvl w:val="0"/>
          <w:numId w:val="12"/>
        </w:numPr>
        <w:tabs>
          <w:tab w:val="num" w:pos="0"/>
          <w:tab w:val="left" w:pos="720"/>
          <w:tab w:val="left" w:pos="1134"/>
        </w:tabs>
        <w:spacing w:line="276" w:lineRule="auto"/>
        <w:ind w:hanging="6169"/>
        <w:jc w:val="both"/>
      </w:pPr>
      <w:r w:rsidRPr="009D7A23">
        <w:rPr>
          <w:b/>
          <w:i/>
        </w:rPr>
        <w:t xml:space="preserve">други здравноосигурителни плащания – </w:t>
      </w:r>
      <w:r w:rsidRPr="009D7A23">
        <w:t>45,6 млн. лева.</w:t>
      </w:r>
    </w:p>
    <w:p w14:paraId="4DB3352B" w14:textId="77777777" w:rsidR="00565262" w:rsidRPr="00EB32E2" w:rsidRDefault="00565262" w:rsidP="00565262">
      <w:pPr>
        <w:spacing w:before="120"/>
        <w:ind w:firstLine="567"/>
        <w:jc w:val="both"/>
      </w:pPr>
      <w:r w:rsidRPr="009D7A23">
        <w:t xml:space="preserve">Като здравноосигурителни плащания следва да се третират и преведените 141,4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w:t>
      </w:r>
      <w:r w:rsidRPr="00EB32E2">
        <w:t>здравноосигурителни плащания възлизат на 5 </w:t>
      </w:r>
      <w:r w:rsidRPr="00EB32E2">
        <w:rPr>
          <w:lang w:val="ru-RU"/>
        </w:rPr>
        <w:t>968</w:t>
      </w:r>
      <w:r w:rsidRPr="00EB32E2">
        <w:t>,8 млн. лв.</w:t>
      </w:r>
      <w:r w:rsidRPr="00EB32E2">
        <w:rPr>
          <w:lang w:val="ru-RU"/>
        </w:rPr>
        <w:t xml:space="preserve"> </w:t>
      </w:r>
    </w:p>
    <w:p w14:paraId="6F0B9214" w14:textId="77777777" w:rsidR="00565262" w:rsidRPr="00E7675D" w:rsidRDefault="00565262" w:rsidP="00565262">
      <w:pPr>
        <w:ind w:firstLine="567"/>
        <w:jc w:val="both"/>
        <w:rPr>
          <w:lang w:val="ru-RU"/>
        </w:rPr>
      </w:pPr>
      <w:r w:rsidRPr="00EB32E2">
        <w:t xml:space="preserve">За периода са отчетени плащания в размер на 123,3 млн. лв. за дейности за </w:t>
      </w:r>
      <w:proofErr w:type="spellStart"/>
      <w:r w:rsidRPr="00EB32E2">
        <w:t>здравнонеосигурени</w:t>
      </w:r>
      <w:proofErr w:type="spellEnd"/>
      <w:r w:rsidRPr="00EB32E2">
        <w:t xml:space="preserve"> лица, лекарствени продукти, потребителска такса, медицински изделия за хората с увреждания и за лечение на лица до 18 годишна възраст по чл.82, </w:t>
      </w:r>
      <w:r w:rsidRPr="00E7675D">
        <w:t>ал.1а, 3 и 6 от Закона за здравето и на лица над 18 годишна възраст по чл.82, ал.1а и 6.</w:t>
      </w:r>
      <w:r w:rsidRPr="00E7675D">
        <w:rPr>
          <w:lang w:val="ru-RU"/>
        </w:rPr>
        <w:t xml:space="preserve"> </w:t>
      </w:r>
    </w:p>
    <w:p w14:paraId="29EFF2D7" w14:textId="77777777" w:rsidR="00565262" w:rsidRPr="00E7675D" w:rsidRDefault="00565262" w:rsidP="00565262">
      <w:pPr>
        <w:ind w:firstLine="567"/>
        <w:jc w:val="both"/>
      </w:pPr>
      <w:r w:rsidRPr="00E7675D">
        <w:t>За първите девет месеца на годината са отчетени 77,7 млн. лв. за административни разходи на институцията, които включват разходите за персонал, за текуща издръжка и лихвени плащания. Усвоените средства за административни разходи заемат 1,3 на сто в структурата на общите разходи за отчетния период. Отчетените капиталови разходи за периода възлизат на 3,0 млн. лева.</w:t>
      </w:r>
    </w:p>
    <w:p w14:paraId="76DD4D5F" w14:textId="77777777" w:rsidR="00656380" w:rsidRPr="00387A3E" w:rsidRDefault="00656380" w:rsidP="002763DB">
      <w:pPr>
        <w:ind w:firstLine="567"/>
        <w:jc w:val="both"/>
        <w:rPr>
          <w:color w:val="0070C0"/>
        </w:rPr>
      </w:pPr>
    </w:p>
    <w:p w14:paraId="22EE1C04" w14:textId="77777777" w:rsidR="00B6120B" w:rsidRPr="006429B0" w:rsidRDefault="00B6120B" w:rsidP="00E86EAF">
      <w:pPr>
        <w:pStyle w:val="Heading1"/>
        <w:numPr>
          <w:ilvl w:val="1"/>
          <w:numId w:val="8"/>
        </w:numPr>
        <w:spacing w:before="120"/>
        <w:ind w:left="788" w:right="-108" w:hanging="431"/>
        <w:jc w:val="both"/>
        <w:rPr>
          <w:sz w:val="24"/>
        </w:rPr>
      </w:pPr>
      <w:r w:rsidRPr="006429B0">
        <w:rPr>
          <w:sz w:val="24"/>
        </w:rPr>
        <w:t>Общински бюджети</w:t>
      </w:r>
    </w:p>
    <w:p w14:paraId="23B58B83" w14:textId="77777777" w:rsidR="00750EB3" w:rsidRPr="0004146E" w:rsidRDefault="00750EB3" w:rsidP="00E86EAF">
      <w:pPr>
        <w:numPr>
          <w:ilvl w:val="0"/>
          <w:numId w:val="20"/>
        </w:numPr>
        <w:tabs>
          <w:tab w:val="left" w:pos="851"/>
        </w:tabs>
        <w:spacing w:before="120" w:line="276" w:lineRule="auto"/>
        <w:ind w:left="533" w:firstLine="34"/>
        <w:jc w:val="both"/>
        <w:rPr>
          <w:b/>
        </w:rPr>
      </w:pPr>
      <w:r w:rsidRPr="0004146E">
        <w:rPr>
          <w:b/>
        </w:rPr>
        <w:t>Приходи</w:t>
      </w:r>
    </w:p>
    <w:p w14:paraId="2B96AAE7" w14:textId="77777777" w:rsidR="0004146E" w:rsidRPr="007E3F4E" w:rsidRDefault="0004146E" w:rsidP="0004146E">
      <w:pPr>
        <w:tabs>
          <w:tab w:val="center" w:pos="4153"/>
          <w:tab w:val="right" w:pos="8306"/>
        </w:tabs>
        <w:ind w:firstLine="567"/>
        <w:jc w:val="both"/>
      </w:pPr>
      <w:r w:rsidRPr="007E3F4E">
        <w:t>Приходите по бюджетите на общините към 30.0</w:t>
      </w:r>
      <w:r w:rsidRPr="007E3F4E">
        <w:rPr>
          <w:lang w:val="ru-RU"/>
        </w:rPr>
        <w:t>9</w:t>
      </w:r>
      <w:r w:rsidRPr="007E3F4E">
        <w:t xml:space="preserve">.2024 г. са в размер на </w:t>
      </w:r>
      <w:r w:rsidRPr="007E3F4E">
        <w:rPr>
          <w:lang w:val="ru-RU"/>
        </w:rPr>
        <w:t>2</w:t>
      </w:r>
      <w:r>
        <w:rPr>
          <w:lang w:val="en-US"/>
        </w:rPr>
        <w:t> </w:t>
      </w:r>
      <w:r>
        <w:rPr>
          <w:lang w:val="ru-RU"/>
        </w:rPr>
        <w:t>659,</w:t>
      </w:r>
      <w:r w:rsidRPr="007E3F4E">
        <w:rPr>
          <w:lang w:val="ru-RU"/>
        </w:rPr>
        <w:t>2</w:t>
      </w:r>
      <w:r w:rsidRPr="007E3F4E">
        <w:t xml:space="preserve"> млн. лв., което е с </w:t>
      </w:r>
      <w:r>
        <w:rPr>
          <w:lang w:val="ru-RU"/>
        </w:rPr>
        <w:t>96,8</w:t>
      </w:r>
      <w:r w:rsidRPr="007E3F4E">
        <w:t xml:space="preserve"> млн. лв. или с </w:t>
      </w:r>
      <w:r>
        <w:rPr>
          <w:lang w:val="ru-RU"/>
        </w:rPr>
        <w:t>3,</w:t>
      </w:r>
      <w:r w:rsidRPr="007E3F4E">
        <w:rPr>
          <w:lang w:val="ru-RU"/>
        </w:rPr>
        <w:t>8</w:t>
      </w:r>
      <w:r>
        <w:rPr>
          <w:lang w:val="ru-RU"/>
        </w:rPr>
        <w:t xml:space="preserve"> </w:t>
      </w:r>
      <w:r w:rsidRPr="007E3F4E">
        <w:t>% повече спрямо изпълнението за същия период на 2023 г</w:t>
      </w:r>
      <w:r>
        <w:rPr>
          <w:rFonts w:eastAsia="Calibri"/>
          <w:bCs/>
        </w:rPr>
        <w:t>одина.</w:t>
      </w:r>
    </w:p>
    <w:p w14:paraId="4E271D95" w14:textId="21CEC8B4" w:rsidR="0004146E" w:rsidRPr="007E3F4E" w:rsidRDefault="0004146E" w:rsidP="0004146E">
      <w:pPr>
        <w:tabs>
          <w:tab w:val="center" w:pos="4153"/>
          <w:tab w:val="right" w:pos="8306"/>
        </w:tabs>
        <w:ind w:firstLine="567"/>
        <w:jc w:val="both"/>
      </w:pPr>
      <w:r w:rsidRPr="00185951">
        <w:rPr>
          <w:i/>
        </w:rPr>
        <w:t>Данъчните приходи</w:t>
      </w:r>
      <w:r w:rsidRPr="007E3F4E">
        <w:t xml:space="preserve"> по общинските бюджети са в размер на </w:t>
      </w:r>
      <w:r w:rsidRPr="007E3F4E">
        <w:rPr>
          <w:lang w:val="ru-RU"/>
        </w:rPr>
        <w:t>1</w:t>
      </w:r>
      <w:r w:rsidR="00CA2C14">
        <w:rPr>
          <w:lang w:val="en-US"/>
        </w:rPr>
        <w:t> </w:t>
      </w:r>
      <w:r w:rsidRPr="007E3F4E">
        <w:rPr>
          <w:lang w:val="ru-RU"/>
        </w:rPr>
        <w:t>227</w:t>
      </w:r>
      <w:r w:rsidR="00CA2C14">
        <w:rPr>
          <w:lang w:val="ru-RU"/>
        </w:rPr>
        <w:t>,</w:t>
      </w:r>
      <w:r w:rsidRPr="007E3F4E">
        <w:rPr>
          <w:lang w:val="ru-RU"/>
        </w:rPr>
        <w:t>9</w:t>
      </w:r>
      <w:r w:rsidRPr="007E3F4E">
        <w:t xml:space="preserve"> млн. лв. или с </w:t>
      </w:r>
      <w:r w:rsidRPr="007E3F4E">
        <w:rPr>
          <w:lang w:val="ru-RU"/>
        </w:rPr>
        <w:t>12.0</w:t>
      </w:r>
      <w:r w:rsidR="00CA2C14">
        <w:rPr>
          <w:lang w:val="ru-RU"/>
        </w:rPr>
        <w:t xml:space="preserve"> </w:t>
      </w:r>
      <w:r w:rsidRPr="007E3F4E">
        <w:t xml:space="preserve">% повече спрямо тези за същия период на 2023 г. </w:t>
      </w:r>
      <w:r w:rsidRPr="00185951">
        <w:rPr>
          <w:i/>
        </w:rPr>
        <w:t>Неданъчните приходи и помощите</w:t>
      </w:r>
      <w:r w:rsidRPr="007E3F4E">
        <w:t xml:space="preserve"> към 30.0</w:t>
      </w:r>
      <w:r w:rsidRPr="007E3F4E">
        <w:rPr>
          <w:lang w:val="ru-RU"/>
        </w:rPr>
        <w:t>9</w:t>
      </w:r>
      <w:r w:rsidRPr="007E3F4E">
        <w:t>.2024</w:t>
      </w:r>
      <w:r>
        <w:t> </w:t>
      </w:r>
      <w:r w:rsidRPr="007E3F4E">
        <w:t xml:space="preserve">г. възлизат на </w:t>
      </w:r>
      <w:r w:rsidRPr="007E3F4E">
        <w:rPr>
          <w:lang w:val="ru-RU"/>
        </w:rPr>
        <w:t>1</w:t>
      </w:r>
      <w:r>
        <w:rPr>
          <w:lang w:val="ru-RU"/>
        </w:rPr>
        <w:t> 431,</w:t>
      </w:r>
      <w:r w:rsidRPr="007E3F4E">
        <w:rPr>
          <w:lang w:val="ru-RU"/>
        </w:rPr>
        <w:t>3</w:t>
      </w:r>
      <w:r w:rsidRPr="007E3F4E">
        <w:t xml:space="preserve"> млн. лв. или с </w:t>
      </w:r>
      <w:r>
        <w:rPr>
          <w:lang w:val="ru-RU"/>
        </w:rPr>
        <w:t>34,9</w:t>
      </w:r>
      <w:r w:rsidRPr="007E3F4E">
        <w:t xml:space="preserve"> млн. лв. по-малко спрямо деветмесечие</w:t>
      </w:r>
      <w:r>
        <w:t>то</w:t>
      </w:r>
      <w:r w:rsidRPr="007E3F4E">
        <w:t xml:space="preserve"> на предходната година, като намалението се дължи на спад в постъпленията от продажба на нефинансови активи. От имуществени данъци в общинските бюджети към 30.0</w:t>
      </w:r>
      <w:r w:rsidRPr="007E3F4E">
        <w:rPr>
          <w:lang w:val="ru-RU"/>
        </w:rPr>
        <w:t>9</w:t>
      </w:r>
      <w:r w:rsidRPr="007E3F4E">
        <w:t>.2024 г. са постъпили 1 218,5 млн. лв., което представлява ръст от 11,9</w:t>
      </w:r>
      <w:r>
        <w:t xml:space="preserve"> </w:t>
      </w:r>
      <w:r w:rsidRPr="007E3F4E">
        <w:t>% спрямо същия период на миналата година. С най-значителен дял в приходите от имуществени данъци е данъкът върху придобиването на имущество по дарения и възмезден начин – 37,4</w:t>
      </w:r>
      <w:r>
        <w:t xml:space="preserve"> </w:t>
      </w:r>
      <w:r w:rsidRPr="007E3F4E">
        <w:t>%, следван от данъкът върху превозните средства – 30,8</w:t>
      </w:r>
      <w:r>
        <w:t xml:space="preserve"> </w:t>
      </w:r>
      <w:r w:rsidRPr="007E3F4E">
        <w:t>%, данъкът върху недвижимите имоти – 30,1</w:t>
      </w:r>
      <w:r>
        <w:t xml:space="preserve"> </w:t>
      </w:r>
      <w:r w:rsidRPr="007E3F4E">
        <w:t>% и туристическият данък – 1,7</w:t>
      </w:r>
      <w:r>
        <w:t xml:space="preserve"> </w:t>
      </w:r>
      <w:r w:rsidRPr="007E3F4E">
        <w:t>%. Към 30.0</w:t>
      </w:r>
      <w:r w:rsidRPr="007E3F4E">
        <w:rPr>
          <w:lang w:val="ru-RU"/>
        </w:rPr>
        <w:t>9</w:t>
      </w:r>
      <w:r w:rsidRPr="007E3F4E">
        <w:t xml:space="preserve">.2024 г. по бюджетите на общините са постъпили 9,4 млн. лв. от патентен данък и данък върху таксиметров превоз на пътници. </w:t>
      </w:r>
    </w:p>
    <w:p w14:paraId="4DA6C9C6" w14:textId="77777777" w:rsidR="0004146E" w:rsidRPr="007E3F4E" w:rsidRDefault="0004146E" w:rsidP="0004146E">
      <w:pPr>
        <w:tabs>
          <w:tab w:val="center" w:pos="4153"/>
          <w:tab w:val="right" w:pos="8306"/>
        </w:tabs>
        <w:ind w:firstLine="567"/>
        <w:jc w:val="both"/>
      </w:pPr>
      <w:r w:rsidRPr="007E3F4E">
        <w:t xml:space="preserve">Общият размер на </w:t>
      </w:r>
      <w:r w:rsidRPr="00185951">
        <w:rPr>
          <w:i/>
        </w:rPr>
        <w:t>неданъчните приходи</w:t>
      </w:r>
      <w:r w:rsidRPr="007E3F4E">
        <w:t>, постъпили по местните бюджети към 30.0</w:t>
      </w:r>
      <w:r w:rsidRPr="007E3F4E">
        <w:rPr>
          <w:lang w:val="ru-RU"/>
        </w:rPr>
        <w:t>9</w:t>
      </w:r>
      <w:r w:rsidRPr="007E3F4E">
        <w:t>.2024</w:t>
      </w:r>
      <w:r>
        <w:t> </w:t>
      </w:r>
      <w:r w:rsidRPr="007E3F4E">
        <w:t>г., е 1 410,9</w:t>
      </w:r>
      <w:r w:rsidRPr="007E3F4E">
        <w:rPr>
          <w:lang w:val="ru-RU"/>
        </w:rPr>
        <w:t xml:space="preserve"> </w:t>
      </w:r>
      <w:r w:rsidRPr="007E3F4E">
        <w:t>млн. лв. Най-голям относителен дял в неданъчните приходи в общинските бюджети заемат приходите от общински такси (879,0 млн. лв.) или 62,3</w:t>
      </w:r>
      <w:r>
        <w:t xml:space="preserve"> </w:t>
      </w:r>
      <w:r w:rsidRPr="007E3F4E">
        <w:t>%, следват приходите и доходите от собственост (302,7 млн. лв.) – 21,5</w:t>
      </w:r>
      <w:r>
        <w:t xml:space="preserve"> </w:t>
      </w:r>
      <w:r w:rsidRPr="007E3F4E">
        <w:t>%, постъпленията от продажба на нефинансови активи (116,2 млн. лв.) – 8,2</w:t>
      </w:r>
      <w:r>
        <w:t xml:space="preserve"> </w:t>
      </w:r>
      <w:r w:rsidRPr="007E3F4E">
        <w:t>%, приходите от концесии (63,1 млн. лв.) – 4,5</w:t>
      </w:r>
      <w:r>
        <w:t xml:space="preserve"> </w:t>
      </w:r>
      <w:r w:rsidRPr="007E3F4E">
        <w:t>%, и постъпленията от глоби, санкции и наказателни лихви (70,7 млн. лв.) – 5,0</w:t>
      </w:r>
      <w:r>
        <w:t xml:space="preserve"> </w:t>
      </w:r>
      <w:r w:rsidRPr="007E3F4E">
        <w:t>%. Съпоставени с девет</w:t>
      </w:r>
      <w:r>
        <w:t>те месеца</w:t>
      </w:r>
      <w:r w:rsidRPr="007E3F4E">
        <w:t xml:space="preserve"> на предходната 2023 г. постъплени</w:t>
      </w:r>
      <w:r>
        <w:t>ята от неданъчни приходи са с 34,1</w:t>
      </w:r>
      <w:r w:rsidRPr="007E3F4E">
        <w:t xml:space="preserve"> млн. лв. по-малко, което се дължи на спад в постъпленията от продажба на нефинансови активи, които приходи следва да се отбележи, че са с еднократен характер. </w:t>
      </w:r>
    </w:p>
    <w:p w14:paraId="1297994F" w14:textId="77777777" w:rsidR="0004146E" w:rsidRPr="007E3F4E" w:rsidRDefault="0004146E" w:rsidP="0004146E">
      <w:pPr>
        <w:tabs>
          <w:tab w:val="center" w:pos="4153"/>
          <w:tab w:val="right" w:pos="8306"/>
        </w:tabs>
        <w:ind w:firstLine="567"/>
        <w:jc w:val="both"/>
      </w:pPr>
      <w:r w:rsidRPr="007E3F4E">
        <w:t>Към 30.0</w:t>
      </w:r>
      <w:r w:rsidRPr="007E3F4E">
        <w:rPr>
          <w:lang w:val="ru-RU"/>
        </w:rPr>
        <w:t>9</w:t>
      </w:r>
      <w:r w:rsidRPr="007E3F4E">
        <w:t xml:space="preserve">.2024 г. по общинските бюджети са постъпили 20,4 млн. лв. приходи от </w:t>
      </w:r>
      <w:r w:rsidRPr="00185951">
        <w:rPr>
          <w:i/>
        </w:rPr>
        <w:t>помощи и дарения</w:t>
      </w:r>
      <w:r w:rsidRPr="007E3F4E">
        <w:t xml:space="preserve">, които са с 0,8 млн. лв. по-малко спрямо размера им за същия период на миналата година. </w:t>
      </w:r>
    </w:p>
    <w:p w14:paraId="5CE12026" w14:textId="77777777" w:rsidR="0004146E" w:rsidRPr="00387A3E" w:rsidRDefault="0004146E" w:rsidP="0004146E">
      <w:pPr>
        <w:tabs>
          <w:tab w:val="center" w:pos="4153"/>
          <w:tab w:val="right" w:pos="8306"/>
        </w:tabs>
        <w:ind w:firstLine="567"/>
        <w:jc w:val="both"/>
        <w:rPr>
          <w:color w:val="0070C0"/>
          <w:lang w:eastAsia="bg-BG"/>
        </w:rPr>
      </w:pPr>
      <w:r w:rsidRPr="00387A3E">
        <w:rPr>
          <w:color w:val="0070C0"/>
          <w:lang w:eastAsia="bg-BG"/>
        </w:rPr>
        <w:t xml:space="preserve"> </w:t>
      </w:r>
    </w:p>
    <w:p w14:paraId="439B3157" w14:textId="77777777" w:rsidR="0004146E" w:rsidRPr="00185951" w:rsidRDefault="0004146E" w:rsidP="0004146E">
      <w:pPr>
        <w:numPr>
          <w:ilvl w:val="0"/>
          <w:numId w:val="20"/>
        </w:numPr>
        <w:tabs>
          <w:tab w:val="left" w:pos="851"/>
        </w:tabs>
        <w:spacing w:line="276" w:lineRule="auto"/>
        <w:ind w:left="533" w:firstLine="34"/>
        <w:jc w:val="both"/>
        <w:rPr>
          <w:b/>
        </w:rPr>
      </w:pPr>
      <w:r w:rsidRPr="00185951">
        <w:rPr>
          <w:b/>
        </w:rPr>
        <w:t>Разходи</w:t>
      </w:r>
    </w:p>
    <w:p w14:paraId="33C0A0C9" w14:textId="77777777" w:rsidR="0004146E" w:rsidRPr="007E3F4E" w:rsidRDefault="0004146E" w:rsidP="0004146E">
      <w:pPr>
        <w:tabs>
          <w:tab w:val="center" w:pos="4153"/>
          <w:tab w:val="right" w:pos="8306"/>
        </w:tabs>
        <w:ind w:firstLine="567"/>
        <w:jc w:val="both"/>
      </w:pPr>
      <w:r w:rsidRPr="007E3F4E">
        <w:t xml:space="preserve">Към 30.09.2024 г. общините са отчели общо разходи в размер на </w:t>
      </w:r>
      <w:r>
        <w:t>9 789,0 млн. лв., които са с 1 622,8</w:t>
      </w:r>
      <w:r w:rsidRPr="007E3F4E">
        <w:t xml:space="preserve"> млн. лв. повече от същия период на миналата година. </w:t>
      </w:r>
      <w:r w:rsidRPr="00385CA6">
        <w:rPr>
          <w:i/>
        </w:rPr>
        <w:t>Нелихвените разходи</w:t>
      </w:r>
      <w:r w:rsidRPr="00385CA6">
        <w:t xml:space="preserve"> възлизат на </w:t>
      </w:r>
      <w:r>
        <w:rPr>
          <w:lang w:eastAsia="bg-BG"/>
        </w:rPr>
        <w:t>9 749,9</w:t>
      </w:r>
      <w:r w:rsidRPr="00385CA6">
        <w:rPr>
          <w:lang w:val="ru-RU" w:eastAsia="bg-BG"/>
        </w:rPr>
        <w:t xml:space="preserve"> </w:t>
      </w:r>
      <w:r w:rsidRPr="00385CA6">
        <w:t>млн. лв.</w:t>
      </w:r>
      <w:r w:rsidRPr="00385CA6">
        <w:rPr>
          <w:lang w:val="ru-RU"/>
        </w:rPr>
        <w:t xml:space="preserve"> С най-голям относителен дял са</w:t>
      </w:r>
      <w:r w:rsidRPr="00385CA6">
        <w:t xml:space="preserve"> разходите за персонал </w:t>
      </w:r>
      <w:r w:rsidRPr="007E3F4E">
        <w:t>(заплати, други възнаграждения и осигурителни плащания за перс</w:t>
      </w:r>
      <w:r>
        <w:t xml:space="preserve">онала) – 5 585,3 млн. лв. – 57,3 </w:t>
      </w:r>
      <w:r w:rsidRPr="007E3F4E">
        <w:t>%, следват разходите за издръжка</w:t>
      </w:r>
      <w:r w:rsidRPr="00385CA6">
        <w:t xml:space="preserve"> </w:t>
      </w:r>
      <w:r w:rsidRPr="00385CA6">
        <w:rPr>
          <w:bCs/>
        </w:rPr>
        <w:t>(вкл. разходи за членски внос и участие в нетърговски организации и дейности, платени данъци, такси и административни санкции)</w:t>
      </w:r>
      <w:r>
        <w:rPr>
          <w:bCs/>
          <w:lang w:val="en-US"/>
        </w:rPr>
        <w:t xml:space="preserve"> </w:t>
      </w:r>
      <w:r>
        <w:rPr>
          <w:lang w:val="en-US"/>
        </w:rPr>
        <w:t xml:space="preserve">- </w:t>
      </w:r>
      <w:r>
        <w:t>2 143,6</w:t>
      </w:r>
      <w:r w:rsidRPr="007E3F4E">
        <w:t xml:space="preserve"> млн.</w:t>
      </w:r>
      <w:r>
        <w:t xml:space="preserve"> лв. – 22,0 </w:t>
      </w:r>
      <w:r w:rsidRPr="007E3F4E">
        <w:t>%, разходите за</w:t>
      </w:r>
      <w:r>
        <w:t xml:space="preserve"> субсидии (484,3 млн. лв.) – 5,0 </w:t>
      </w:r>
      <w:r w:rsidRPr="007E3F4E">
        <w:t>% и изплатените текущи трансфери, обезщетения и помощи за до</w:t>
      </w:r>
      <w:r>
        <w:t>макинствата (190,0 млн. лв.) – 1,9 процента</w:t>
      </w:r>
      <w:r w:rsidRPr="007E3F4E">
        <w:t xml:space="preserve">. </w:t>
      </w:r>
    </w:p>
    <w:p w14:paraId="7FE5121D" w14:textId="77777777" w:rsidR="0004146E" w:rsidRPr="007E3F4E" w:rsidRDefault="0004146E" w:rsidP="0004146E">
      <w:pPr>
        <w:tabs>
          <w:tab w:val="center" w:pos="4153"/>
          <w:tab w:val="right" w:pos="8306"/>
        </w:tabs>
        <w:ind w:firstLine="567"/>
        <w:jc w:val="both"/>
      </w:pPr>
      <w:r w:rsidRPr="007E3F4E">
        <w:t xml:space="preserve">Общият размер на платените от общинските бюджети </w:t>
      </w:r>
      <w:r w:rsidRPr="002E1099">
        <w:rPr>
          <w:i/>
        </w:rPr>
        <w:t>лихви</w:t>
      </w:r>
      <w:r w:rsidRPr="007E3F4E">
        <w:t xml:space="preserve"> към 30.09.2024 г. е 39,1 млн. лв. Към същия период на 2023 г. те са били 32,0 млн. лв. или с 7,1 млн. лв. по-малко. Лихвените плащания по заеми от чужбина към </w:t>
      </w:r>
      <w:r>
        <w:t>деветмесечието</w:t>
      </w:r>
      <w:r w:rsidRPr="007E3F4E">
        <w:t xml:space="preserve"> на тази година са в размер на 13,2 млн. лв. (с 1,7 млн. лв. повече в сравнение със същия период на миналата година). По облигационни заеми платените лихви от общините са 1,1 млн. лв., като почти същият размер е платен за същия период на предходната година. По заеми към местни лица от страната (заеми от банки, заеми от „ФЛАГ“ ЕАД и др. местни лица) отчетените от общините разходи за лихви са 22,0 млн. лв., като при тях е отчетено най-голямото увеличение спрямо същия период на 2023 г. (към 30.09.2023 г. те са били 15,7 млн. лв. или с 6,3 млн. лв. по-малко). Отчетените лихвени разходи по задължения, представляващи форми на общински дълг (лихви по финансов лизинг и търговски кредити) са в размер на 0,2 млн. лв. Платените за деветмесечието законни лихви по просрочени безлихвени заеми са в размер на 0,9 млн. лв. и са повече с 0,6 млн. лв. в сравнение със същия период на миналата година, което се дължи най-вече на платените повече законни лихви по невъзстановени в срок безлихвени заеми, предоставени на общините от централния бюджет за покриване на временен недостиг на средства. Общините отчитат и други разходи за лихви към местни лица в размер на 1,6 млн. лв. (с 1,6 млн. лв. по-малко в сравнение със същия период на миналата година). </w:t>
      </w:r>
    </w:p>
    <w:p w14:paraId="11F4CD3C" w14:textId="77777777" w:rsidR="0004146E" w:rsidRPr="007E3F4E" w:rsidRDefault="0004146E" w:rsidP="0004146E">
      <w:pPr>
        <w:tabs>
          <w:tab w:val="center" w:pos="4153"/>
          <w:tab w:val="right" w:pos="8306"/>
        </w:tabs>
        <w:ind w:firstLine="567"/>
        <w:jc w:val="both"/>
      </w:pPr>
      <w:r w:rsidRPr="007E3F4E">
        <w:t>Капиталовите разходи са в размер на 1 329,4 млн. лв. и в сравнение със същия период на 2023 г. са се увеличили с 271,8 млн. лв. В общия размер на капиталовите разходи най-съществен дял (52,2</w:t>
      </w:r>
      <w:r>
        <w:t xml:space="preserve"> </w:t>
      </w:r>
      <w:r w:rsidRPr="007E3F4E">
        <w:t>%) заемат разходите за основен ремонт (694,6 млн. лв.) и за придобиване на ДМА (44,9</w:t>
      </w:r>
      <w:r>
        <w:t> </w:t>
      </w:r>
      <w:r w:rsidRPr="007E3F4E">
        <w:t>% дял, 596,4 млн. лева).</w:t>
      </w:r>
    </w:p>
    <w:p w14:paraId="77724372" w14:textId="77777777" w:rsidR="0004146E" w:rsidRPr="007E3F4E" w:rsidRDefault="0004146E" w:rsidP="0004146E">
      <w:pPr>
        <w:tabs>
          <w:tab w:val="center" w:pos="4153"/>
          <w:tab w:val="right" w:pos="8306"/>
        </w:tabs>
        <w:ind w:firstLine="567"/>
        <w:jc w:val="both"/>
      </w:pPr>
      <w:r w:rsidRPr="007E3F4E">
        <w:t>Общият размер на отчетените разходи за дофинансиране на делегираните от държавата дейности с местни приходи е 191,3 млн. лв., от които 169,9 млн. лв. текущи разходи и 21,4 млн. лв. капиталови разходи.</w:t>
      </w:r>
    </w:p>
    <w:p w14:paraId="759265A5" w14:textId="77777777" w:rsidR="0004146E" w:rsidRPr="00387A3E" w:rsidRDefault="0004146E" w:rsidP="0004146E">
      <w:pPr>
        <w:tabs>
          <w:tab w:val="center" w:pos="4153"/>
          <w:tab w:val="right" w:pos="8306"/>
        </w:tabs>
        <w:jc w:val="both"/>
        <w:rPr>
          <w:rFonts w:eastAsia="Calibri"/>
          <w:color w:val="0070C0"/>
          <w:sz w:val="8"/>
        </w:rPr>
      </w:pPr>
      <w:r w:rsidRPr="00387A3E">
        <w:rPr>
          <w:color w:val="0070C0"/>
        </w:rPr>
        <w:t xml:space="preserve"> </w:t>
      </w:r>
      <w:r w:rsidRPr="00387A3E">
        <w:rPr>
          <w:color w:val="0070C0"/>
          <w:lang w:eastAsia="bg-BG"/>
        </w:rPr>
        <w:tab/>
      </w:r>
    </w:p>
    <w:p w14:paraId="0C526740" w14:textId="77777777" w:rsidR="0004146E" w:rsidRPr="00185951" w:rsidRDefault="0004146E" w:rsidP="0004146E">
      <w:pPr>
        <w:numPr>
          <w:ilvl w:val="0"/>
          <w:numId w:val="20"/>
        </w:numPr>
        <w:tabs>
          <w:tab w:val="left" w:pos="851"/>
        </w:tabs>
        <w:spacing w:before="120" w:line="276" w:lineRule="auto"/>
        <w:ind w:left="533" w:firstLine="34"/>
        <w:jc w:val="both"/>
        <w:rPr>
          <w:b/>
        </w:rPr>
      </w:pPr>
      <w:r w:rsidRPr="00185951">
        <w:rPr>
          <w:b/>
        </w:rPr>
        <w:t>Финансиране</w:t>
      </w:r>
    </w:p>
    <w:p w14:paraId="504FC2EA" w14:textId="77777777" w:rsidR="0004146E" w:rsidRPr="007E3F4E" w:rsidRDefault="0004146E" w:rsidP="0004146E">
      <w:pPr>
        <w:pStyle w:val="BodyText"/>
        <w:widowControl w:val="0"/>
        <w:ind w:firstLine="567"/>
      </w:pPr>
      <w:r w:rsidRPr="007E3F4E">
        <w:t xml:space="preserve">Към </w:t>
      </w:r>
      <w:r>
        <w:t>деветмесечието</w:t>
      </w:r>
      <w:r w:rsidRPr="007E3F4E">
        <w:t xml:space="preserve"> на 202</w:t>
      </w:r>
      <w:r w:rsidRPr="007E3F4E">
        <w:rPr>
          <w:lang w:val="ru-RU"/>
        </w:rPr>
        <w:t>4</w:t>
      </w:r>
      <w:r w:rsidRPr="007E3F4E">
        <w:t xml:space="preserve"> г. по общинските бюджети са получени заемни средства, в размер на 148,6 млн. лв., които са по договори с чуждестранни кредитори. Основно средствата са отчетени от Столична община (140,8 млн. лв.) и са за финансиране на проекти за изграждане и реконструкция на основни пътни артерии в град София; за осигуряване на транспортна свързаност и достъпна среда, както и за разширяване на метрото. Средствата, в размер на 7,8 млн. лв., са отчетени от община Бургас и са предназначени за финансиране на проект по изграждане на </w:t>
      </w:r>
      <w:proofErr w:type="spellStart"/>
      <w:r w:rsidRPr="007E3F4E">
        <w:t>Многопрофилна</w:t>
      </w:r>
      <w:proofErr w:type="spellEnd"/>
      <w:r w:rsidRPr="007E3F4E">
        <w:t xml:space="preserve"> болница за активно лечение на детски болести – Бургас.</w:t>
      </w:r>
    </w:p>
    <w:p w14:paraId="1EF55B7C" w14:textId="77777777" w:rsidR="0004146E" w:rsidRPr="007E3F4E" w:rsidRDefault="0004146E" w:rsidP="0004146E">
      <w:pPr>
        <w:pStyle w:val="BodyText"/>
        <w:widowControl w:val="0"/>
        <w:ind w:firstLine="567"/>
        <w:rPr>
          <w:lang w:val="ru-RU"/>
        </w:rPr>
      </w:pPr>
      <w:r w:rsidRPr="007E3F4E">
        <w:t xml:space="preserve">Изплатените главници от общинските бюджети по външните заеми от началото на годината до 30.09.2024 г. са в размер на 31,6 млн. лв. (от Столична община са 25,9 млн. лв., от Бургас – 2,0 млн. лв.; от Варна – 1,9 млн. лв.; Пловдив – 1,5 млн. лв., а от община Ловеч са 0,3 млн. лв.). </w:t>
      </w:r>
    </w:p>
    <w:p w14:paraId="45C35AAB" w14:textId="24BC3E69" w:rsidR="0004146E" w:rsidRPr="007E3F4E" w:rsidRDefault="0004146E" w:rsidP="0004146E">
      <w:pPr>
        <w:pStyle w:val="BodyText"/>
        <w:widowControl w:val="0"/>
        <w:ind w:firstLine="567"/>
      </w:pPr>
      <w:r w:rsidRPr="007E3F4E">
        <w:t xml:space="preserve">За деветмесечието получените заемни средства от банки в страната, отчетени по общинските бюджети, са в размер на 68,1 млн. лв., а от други местни лица са 49,1 млн. лв. (в т.ч. 44,2 млн. лв. от „ФЛАГ“ ЕАД) или общо получените заемни средства от лица в страната са 117,2 млн. лв. Отчетените от общините изплатени главници по банкови заеми от страната са 82,5 млн. лв. Погасените главници  по заеми от др. лица от </w:t>
      </w:r>
      <w:r w:rsidR="00CA2C14">
        <w:t xml:space="preserve">страната са </w:t>
      </w:r>
      <w:r w:rsidRPr="007E3F4E">
        <w:t xml:space="preserve">130,7 млн. лв., в т.ч. 121,6 млн. лв. към „ФЛАГ“ ЕАД, а останалите са по заеми към Фонд „Енергийна ефективност и възобновяеми източници“ и към други кредитори по договори за заеми по финансов инструмент, управляван от „Фонд Мениджър на финансови инструменти в България“ ЕАД. Погашенията за периода по заемите от страната е по-голям от получените заемни средства, поради което нетният размер на операциите по тези заеми е отрицателен ( - 96,0) млн. лв. За същия период на 2023 г. получените заемни средства от банки в страната и др. местни лица са били повече от погашенията т.е. имало е положителен нетен размер по тези заеми (152,2 млн. лв.). </w:t>
      </w:r>
    </w:p>
    <w:p w14:paraId="727A3BEB" w14:textId="77777777" w:rsidR="0004146E" w:rsidRPr="007E3F4E" w:rsidRDefault="0004146E" w:rsidP="0004146E">
      <w:pPr>
        <w:pStyle w:val="BodyText"/>
        <w:widowControl w:val="0"/>
        <w:ind w:firstLine="567"/>
      </w:pPr>
      <w:r w:rsidRPr="007E3F4E">
        <w:t xml:space="preserve">Погашенията по емитирани през предходни периоди общински ценни книжа са в размер на 4,2 млн. лв. и са отчетени от 6 общини. За отчетния период няма емитиран нов дълг. </w:t>
      </w:r>
    </w:p>
    <w:p w14:paraId="5659927E" w14:textId="77777777" w:rsidR="0004146E" w:rsidRPr="007E3F4E" w:rsidRDefault="0004146E" w:rsidP="0004146E">
      <w:pPr>
        <w:ind w:firstLine="567"/>
        <w:jc w:val="both"/>
      </w:pPr>
      <w:r w:rsidRPr="007E3F4E">
        <w:t xml:space="preserve">Другото финансиране /нето/ по общинските бюджети към 30.09.2024 г. е 98,1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(-0,6) млн. лв. </w:t>
      </w:r>
    </w:p>
    <w:p w14:paraId="4555C9CF" w14:textId="77777777" w:rsidR="0004146E" w:rsidRPr="007E3F4E" w:rsidRDefault="0004146E" w:rsidP="0004146E">
      <w:pPr>
        <w:ind w:firstLine="567"/>
        <w:jc w:val="both"/>
      </w:pPr>
      <w:r w:rsidRPr="007E3F4E">
        <w:t>Нетният размер на събраните средства и извършени плащания от общините за сметка на други бюджети, сметки и фондове е положителен и е в размер на 1,8 млн. лв.</w:t>
      </w:r>
    </w:p>
    <w:p w14:paraId="072BE278" w14:textId="77777777" w:rsidR="0004146E" w:rsidRPr="007E3F4E" w:rsidRDefault="0004146E" w:rsidP="0004146E">
      <w:pPr>
        <w:ind w:firstLine="567"/>
        <w:jc w:val="both"/>
      </w:pPr>
      <w:r w:rsidRPr="007E3F4E">
        <w:t xml:space="preserve">Към 30.09.2024 г. отчетеният от общините нетен размер на операциите по придобиване на дялове, акции и съучастия е в размер на (-3,1) млн. лв. </w:t>
      </w:r>
    </w:p>
    <w:p w14:paraId="399BC805" w14:textId="77777777" w:rsidR="0004146E" w:rsidRPr="007E3F4E" w:rsidRDefault="0004146E" w:rsidP="0004146E">
      <w:pPr>
        <w:ind w:firstLine="567"/>
        <w:jc w:val="both"/>
      </w:pPr>
      <w:r w:rsidRPr="007E3F4E">
        <w:t>Средства по общинските бюджети от приватизация на дялове, акции и участия за периода не са отчетени.</w:t>
      </w:r>
    </w:p>
    <w:p w14:paraId="28554B06" w14:textId="77777777" w:rsidR="0004146E" w:rsidRPr="007E3F4E" w:rsidRDefault="0004146E" w:rsidP="0004146E">
      <w:pPr>
        <w:ind w:firstLine="567"/>
        <w:jc w:val="both"/>
      </w:pPr>
      <w:r w:rsidRPr="007E3F4E">
        <w:t xml:space="preserve">Отчетеният нетен размер по общинските бюджети на възмездната финансова помощ е (-2,4) млн. лв., а на предоставените кредити (-5,1 млн. лв.). </w:t>
      </w:r>
    </w:p>
    <w:p w14:paraId="6B2BEB89" w14:textId="77777777" w:rsidR="0004146E" w:rsidRPr="007E3F4E" w:rsidRDefault="0004146E" w:rsidP="0004146E">
      <w:pPr>
        <w:pStyle w:val="BodyText"/>
        <w:widowControl w:val="0"/>
        <w:ind w:firstLine="567"/>
      </w:pPr>
      <w:r w:rsidRPr="007E3F4E">
        <w:t>Общините отчитат 2 131,5 млн. лв. бюджетен преходен остатък, а наличността към края на третото тримесечие на 2024 г. (по банкови сметки и каса) нараства и е в размер на 2 704,0 млн. лв. (с 270,9 млн. лв. повече от същия период на миналата година</w:t>
      </w:r>
      <w:r>
        <w:rPr>
          <w:lang w:val="en-US"/>
        </w:rPr>
        <w:t>.</w:t>
      </w:r>
      <w:r w:rsidRPr="007E3F4E">
        <w:t xml:space="preserve"> Част от наличността в бюджета към 30.09.2024 г. е под формата на средства по сметки за срочни депозити, които са отчетени в размер на 47,5 млн. лв. </w:t>
      </w:r>
    </w:p>
    <w:p w14:paraId="0EF7D61E" w14:textId="77777777" w:rsidR="0004146E" w:rsidRPr="00E64EAC" w:rsidRDefault="0004146E" w:rsidP="0004146E">
      <w:pPr>
        <w:pStyle w:val="BodyText"/>
        <w:widowControl w:val="0"/>
        <w:ind w:firstLine="567"/>
      </w:pPr>
      <w:r w:rsidRPr="00E64EAC">
        <w:t xml:space="preserve">Наличността в делегираните от държавата дейности е 1 286,4 млн. лв. (47,6% от общата наличност), а в местните дейности е 1 417,6 млн. лв. (52,4%). </w:t>
      </w:r>
    </w:p>
    <w:p w14:paraId="54DDED60" w14:textId="77777777" w:rsidR="0004146E" w:rsidRPr="00E64EAC" w:rsidRDefault="0004146E" w:rsidP="0004146E">
      <w:pPr>
        <w:pStyle w:val="BodyText"/>
        <w:widowControl w:val="0"/>
        <w:ind w:firstLine="567"/>
      </w:pPr>
      <w:r w:rsidRPr="00E64EAC">
        <w:t>В държавните дейности наличността е формирана най-вече от получени от общините през тази година, но неизразходвани субсидии (</w:t>
      </w:r>
      <w:r w:rsidRPr="00E64EAC">
        <w:rPr>
          <w:lang w:val="ru-RU"/>
        </w:rPr>
        <w:t>9</w:t>
      </w:r>
      <w:r w:rsidRPr="00E64EAC">
        <w:t>97</w:t>
      </w:r>
      <w:r w:rsidRPr="00E64EAC">
        <w:rPr>
          <w:lang w:val="ru-RU"/>
        </w:rPr>
        <w:t>,5</w:t>
      </w:r>
      <w:r w:rsidRPr="00E64EAC">
        <w:t xml:space="preserve"> млн. лв.).</w:t>
      </w:r>
      <w:r w:rsidRPr="00E64EAC">
        <w:rPr>
          <w:lang w:val="ru-RU"/>
        </w:rPr>
        <w:t xml:space="preserve"> </w:t>
      </w:r>
      <w:r w:rsidRPr="00E64EAC">
        <w:t>Следващата по размер наличност (184,2 млн. лв.) в тези дейности е с източник средства, получени от общините, под формата на субсидии, през преходни години.</w:t>
      </w:r>
    </w:p>
    <w:p w14:paraId="60E869B8" w14:textId="62E242CB" w:rsidR="0004146E" w:rsidRPr="00E64EAC" w:rsidRDefault="0004146E" w:rsidP="0004146E">
      <w:pPr>
        <w:pStyle w:val="BodyText"/>
        <w:widowControl w:val="0"/>
        <w:ind w:firstLine="567"/>
      </w:pPr>
      <w:r w:rsidRPr="00E64EAC">
        <w:t>Най-голяма част от наличността в местните дейности (</w:t>
      </w:r>
      <w:r w:rsidRPr="00E64EAC">
        <w:rPr>
          <w:lang w:val="ru-RU"/>
        </w:rPr>
        <w:t>59</w:t>
      </w:r>
      <w:r w:rsidRPr="00E64EAC">
        <w:t>3,2 млн. лв.) е формирана</w:t>
      </w:r>
      <w:r w:rsidRPr="00E64EAC">
        <w:rPr>
          <w:lang w:val="ru-RU"/>
        </w:rPr>
        <w:t xml:space="preserve"> </w:t>
      </w:r>
      <w:r w:rsidRPr="00E64EAC">
        <w:t>от средства, получени от общините през предходни години</w:t>
      </w:r>
      <w:r w:rsidRPr="00E64EAC">
        <w:rPr>
          <w:lang w:val="ru-RU"/>
        </w:rPr>
        <w:t>.</w:t>
      </w:r>
      <w:r w:rsidRPr="00E64EAC">
        <w:t xml:space="preserve"> Друга голяма наличност, в размер на </w:t>
      </w:r>
      <w:r w:rsidRPr="00E64EAC">
        <w:rPr>
          <w:lang w:val="ru-RU"/>
        </w:rPr>
        <w:t>55</w:t>
      </w:r>
      <w:r w:rsidRPr="00E64EAC">
        <w:t xml:space="preserve">6,8 млн. лв., е от неизразходвани средства, получени от общините през тази година под формата на приходи и дарения. </w:t>
      </w:r>
    </w:p>
    <w:p w14:paraId="2436CFC5" w14:textId="77777777" w:rsidR="002C4D33" w:rsidRPr="00387A3E" w:rsidRDefault="002C4D33" w:rsidP="00FD362E">
      <w:pPr>
        <w:pStyle w:val="BodyText"/>
        <w:spacing w:after="120"/>
        <w:ind w:firstLine="567"/>
        <w:rPr>
          <w:color w:val="0070C0"/>
          <w:sz w:val="18"/>
          <w:szCs w:val="12"/>
        </w:rPr>
      </w:pPr>
    </w:p>
    <w:p w14:paraId="65CD7DE0" w14:textId="7E5583FC" w:rsidR="00913197" w:rsidRPr="0063166A" w:rsidRDefault="00913197" w:rsidP="00E86EAF">
      <w:pPr>
        <w:pStyle w:val="Heading1"/>
        <w:numPr>
          <w:ilvl w:val="1"/>
          <w:numId w:val="8"/>
        </w:numPr>
        <w:spacing w:before="120"/>
        <w:ind w:left="788" w:right="-108" w:hanging="431"/>
        <w:jc w:val="both"/>
        <w:rPr>
          <w:sz w:val="24"/>
        </w:rPr>
      </w:pPr>
      <w:bookmarkStart w:id="72" w:name="_Toc109906108"/>
      <w:r w:rsidRPr="0063166A">
        <w:rPr>
          <w:sz w:val="24"/>
        </w:rPr>
        <w:t>Бюджети на Българската национална телевизия, Българското национално радио и Българската телеграфна агенция</w:t>
      </w:r>
      <w:bookmarkEnd w:id="72"/>
      <w:r w:rsidRPr="0063166A">
        <w:rPr>
          <w:sz w:val="24"/>
        </w:rPr>
        <w:t xml:space="preserve"> </w:t>
      </w:r>
    </w:p>
    <w:p w14:paraId="42A90F13" w14:textId="056BE125" w:rsidR="00595104" w:rsidRPr="0063166A" w:rsidRDefault="00595104" w:rsidP="00E86EAF">
      <w:pPr>
        <w:numPr>
          <w:ilvl w:val="1"/>
          <w:numId w:val="5"/>
        </w:numPr>
        <w:spacing w:before="120" w:line="276" w:lineRule="auto"/>
        <w:ind w:left="992" w:hanging="357"/>
        <w:jc w:val="both"/>
        <w:rPr>
          <w:b/>
        </w:rPr>
      </w:pPr>
      <w:r w:rsidRPr="0063166A">
        <w:rPr>
          <w:b/>
        </w:rPr>
        <w:t>Българска национална телевизия</w:t>
      </w:r>
    </w:p>
    <w:p w14:paraId="35C7FA12" w14:textId="77777777" w:rsidR="0063166A" w:rsidRPr="00E64EAC" w:rsidRDefault="0063166A" w:rsidP="0063166A">
      <w:pPr>
        <w:pStyle w:val="Title"/>
        <w:ind w:firstLine="709"/>
        <w:jc w:val="both"/>
        <w:rPr>
          <w:b w:val="0"/>
          <w:szCs w:val="24"/>
        </w:rPr>
      </w:pPr>
      <w:r w:rsidRPr="00E64EAC">
        <w:t xml:space="preserve">Приходите на Българската национална телевизия (БНТ) </w:t>
      </w:r>
      <w:r w:rsidRPr="00E64EAC">
        <w:rPr>
          <w:b w:val="0"/>
        </w:rPr>
        <w:t>към 30.09.2024 г. са в размер</w:t>
      </w:r>
      <w:r w:rsidRPr="00E64EAC">
        <w:t xml:space="preserve"> </w:t>
      </w:r>
      <w:r w:rsidRPr="00E64EAC">
        <w:rPr>
          <w:b w:val="0"/>
          <w:szCs w:val="24"/>
        </w:rPr>
        <w:t>на 6,9 млн. лв., което представлява 69,4% изпълнение на заложените приходи в разчетите към ЗДБРБ за 2024 г. (10,0 млн. лв.)</w:t>
      </w:r>
    </w:p>
    <w:p w14:paraId="53D15B61" w14:textId="77777777" w:rsidR="0063166A" w:rsidRPr="00E64EAC" w:rsidRDefault="0063166A" w:rsidP="0063166A">
      <w:pPr>
        <w:ind w:firstLine="567"/>
        <w:jc w:val="both"/>
      </w:pPr>
      <w:r w:rsidRPr="00E64EAC">
        <w:t xml:space="preserve">  В сравнение с деветмесечието на 2023 г. приходите са с 2,7 млн. лв. по-малко. 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други неданъчни приходи.</w:t>
      </w:r>
    </w:p>
    <w:p w14:paraId="21AB8616" w14:textId="77777777" w:rsidR="0063166A" w:rsidRPr="00E00C02" w:rsidRDefault="0063166A" w:rsidP="0063166A">
      <w:pPr>
        <w:ind w:firstLine="567"/>
        <w:jc w:val="both"/>
        <w:rPr>
          <w:szCs w:val="20"/>
        </w:rPr>
      </w:pPr>
      <w:r w:rsidRPr="0086409B">
        <w:rPr>
          <w:szCs w:val="20"/>
        </w:rPr>
        <w:t>Отчетените</w:t>
      </w:r>
      <w:r w:rsidRPr="00E64EAC">
        <w:rPr>
          <w:b/>
          <w:szCs w:val="20"/>
        </w:rPr>
        <w:t xml:space="preserve"> разходи по бюджета на БНТ</w:t>
      </w:r>
      <w:r w:rsidRPr="00E64EAC">
        <w:rPr>
          <w:szCs w:val="20"/>
        </w:rPr>
        <w:t xml:space="preserve"> са в размер на 70,3 млн. лв., което представлява 71,4</w:t>
      </w:r>
      <w:r w:rsidRPr="00E00C02">
        <w:rPr>
          <w:szCs w:val="20"/>
        </w:rPr>
        <w:t>% от предвидените разходи в разчетите към ЗДБРБ за 2024 г. – 98,5 млн. лева.</w:t>
      </w:r>
    </w:p>
    <w:p w14:paraId="4C43B868" w14:textId="77777777" w:rsidR="0063166A" w:rsidRDefault="0063166A" w:rsidP="0063166A">
      <w:pPr>
        <w:ind w:firstLine="567"/>
        <w:jc w:val="both"/>
        <w:rPr>
          <w:szCs w:val="20"/>
        </w:rPr>
      </w:pPr>
      <w:r w:rsidRPr="00E00C02">
        <w:rPr>
          <w:szCs w:val="20"/>
        </w:rPr>
        <w:t xml:space="preserve">Българската национална телевизия съставя, изпълнява, приключва и отчита бюджет, съгласно чл. 70, ал. 1 от Закона за радиото и телевизията (ЗРТ). </w:t>
      </w:r>
    </w:p>
    <w:p w14:paraId="5D065362" w14:textId="11E2BD1F" w:rsidR="0063166A" w:rsidRPr="00E00C02" w:rsidRDefault="0063166A" w:rsidP="0063166A">
      <w:pPr>
        <w:ind w:firstLine="567"/>
        <w:jc w:val="both"/>
        <w:rPr>
          <w:szCs w:val="20"/>
        </w:rPr>
      </w:pPr>
      <w:r w:rsidRPr="00E00C02">
        <w:rPr>
          <w:szCs w:val="20"/>
        </w:rPr>
        <w:t xml:space="preserve">За периода са отчетени 61,7 млн. лв. текущи разходи и </w:t>
      </w:r>
      <w:r>
        <w:rPr>
          <w:szCs w:val="20"/>
        </w:rPr>
        <w:t>8,6</w:t>
      </w:r>
      <w:r w:rsidRPr="00E00C02">
        <w:rPr>
          <w:szCs w:val="20"/>
        </w:rPr>
        <w:t xml:space="preserve"> млн. лв. капиталови разходи. Общият размер на отчетените текущи разходи включва: 34,5 млн. лв. разходи за персонал и 27,2</w:t>
      </w:r>
      <w:r>
        <w:rPr>
          <w:szCs w:val="20"/>
        </w:rPr>
        <w:t> </w:t>
      </w:r>
      <w:r w:rsidRPr="00E00C02">
        <w:rPr>
          <w:szCs w:val="20"/>
        </w:rPr>
        <w:t>млн. лв. разходи за издръжка (вкл. разходи за членски внос, платени данъци, такси и административни санкции). Отчетените разходи за персонал представляват 49,1% от отчетените за периода разходи.</w:t>
      </w:r>
    </w:p>
    <w:p w14:paraId="56B9BC21" w14:textId="77777777" w:rsidR="0063166A" w:rsidRPr="00E00C02" w:rsidRDefault="0063166A" w:rsidP="0063166A">
      <w:pPr>
        <w:ind w:firstLine="567"/>
        <w:jc w:val="both"/>
        <w:rPr>
          <w:szCs w:val="20"/>
        </w:rPr>
      </w:pPr>
      <w:r w:rsidRPr="00E00C02">
        <w:rPr>
          <w:szCs w:val="20"/>
        </w:rPr>
        <w:t xml:space="preserve">В разпределението  на разходите по бюджета на обществената медия е включен преходния остатък за 2023 г. (съгл. чл. 70, ал. 6 от ЗРТ) в размер на 1,0 млн. лв. </w:t>
      </w:r>
    </w:p>
    <w:p w14:paraId="2E731C8D" w14:textId="77777777" w:rsidR="0063166A" w:rsidRPr="00E00C02" w:rsidRDefault="0063166A" w:rsidP="0063166A">
      <w:pPr>
        <w:ind w:firstLine="567"/>
        <w:jc w:val="both"/>
      </w:pPr>
      <w:r w:rsidRPr="00E00C02">
        <w:rPr>
          <w:szCs w:val="20"/>
        </w:rPr>
        <w:t>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w:t>
      </w:r>
      <w:r w:rsidRPr="00E00C02">
        <w:t xml:space="preserve"> </w:t>
      </w:r>
    </w:p>
    <w:p w14:paraId="111B098B" w14:textId="77777777" w:rsidR="0063166A" w:rsidRPr="00387A3E" w:rsidRDefault="0063166A" w:rsidP="0063166A">
      <w:pPr>
        <w:ind w:firstLine="567"/>
        <w:jc w:val="both"/>
        <w:rPr>
          <w:color w:val="0070C0"/>
          <w:szCs w:val="20"/>
        </w:rPr>
      </w:pPr>
      <w:r w:rsidRPr="00E00C02">
        <w:rPr>
          <w:b/>
        </w:rPr>
        <w:t>Бюджетни взаимоотношения на БНТ</w:t>
      </w:r>
      <w:r w:rsidRPr="00E00C02">
        <w:t xml:space="preserve"> с централния бюджет</w:t>
      </w:r>
      <w:r w:rsidRPr="00E00C02">
        <w:rPr>
          <w:lang w:val="ru-RU"/>
        </w:rPr>
        <w:t xml:space="preserve"> </w:t>
      </w:r>
      <w:r w:rsidRPr="00E00C02">
        <w:t>по уточнен план възлизат на 91,0 млн. лв., в т.ч.: 87,0 млн. лв. съгласно чл. 50, т. 2 от ЗДБРБ за 2024 г. и одобрени допълнителни трансфери в размер на 4,0 млн. лв., в т.ч.: 2,0 млн. лв. съгласно ПМС № 100 от 2024 г. и 2,0 млн. лв. съгласно ПМС № 305 от 2024 г. (за 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и за разходи по подготовката и произвеждането на изборите за народни представители за Народно събрание на 27 октомври 2024 г.).</w:t>
      </w:r>
      <w:r w:rsidRPr="00E00C02">
        <w:rPr>
          <w:szCs w:val="20"/>
        </w:rPr>
        <w:t xml:space="preserve"> За отчетния период е усвоена сума в размер на 67,2 млн. лв. или 73,9 % от размера на бюджетните взаимоотношения на БНТ с централния бюджет по уточнен план.</w:t>
      </w:r>
    </w:p>
    <w:p w14:paraId="5549D570" w14:textId="77777777" w:rsidR="0063166A" w:rsidRPr="00E64EAC" w:rsidRDefault="0063166A" w:rsidP="0063166A">
      <w:pPr>
        <w:numPr>
          <w:ilvl w:val="1"/>
          <w:numId w:val="5"/>
        </w:numPr>
        <w:spacing w:before="240" w:line="276" w:lineRule="auto"/>
        <w:ind w:left="992" w:hanging="357"/>
        <w:jc w:val="both"/>
        <w:rPr>
          <w:b/>
          <w:szCs w:val="20"/>
        </w:rPr>
      </w:pPr>
      <w:r w:rsidRPr="00E64EAC">
        <w:rPr>
          <w:b/>
        </w:rPr>
        <w:t>Българско национално радио</w:t>
      </w:r>
    </w:p>
    <w:p w14:paraId="0C8E0F85" w14:textId="77777777" w:rsidR="0063166A" w:rsidRPr="00E00C02" w:rsidRDefault="0063166A" w:rsidP="0063166A">
      <w:pPr>
        <w:ind w:firstLine="567"/>
        <w:jc w:val="both"/>
        <w:rPr>
          <w:szCs w:val="20"/>
        </w:rPr>
      </w:pPr>
      <w:r w:rsidRPr="00E00C02">
        <w:rPr>
          <w:b/>
        </w:rPr>
        <w:t>Приходите по бюджета на Българското национално радио (БНР)</w:t>
      </w:r>
      <w:r w:rsidRPr="00E00C02">
        <w:t xml:space="preserve"> към 30.09.2024 г. са в размер на </w:t>
      </w:r>
      <w:r w:rsidRPr="00E00C02">
        <w:rPr>
          <w:szCs w:val="20"/>
        </w:rPr>
        <w:t xml:space="preserve">1,4 млн. лв., което представлява 76,6 % изпълнение на заложените приходи в </w:t>
      </w:r>
      <w:r>
        <w:rPr>
          <w:szCs w:val="20"/>
        </w:rPr>
        <w:t xml:space="preserve">разчетите към ЗДБРБ за 2024 г. - </w:t>
      </w:r>
      <w:r w:rsidRPr="00E00C02">
        <w:t>1,8 млн. л</w:t>
      </w:r>
      <w:r>
        <w:t>е</w:t>
      </w:r>
      <w:r w:rsidRPr="00E00C02">
        <w:t>в</w:t>
      </w:r>
      <w:r>
        <w:t>а</w:t>
      </w:r>
      <w:r w:rsidRPr="00E00C02">
        <w:t>.</w:t>
      </w:r>
    </w:p>
    <w:p w14:paraId="40F60F06" w14:textId="77777777" w:rsidR="0063166A" w:rsidRPr="00E00C02" w:rsidRDefault="0063166A" w:rsidP="0063166A">
      <w:pPr>
        <w:ind w:firstLine="567"/>
        <w:jc w:val="both"/>
        <w:rPr>
          <w:szCs w:val="20"/>
        </w:rPr>
      </w:pPr>
      <w:r w:rsidRPr="00E00C02">
        <w:rPr>
          <w:szCs w:val="2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и други неданъчни приходи.</w:t>
      </w:r>
    </w:p>
    <w:p w14:paraId="3AAB2B60" w14:textId="77777777" w:rsidR="0063166A" w:rsidRPr="00387A3E" w:rsidRDefault="0063166A" w:rsidP="0063166A">
      <w:pPr>
        <w:ind w:firstLine="567"/>
        <w:jc w:val="both"/>
        <w:rPr>
          <w:color w:val="0070C0"/>
          <w:szCs w:val="20"/>
        </w:rPr>
      </w:pPr>
      <w:r w:rsidRPr="00E00C02">
        <w:rPr>
          <w:szCs w:val="20"/>
        </w:rPr>
        <w:t xml:space="preserve">Изпълнението на </w:t>
      </w:r>
      <w:r w:rsidRPr="00E00C02">
        <w:rPr>
          <w:b/>
          <w:szCs w:val="20"/>
        </w:rPr>
        <w:t>разходите</w:t>
      </w:r>
      <w:r w:rsidRPr="00E00C02">
        <w:rPr>
          <w:szCs w:val="20"/>
        </w:rPr>
        <w:t xml:space="preserve"> </w:t>
      </w:r>
      <w:r w:rsidRPr="00E00C02">
        <w:rPr>
          <w:b/>
          <w:szCs w:val="20"/>
        </w:rPr>
        <w:t>по бюджета на</w:t>
      </w:r>
      <w:r w:rsidRPr="00E00C02">
        <w:rPr>
          <w:szCs w:val="20"/>
        </w:rPr>
        <w:t xml:space="preserve"> </w:t>
      </w:r>
      <w:r w:rsidRPr="00E00C02">
        <w:rPr>
          <w:b/>
          <w:szCs w:val="20"/>
        </w:rPr>
        <w:t xml:space="preserve">БНР </w:t>
      </w:r>
      <w:r w:rsidRPr="00E00C02">
        <w:rPr>
          <w:szCs w:val="20"/>
        </w:rPr>
        <w:t>възлиза на 50,5 млн. лв., което представлява 76,2</w:t>
      </w:r>
      <w:r w:rsidRPr="00E00C02">
        <w:rPr>
          <w:szCs w:val="20"/>
          <w:lang w:val="en-US"/>
        </w:rPr>
        <w:t xml:space="preserve"> </w:t>
      </w:r>
      <w:r w:rsidRPr="00E00C02">
        <w:rPr>
          <w:szCs w:val="20"/>
        </w:rPr>
        <w:t>% от предвидените разходи в разчетите към</w:t>
      </w:r>
      <w:r>
        <w:rPr>
          <w:szCs w:val="20"/>
        </w:rPr>
        <w:t xml:space="preserve"> ЗДБРБ за 2024 г. – 66,3 млн. лева.</w:t>
      </w:r>
    </w:p>
    <w:p w14:paraId="53ABE5AE" w14:textId="77777777" w:rsidR="0063166A" w:rsidRDefault="0063166A" w:rsidP="0063166A">
      <w:pPr>
        <w:pStyle w:val="Title"/>
        <w:ind w:firstLine="708"/>
        <w:jc w:val="both"/>
        <w:rPr>
          <w:b w:val="0"/>
        </w:rPr>
      </w:pPr>
      <w:r w:rsidRPr="00137BC7">
        <w:rPr>
          <w:b w:val="0"/>
        </w:rPr>
        <w:t>Българското национално радио съставя, изпълнява, приключва и отчита бюджет, съгласно чл. 70, ал. 1 от Закона за радиото и телевизията (ЗРТ).</w:t>
      </w:r>
    </w:p>
    <w:p w14:paraId="04971BF5" w14:textId="6490FA5B" w:rsidR="0063166A" w:rsidRPr="00137BC7" w:rsidRDefault="0063166A" w:rsidP="0063166A">
      <w:pPr>
        <w:pStyle w:val="Title"/>
        <w:ind w:firstLine="708"/>
        <w:jc w:val="both"/>
        <w:rPr>
          <w:b w:val="0"/>
          <w:szCs w:val="24"/>
        </w:rPr>
      </w:pPr>
      <w:r w:rsidRPr="00667547">
        <w:rPr>
          <w:b w:val="0"/>
        </w:rPr>
        <w:t xml:space="preserve">За периода са отчетени </w:t>
      </w:r>
      <w:r w:rsidRPr="00137BC7">
        <w:rPr>
          <w:b w:val="0"/>
          <w:szCs w:val="24"/>
        </w:rPr>
        <w:t>47,1 млн. лв. текущи разходи и 3,4 млн. лв. капиталови разходи. Общият размер на отчетените текущи разходи включва: 30,8 млн. лв. разходи за персонал и 16,3</w:t>
      </w:r>
      <w:r>
        <w:rPr>
          <w:b w:val="0"/>
          <w:szCs w:val="24"/>
        </w:rPr>
        <w:t> </w:t>
      </w:r>
      <w:r w:rsidRPr="00137BC7">
        <w:rPr>
          <w:b w:val="0"/>
          <w:szCs w:val="24"/>
        </w:rPr>
        <w:t>млн. лв. разходи за издръжка (вкл. разходи за членски внос, платени данъци, та</w:t>
      </w:r>
      <w:r>
        <w:rPr>
          <w:b w:val="0"/>
          <w:szCs w:val="24"/>
        </w:rPr>
        <w:t xml:space="preserve">кси и административни санкции). </w:t>
      </w:r>
      <w:r w:rsidRPr="00137BC7">
        <w:rPr>
          <w:b w:val="0"/>
          <w:szCs w:val="24"/>
        </w:rPr>
        <w:t>Отчетените разходи за персонал представляват 61,0% от отчетените за периода разходи.</w:t>
      </w:r>
    </w:p>
    <w:p w14:paraId="34182E04" w14:textId="77777777" w:rsidR="0063166A" w:rsidRPr="00667547" w:rsidRDefault="0063166A" w:rsidP="0063166A">
      <w:pPr>
        <w:pStyle w:val="Title"/>
        <w:ind w:firstLine="708"/>
        <w:jc w:val="both"/>
        <w:rPr>
          <w:b w:val="0"/>
        </w:rPr>
      </w:pPr>
      <w:r w:rsidRPr="00667547">
        <w:rPr>
          <w:b w:val="0"/>
        </w:rPr>
        <w:t>В разпределението  на разходите по бюджета на БНР е включен преходния остатък за 2023</w:t>
      </w:r>
      <w:r>
        <w:rPr>
          <w:b w:val="0"/>
        </w:rPr>
        <w:t> </w:t>
      </w:r>
      <w:r w:rsidRPr="00667547">
        <w:rPr>
          <w:b w:val="0"/>
        </w:rPr>
        <w:t>г. (съгл. чл. 70, ал. 6 от ЗРТ) в размер на 3,9 млн. л</w:t>
      </w:r>
      <w:r>
        <w:rPr>
          <w:b w:val="0"/>
        </w:rPr>
        <w:t>е</w:t>
      </w:r>
      <w:r w:rsidRPr="00667547">
        <w:rPr>
          <w:b w:val="0"/>
        </w:rPr>
        <w:t>в</w:t>
      </w:r>
      <w:r>
        <w:rPr>
          <w:b w:val="0"/>
        </w:rPr>
        <w:t>а</w:t>
      </w:r>
      <w:r w:rsidRPr="00667547">
        <w:rPr>
          <w:b w:val="0"/>
        </w:rPr>
        <w:t>.</w:t>
      </w:r>
    </w:p>
    <w:p w14:paraId="1EAA2925" w14:textId="77777777" w:rsidR="0063166A" w:rsidRPr="00387A3E" w:rsidRDefault="0063166A" w:rsidP="0063166A">
      <w:pPr>
        <w:ind w:firstLine="567"/>
        <w:jc w:val="both"/>
        <w:rPr>
          <w:color w:val="0070C0"/>
          <w:szCs w:val="20"/>
        </w:rPr>
      </w:pPr>
      <w:r w:rsidRPr="00667547">
        <w:t>За отчетния период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w:t>
      </w:r>
    </w:p>
    <w:p w14:paraId="00F9342E" w14:textId="6AD631D9" w:rsidR="0063166A" w:rsidRPr="00137BC7" w:rsidRDefault="0063166A" w:rsidP="0063166A">
      <w:pPr>
        <w:ind w:firstLine="567"/>
        <w:jc w:val="both"/>
      </w:pPr>
      <w:r w:rsidRPr="00137BC7">
        <w:rPr>
          <w:b/>
          <w:szCs w:val="20"/>
        </w:rPr>
        <w:t>Бюджетни взаимоотношения на БНР</w:t>
      </w:r>
      <w:r w:rsidRPr="00137BC7">
        <w:rPr>
          <w:szCs w:val="20"/>
        </w:rPr>
        <w:t xml:space="preserve"> с централния бюджет по уточнен план възлизат на 64,7 млн. лв., в т.ч.: </w:t>
      </w:r>
      <w:r w:rsidRPr="00137BC7">
        <w:t>63,0 млн. лв. съгласно чл. 50, т. 1 от ЗДБРБ за 2024 г. и одобрени допълнителни трансфери в размер на 1,7 млн. лв., в т.ч.: 0,8 млн. лв. съгласно ПМС № 100 от 2024</w:t>
      </w:r>
      <w:r>
        <w:t> </w:t>
      </w:r>
      <w:r w:rsidRPr="00137BC7">
        <w:t xml:space="preserve">г. и 0,8 млн. лв. съгласно ПМС № 305 от 2024 г. (за разходи по подготовката и произвеждането на изборите за народни представители и за членове на Европейския парламент от Република България на 9 юни 2024 г., и за разходи по подготовката и произвеждането на изборите за народни представители за Народно събрание на 27 октомври 2024 г.). </w:t>
      </w:r>
    </w:p>
    <w:p w14:paraId="735383FA" w14:textId="77777777" w:rsidR="0063166A" w:rsidRPr="00137BC7" w:rsidRDefault="0063166A" w:rsidP="0063166A">
      <w:pPr>
        <w:ind w:firstLine="567"/>
        <w:jc w:val="both"/>
        <w:rPr>
          <w:szCs w:val="20"/>
        </w:rPr>
      </w:pPr>
      <w:r w:rsidRPr="00137BC7">
        <w:rPr>
          <w:szCs w:val="20"/>
        </w:rPr>
        <w:t xml:space="preserve"> Към 30.09.2024 г. е усвоена сума в размер на 49,3 млн. лв. или 76,2% от размера на бюджетните взаимоотношения на БНР с централния бюджет по уточнен план.</w:t>
      </w:r>
    </w:p>
    <w:p w14:paraId="65FB01A9" w14:textId="77777777" w:rsidR="0063166A" w:rsidRPr="00387A3E" w:rsidRDefault="0063166A" w:rsidP="0063166A">
      <w:pPr>
        <w:ind w:firstLine="567"/>
        <w:jc w:val="both"/>
        <w:rPr>
          <w:color w:val="0070C0"/>
          <w:szCs w:val="20"/>
        </w:rPr>
      </w:pPr>
    </w:p>
    <w:p w14:paraId="697B8EBA" w14:textId="77777777" w:rsidR="0063166A" w:rsidRPr="00E64EAC" w:rsidRDefault="0063166A" w:rsidP="0063166A">
      <w:pPr>
        <w:numPr>
          <w:ilvl w:val="1"/>
          <w:numId w:val="5"/>
        </w:numPr>
        <w:ind w:left="992" w:hanging="357"/>
        <w:jc w:val="both"/>
        <w:rPr>
          <w:b/>
          <w:szCs w:val="20"/>
        </w:rPr>
      </w:pPr>
      <w:r w:rsidRPr="00E64EAC">
        <w:rPr>
          <w:b/>
        </w:rPr>
        <w:t>Българска телеграфна агенция</w:t>
      </w:r>
    </w:p>
    <w:p w14:paraId="441F69B6" w14:textId="77777777" w:rsidR="0063166A" w:rsidRPr="00137BC7" w:rsidRDefault="0063166A" w:rsidP="0063166A">
      <w:pPr>
        <w:ind w:firstLine="567"/>
        <w:jc w:val="both"/>
        <w:rPr>
          <w:b/>
          <w:szCs w:val="20"/>
        </w:rPr>
      </w:pPr>
      <w:r w:rsidRPr="00137BC7">
        <w:rPr>
          <w:b/>
          <w:szCs w:val="20"/>
        </w:rPr>
        <w:t xml:space="preserve">Приходите на </w:t>
      </w:r>
      <w:r w:rsidRPr="00137BC7">
        <w:rPr>
          <w:b/>
        </w:rPr>
        <w:t>Българската телеграфна агенция (БТА)</w:t>
      </w:r>
      <w:r w:rsidRPr="00137BC7">
        <w:t xml:space="preserve"> </w:t>
      </w:r>
      <w:r w:rsidRPr="00137BC7">
        <w:rPr>
          <w:szCs w:val="20"/>
        </w:rPr>
        <w:t>към 30.09.2024 г. са в размер на 0,5 млн. лв</w:t>
      </w:r>
      <w:r w:rsidRPr="00137BC7">
        <w:t xml:space="preserve">., което представлява 91,2 % от заложените приходи в разчетите към ЗДБРБ за 2024 г. (0,6 млн. лв.). Средствата са основно от продажба на услуги, стоки и продукция (реклама, технически услуги, продажба на продукция), наеми на имущество и други. </w:t>
      </w:r>
    </w:p>
    <w:p w14:paraId="0427336D" w14:textId="77777777" w:rsidR="0063166A" w:rsidRPr="00387A3E" w:rsidRDefault="0063166A" w:rsidP="0063166A">
      <w:pPr>
        <w:pStyle w:val="Title"/>
        <w:ind w:firstLine="567"/>
        <w:jc w:val="both"/>
        <w:rPr>
          <w:b w:val="0"/>
          <w:color w:val="0070C0"/>
        </w:rPr>
      </w:pPr>
      <w:r w:rsidRPr="00137BC7">
        <w:rPr>
          <w:b w:val="0"/>
        </w:rPr>
        <w:t xml:space="preserve">Отчетените </w:t>
      </w:r>
      <w:r w:rsidRPr="00137BC7">
        <w:t>разходи</w:t>
      </w:r>
      <w:r w:rsidRPr="00137BC7">
        <w:rPr>
          <w:b w:val="0"/>
        </w:rPr>
        <w:t xml:space="preserve"> </w:t>
      </w:r>
      <w:r w:rsidRPr="00137BC7">
        <w:t>по бюджета на БТА</w:t>
      </w:r>
      <w:r w:rsidRPr="00137BC7">
        <w:rPr>
          <w:b w:val="0"/>
        </w:rPr>
        <w:t xml:space="preserve"> са в размер на 11,8 млн. лв., което представлява 95,0 % от предвидените разходи </w:t>
      </w:r>
      <w:r>
        <w:rPr>
          <w:b w:val="0"/>
        </w:rPr>
        <w:t>в разчетите към ЗДБРБ за 2024 година.</w:t>
      </w:r>
    </w:p>
    <w:p w14:paraId="6EEC9AEF" w14:textId="77777777" w:rsidR="0063166A" w:rsidRDefault="0063166A" w:rsidP="0063166A">
      <w:pPr>
        <w:pStyle w:val="Title"/>
        <w:ind w:firstLine="567"/>
        <w:jc w:val="both"/>
        <w:rPr>
          <w:b w:val="0"/>
          <w:color w:val="0070C0"/>
        </w:rPr>
      </w:pPr>
      <w:r w:rsidRPr="00137BC7">
        <w:rPr>
          <w:b w:val="0"/>
        </w:rPr>
        <w:t>Българската телеграфна агенция съставя, изпълнява, приключва и отчита бюджет, съгласно чл. 19, ал. 1 от Закона за Българска телеграфна агенция (ЗБТА).</w:t>
      </w:r>
      <w:r w:rsidRPr="00137BC7">
        <w:t xml:space="preserve"> </w:t>
      </w:r>
    </w:p>
    <w:p w14:paraId="0600C7D3" w14:textId="77777777" w:rsidR="0063166A" w:rsidRPr="00137BC7" w:rsidRDefault="0063166A" w:rsidP="0063166A">
      <w:pPr>
        <w:ind w:firstLine="708"/>
        <w:jc w:val="both"/>
      </w:pPr>
      <w:r w:rsidRPr="00137BC7">
        <w:t>За периода са отчетени 10,7 млн. лв. текущи разходи и 1,1 млн. лв. капиталови разходи. Общият размер на отчетените текущи разходи включва: 8,0 млн. лв. разходи за персонал, 2,7 млн. лв. разходи за издръжка (вкл. разходи за членски внос, платени данъци, такси и административни санкции). Отчетените разходи за персонал представляват 74,8 % от отчетените текущи разходи.</w:t>
      </w:r>
    </w:p>
    <w:p w14:paraId="66FEAD03" w14:textId="77777777" w:rsidR="0063166A" w:rsidRPr="00137BC7" w:rsidRDefault="0063166A" w:rsidP="0063166A">
      <w:pPr>
        <w:ind w:firstLine="708"/>
        <w:jc w:val="both"/>
      </w:pPr>
      <w:r w:rsidRPr="00137BC7">
        <w:t>В разпределението на разходите по бюджета на агенцията е включен преходния остатък за 2023 г. (съгл. чл. 20, ал. 3 от ЗБТА) в размер на 1,7 млн. лв., както и извършените промени по бюджета в изпълнение на ПМС № 204 от 2024 г., със сумата с 2 млн. лв. и в изпълнение на ПМС № 100 от 2024 г. с добавени още 0,25 млн. л</w:t>
      </w:r>
      <w:r>
        <w:rPr>
          <w:lang w:val="en-US"/>
        </w:rPr>
        <w:t>e</w:t>
      </w:r>
      <w:r w:rsidRPr="00137BC7">
        <w:t>в</w:t>
      </w:r>
      <w:r>
        <w:t>а</w:t>
      </w:r>
      <w:r w:rsidRPr="00137BC7">
        <w:t>.</w:t>
      </w:r>
    </w:p>
    <w:p w14:paraId="5340313E" w14:textId="77777777" w:rsidR="0063166A" w:rsidRPr="00387A3E" w:rsidRDefault="0063166A" w:rsidP="0063166A">
      <w:pPr>
        <w:pStyle w:val="Title"/>
        <w:ind w:firstLine="567"/>
        <w:jc w:val="both"/>
        <w:rPr>
          <w:b w:val="0"/>
          <w:color w:val="0070C0"/>
        </w:rPr>
      </w:pPr>
      <w:r w:rsidRPr="00137BC7">
        <w:rPr>
          <w:b w:val="0"/>
          <w:szCs w:val="24"/>
          <w:lang w:eastAsia="bg-BG"/>
        </w:rPr>
        <w:t>За отчетния период средствата са усвоени за реализирането на основните цели и дейности на БТА като национален независим информационен институт на Република България, съгласно разпоредбите на Закона за Българска телеграфна агенция.</w:t>
      </w:r>
    </w:p>
    <w:p w14:paraId="60ADF99A" w14:textId="77777777" w:rsidR="0063166A" w:rsidRPr="00387A3E" w:rsidRDefault="0063166A" w:rsidP="0063166A">
      <w:pPr>
        <w:pStyle w:val="Title"/>
        <w:ind w:firstLine="567"/>
        <w:jc w:val="both"/>
        <w:rPr>
          <w:b w:val="0"/>
          <w:color w:val="0070C0"/>
        </w:rPr>
      </w:pPr>
      <w:r w:rsidRPr="0086409B">
        <w:t>Бюджетни взаимоотношения на БТА</w:t>
      </w:r>
      <w:r w:rsidRPr="0086409B">
        <w:rPr>
          <w:b w:val="0"/>
        </w:rPr>
        <w:t xml:space="preserve"> с централния бюджет възлизат на 11,9 млн. лв. съгласно чл. 50, т. 3 от ЗДБРБ за 2024 г., а след извършени промени по бюджета в изпълнение на ПМС № 204 от 2024 г., сумата е увеличена с 2,0 млн. лв. и в изпълнение на ПМС № 100 от 2024 г. са добавени още 0,25 млн. лв. За отчетния период е усвоена сума в размер на 10,0 млн. лева.</w:t>
      </w:r>
    </w:p>
    <w:p w14:paraId="46AD4840" w14:textId="77777777" w:rsidR="00446778" w:rsidRPr="00387A3E" w:rsidRDefault="00446778" w:rsidP="007C1025">
      <w:pPr>
        <w:pStyle w:val="Title"/>
        <w:jc w:val="both"/>
        <w:rPr>
          <w:color w:val="0070C0"/>
        </w:rPr>
      </w:pPr>
    </w:p>
    <w:p w14:paraId="00B98CA8" w14:textId="77777777" w:rsidR="00001ABF" w:rsidRPr="00387A3E" w:rsidRDefault="00001ABF" w:rsidP="007C1025">
      <w:pPr>
        <w:pStyle w:val="Title"/>
        <w:jc w:val="both"/>
        <w:rPr>
          <w:color w:val="0070C0"/>
        </w:rPr>
      </w:pPr>
    </w:p>
    <w:p w14:paraId="6955B9F5" w14:textId="6020B81C" w:rsidR="007C1025" w:rsidRDefault="007C1025" w:rsidP="007C1025">
      <w:pPr>
        <w:pStyle w:val="Title"/>
        <w:jc w:val="both"/>
      </w:pPr>
      <w:r w:rsidRPr="00516AAD">
        <w:t xml:space="preserve">Министерство на финансите, </w:t>
      </w:r>
      <w:r w:rsidR="00516AAD" w:rsidRPr="00516AAD">
        <w:t>ноември</w:t>
      </w:r>
      <w:r w:rsidR="009E4D02" w:rsidRPr="00516AAD">
        <w:t xml:space="preserve"> </w:t>
      </w:r>
      <w:r w:rsidRPr="00516AAD">
        <w:t>202</w:t>
      </w:r>
      <w:r w:rsidR="00E4591D" w:rsidRPr="00516AAD">
        <w:t>4</w:t>
      </w:r>
      <w:r w:rsidRPr="00516AAD">
        <w:t xml:space="preserve"> г.</w:t>
      </w:r>
    </w:p>
    <w:p w14:paraId="6243E595" w14:textId="1230DE78" w:rsidR="00EE4129" w:rsidRDefault="00EE4129" w:rsidP="007C1025">
      <w:pPr>
        <w:pStyle w:val="Title"/>
        <w:jc w:val="both"/>
      </w:pPr>
    </w:p>
    <w:p w14:paraId="77D36207" w14:textId="77777777" w:rsidR="00EE4129" w:rsidRPr="00516AAD" w:rsidRDefault="00EE4129" w:rsidP="007C1025">
      <w:pPr>
        <w:pStyle w:val="Title"/>
        <w:jc w:val="both"/>
        <w:rPr>
          <w:lang w:val="en-US"/>
        </w:rPr>
      </w:pPr>
    </w:p>
    <w:sectPr w:rsidR="00EE4129" w:rsidRPr="00516AAD" w:rsidSect="00033525">
      <w:footerReference w:type="even" r:id="rId11"/>
      <w:footerReference w:type="default" r:id="rId12"/>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E7AB" w14:textId="77777777" w:rsidR="00BF7B15" w:rsidRDefault="00BF7B15">
      <w:r>
        <w:separator/>
      </w:r>
    </w:p>
  </w:endnote>
  <w:endnote w:type="continuationSeparator" w:id="0">
    <w:p w14:paraId="57A6B860" w14:textId="77777777" w:rsidR="00BF7B15" w:rsidRDefault="00BF7B15">
      <w:r>
        <w:continuationSeparator/>
      </w:r>
    </w:p>
  </w:endnote>
  <w:endnote w:type="continuationNotice" w:id="1">
    <w:p w14:paraId="32CF92D2" w14:textId="77777777" w:rsidR="00BF7B15" w:rsidRDefault="00BF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4564" w14:textId="77777777" w:rsidR="00BF7B15" w:rsidRDefault="00BF7B1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AC226" w14:textId="77777777" w:rsidR="00BF7B15" w:rsidRDefault="00BF7B15"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76A5" w14:textId="2CEE5D68" w:rsidR="00BF7B15" w:rsidRDefault="00BF7B1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141">
      <w:rPr>
        <w:rStyle w:val="PageNumber"/>
        <w:noProof/>
      </w:rPr>
      <w:t>10</w:t>
    </w:r>
    <w:r>
      <w:rPr>
        <w:rStyle w:val="PageNumber"/>
      </w:rPr>
      <w:fldChar w:fldCharType="end"/>
    </w:r>
  </w:p>
  <w:p w14:paraId="38EB9346" w14:textId="77777777" w:rsidR="00BF7B15" w:rsidRDefault="00BF7B15"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628F" w14:textId="77777777" w:rsidR="00BF7B15" w:rsidRDefault="00BF7B15">
      <w:r>
        <w:separator/>
      </w:r>
    </w:p>
  </w:footnote>
  <w:footnote w:type="continuationSeparator" w:id="0">
    <w:p w14:paraId="6158E0A3" w14:textId="77777777" w:rsidR="00BF7B15" w:rsidRDefault="00BF7B15">
      <w:r>
        <w:continuationSeparator/>
      </w:r>
    </w:p>
  </w:footnote>
  <w:footnote w:type="continuationNotice" w:id="1">
    <w:p w14:paraId="30538755" w14:textId="77777777" w:rsidR="00BF7B15" w:rsidRDefault="00BF7B15"/>
  </w:footnote>
  <w:footnote w:id="2">
    <w:p w14:paraId="49C45953" w14:textId="77777777" w:rsidR="00BF7B15" w:rsidRPr="007D18FE" w:rsidRDefault="00BF7B15"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w:t>
      </w:r>
      <w:r>
        <w:rPr>
          <w:sz w:val="18"/>
          <w:szCs w:val="18"/>
          <w:lang w:val="bg-BG"/>
        </w:rPr>
        <w:t>3</w:t>
      </w:r>
      <w:r w:rsidRPr="007D18FE">
        <w:rPr>
          <w:sz w:val="18"/>
          <w:szCs w:val="18"/>
          <w:lang w:val="bg-BG"/>
        </w:rPr>
        <w:t>,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14:paraId="0CA3AD15" w14:textId="76388073" w:rsidR="00BF7B15" w:rsidRPr="007D18FE" w:rsidRDefault="00BF7B15" w:rsidP="001F66D5">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w:t>
      </w:r>
      <w:r w:rsidRPr="00012BE6">
        <w:rPr>
          <w:sz w:val="18"/>
          <w:szCs w:val="18"/>
          <w:lang w:val="bg-BG"/>
        </w:rPr>
        <w:t>Поради извършено закръгление в млн. лв., някои сумарни позиции в таблицата  и в текста не се изчерпват от съставните им числа</w:t>
      </w:r>
      <w:r w:rsidRPr="007D18FE">
        <w:rPr>
          <w:sz w:val="18"/>
          <w:szCs w:val="18"/>
          <w:lang w:val="bg-BG"/>
        </w:rPr>
        <w:t>.</w:t>
      </w:r>
    </w:p>
  </w:footnote>
  <w:footnote w:id="4">
    <w:p w14:paraId="7E33AFA1" w14:textId="77777777" w:rsidR="00BF7B15" w:rsidRPr="00D13ABE" w:rsidRDefault="00BF7B15" w:rsidP="001F66D5">
      <w:pPr>
        <w:pStyle w:val="FootnoteText"/>
        <w:rPr>
          <w:lang w:val="bg-BG"/>
        </w:rPr>
      </w:pPr>
      <w:r w:rsidRPr="004304BD">
        <w:rPr>
          <w:rStyle w:val="FootnoteReference"/>
        </w:rPr>
        <w:footnoteRef/>
      </w:r>
      <w:r w:rsidRPr="004304BD">
        <w:rPr>
          <w:lang w:val="bg-BG"/>
        </w:rPr>
        <w:t xml:space="preserve"> </w:t>
      </w:r>
      <w:r w:rsidRPr="00AF223B">
        <w:rPr>
          <w:sz w:val="18"/>
          <w:szCs w:val="18"/>
          <w:lang w:val="bg-BG"/>
        </w:rPr>
        <w:t>Разчети към ЗДБРБ за 2024 г. (</w:t>
      </w:r>
      <w:proofErr w:type="spellStart"/>
      <w:r w:rsidRPr="00AF223B">
        <w:rPr>
          <w:sz w:val="18"/>
          <w:szCs w:val="18"/>
          <w:lang w:val="bg-BG"/>
        </w:rPr>
        <w:t>oбн</w:t>
      </w:r>
      <w:proofErr w:type="spellEnd"/>
      <w:r w:rsidRPr="00AF223B">
        <w:rPr>
          <w:sz w:val="18"/>
          <w:szCs w:val="18"/>
          <w:lang w:val="bg-BG"/>
        </w:rPr>
        <w:t>., ДВ., бр. 108 от 30.12.2023 г.)</w:t>
      </w:r>
    </w:p>
  </w:footnote>
  <w:footnote w:id="5">
    <w:p w14:paraId="53C2574E" w14:textId="77777777" w:rsidR="00BF7B15" w:rsidRPr="00E74802" w:rsidRDefault="00BF7B15" w:rsidP="001F66D5">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14:paraId="619C3A74" w14:textId="77777777" w:rsidR="00BF7B15" w:rsidRPr="006440AB" w:rsidRDefault="00BF7B15" w:rsidP="001F66D5">
      <w:pPr>
        <w:pStyle w:val="FootnoteText"/>
        <w:rPr>
          <w:lang w:val="bg-BG"/>
        </w:rPr>
      </w:pPr>
      <w:r w:rsidRPr="006440AB">
        <w:rPr>
          <w:rStyle w:val="FootnoteReference"/>
          <w:lang w:val="bg-BG"/>
        </w:rPr>
        <w:footnoteRef/>
      </w:r>
      <w:r w:rsidRPr="006440AB">
        <w:rPr>
          <w:lang w:val="bg-BG"/>
        </w:rPr>
        <w:t xml:space="preserve"> </w:t>
      </w:r>
      <w:r w:rsidRPr="006440AB">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14:paraId="73FD3ACD" w14:textId="77777777" w:rsidR="00BF7B15" w:rsidRPr="002F6170" w:rsidRDefault="00BF7B15" w:rsidP="00E86EAF">
      <w:pPr>
        <w:pStyle w:val="FootnoteText"/>
        <w:jc w:val="both"/>
        <w:rPr>
          <w:sz w:val="18"/>
          <w:szCs w:val="18"/>
          <w:lang w:val="bg-BG"/>
        </w:rPr>
      </w:pPr>
      <w:r w:rsidRPr="002F6170">
        <w:rPr>
          <w:rStyle w:val="FootnoteReference"/>
          <w:lang w:val="bg-BG"/>
        </w:rPr>
        <w:footnoteRef/>
      </w:r>
      <w:r w:rsidRPr="002F6170">
        <w:rPr>
          <w:sz w:val="18"/>
          <w:szCs w:val="18"/>
          <w:lang w:val="bg-BG"/>
        </w:rPr>
        <w:t xml:space="preserve"> Поради извършено закръгление в млн. лв., някои сумарни позиции в таблицата  и в текста не се изчерпват от съставните им числа.</w:t>
      </w:r>
    </w:p>
  </w:footnote>
  <w:footnote w:id="8">
    <w:p w14:paraId="54C5B2C6" w14:textId="77777777" w:rsidR="00BF7B15" w:rsidRPr="006C2AFF" w:rsidRDefault="00BF7B15" w:rsidP="00E86EAF">
      <w:pPr>
        <w:pStyle w:val="FootnoteText"/>
        <w:jc w:val="both"/>
        <w:rPr>
          <w:sz w:val="18"/>
          <w:szCs w:val="18"/>
        </w:rPr>
      </w:pPr>
      <w:r w:rsidRPr="002F6170">
        <w:rPr>
          <w:rStyle w:val="FootnoteReference"/>
          <w:sz w:val="18"/>
          <w:szCs w:val="18"/>
          <w:lang w:val="bg-BG"/>
        </w:rPr>
        <w:footnoteRef/>
      </w:r>
      <w:r w:rsidRPr="002F6170">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F7759B"/>
    <w:multiLevelType w:val="hybridMultilevel"/>
    <w:tmpl w:val="0B040A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5740BA"/>
    <w:multiLevelType w:val="hybridMultilevel"/>
    <w:tmpl w:val="B9160DF6"/>
    <w:lvl w:ilvl="0" w:tplc="0402000B">
      <w:start w:val="1"/>
      <w:numFmt w:val="bullet"/>
      <w:lvlText w:val=""/>
      <w:lvlJc w:val="left"/>
      <w:pPr>
        <w:tabs>
          <w:tab w:val="num" w:pos="700"/>
        </w:tabs>
        <w:ind w:left="700" w:hanging="360"/>
      </w:pPr>
      <w:rPr>
        <w:rFonts w:ascii="Wingdings" w:hAnsi="Wingdings"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426959"/>
    <w:multiLevelType w:val="hybridMultilevel"/>
    <w:tmpl w:val="A8A8AC2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6531B"/>
    <w:multiLevelType w:val="hybridMultilevel"/>
    <w:tmpl w:val="FB0CC328"/>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A71765A"/>
    <w:multiLevelType w:val="hybridMultilevel"/>
    <w:tmpl w:val="E5B26848"/>
    <w:lvl w:ilvl="0" w:tplc="86DE8046">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2"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8" w15:restartNumberingAfterBreak="0">
    <w:nsid w:val="568744DC"/>
    <w:multiLevelType w:val="hybridMultilevel"/>
    <w:tmpl w:val="DB1EB1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21"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2"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A5B61CF"/>
    <w:multiLevelType w:val="hybridMultilevel"/>
    <w:tmpl w:val="8F0C2DD6"/>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7" w15:restartNumberingAfterBreak="0">
    <w:nsid w:val="6D2B5869"/>
    <w:multiLevelType w:val="multilevel"/>
    <w:tmpl w:val="4418BF74"/>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28"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9"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abstractNumId w:val="3"/>
  </w:num>
  <w:num w:numId="2">
    <w:abstractNumId w:val="12"/>
  </w:num>
  <w:num w:numId="3">
    <w:abstractNumId w:val="24"/>
  </w:num>
  <w:num w:numId="4">
    <w:abstractNumId w:val="10"/>
  </w:num>
  <w:num w:numId="5">
    <w:abstractNumId w:val="16"/>
  </w:num>
  <w:num w:numId="6">
    <w:abstractNumId w:val="22"/>
  </w:num>
  <w:num w:numId="7">
    <w:abstractNumId w:val="15"/>
  </w:num>
  <w:num w:numId="8">
    <w:abstractNumId w:val="29"/>
  </w:num>
  <w:num w:numId="9">
    <w:abstractNumId w:val="23"/>
  </w:num>
  <w:num w:numId="10">
    <w:abstractNumId w:val="21"/>
  </w:num>
  <w:num w:numId="11">
    <w:abstractNumId w:val="25"/>
  </w:num>
  <w:num w:numId="12">
    <w:abstractNumId w:val="13"/>
  </w:num>
  <w:num w:numId="13">
    <w:abstractNumId w:val="6"/>
  </w:num>
  <w:num w:numId="14">
    <w:abstractNumId w:val="7"/>
  </w:num>
  <w:num w:numId="15">
    <w:abstractNumId w:val="14"/>
  </w:num>
  <w:num w:numId="16">
    <w:abstractNumId w:val="17"/>
  </w:num>
  <w:num w:numId="17">
    <w:abstractNumId w:val="28"/>
  </w:num>
  <w:num w:numId="18">
    <w:abstractNumId w:val="19"/>
  </w:num>
  <w:num w:numId="19">
    <w:abstractNumId w:val="0"/>
  </w:num>
  <w:num w:numId="20">
    <w:abstractNumId w:val="5"/>
  </w:num>
  <w:num w:numId="21">
    <w:abstractNumId w:val="11"/>
  </w:num>
  <w:num w:numId="22">
    <w:abstractNumId w:val="20"/>
  </w:num>
  <w:num w:numId="23">
    <w:abstractNumId w:val="2"/>
  </w:num>
  <w:num w:numId="24">
    <w:abstractNumId w:val="18"/>
  </w:num>
  <w:num w:numId="25">
    <w:abstractNumId w:val="1"/>
  </w:num>
  <w:num w:numId="26">
    <w:abstractNumId w:val="9"/>
  </w:num>
  <w:num w:numId="27">
    <w:abstractNumId w:val="8"/>
  </w:num>
  <w:num w:numId="28">
    <w:abstractNumId w:val="26"/>
  </w:num>
  <w:num w:numId="29">
    <w:abstractNumId w:val="4"/>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83C"/>
    <w:rsid w:val="00000EF0"/>
    <w:rsid w:val="00000FE1"/>
    <w:rsid w:val="000010D2"/>
    <w:rsid w:val="00001580"/>
    <w:rsid w:val="000016BE"/>
    <w:rsid w:val="00001ABF"/>
    <w:rsid w:val="00001CF0"/>
    <w:rsid w:val="00002BD7"/>
    <w:rsid w:val="00002D9C"/>
    <w:rsid w:val="00003489"/>
    <w:rsid w:val="00003B52"/>
    <w:rsid w:val="00004264"/>
    <w:rsid w:val="00005544"/>
    <w:rsid w:val="000057BA"/>
    <w:rsid w:val="00005A85"/>
    <w:rsid w:val="0000626B"/>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2BE6"/>
    <w:rsid w:val="00012C07"/>
    <w:rsid w:val="0001332F"/>
    <w:rsid w:val="00013357"/>
    <w:rsid w:val="0001356B"/>
    <w:rsid w:val="00013677"/>
    <w:rsid w:val="00013B93"/>
    <w:rsid w:val="00013C59"/>
    <w:rsid w:val="000146EA"/>
    <w:rsid w:val="000148E4"/>
    <w:rsid w:val="000158A2"/>
    <w:rsid w:val="00015C0F"/>
    <w:rsid w:val="00015D5B"/>
    <w:rsid w:val="0001664B"/>
    <w:rsid w:val="00017412"/>
    <w:rsid w:val="000175C7"/>
    <w:rsid w:val="000178CA"/>
    <w:rsid w:val="00017EA1"/>
    <w:rsid w:val="0002050E"/>
    <w:rsid w:val="000215BD"/>
    <w:rsid w:val="00021A5F"/>
    <w:rsid w:val="000221B7"/>
    <w:rsid w:val="00022856"/>
    <w:rsid w:val="000229E1"/>
    <w:rsid w:val="00022CAC"/>
    <w:rsid w:val="00022D9E"/>
    <w:rsid w:val="00023244"/>
    <w:rsid w:val="0002351F"/>
    <w:rsid w:val="00023BF6"/>
    <w:rsid w:val="00023D31"/>
    <w:rsid w:val="00024065"/>
    <w:rsid w:val="0002444B"/>
    <w:rsid w:val="0002477E"/>
    <w:rsid w:val="0002478B"/>
    <w:rsid w:val="000249B9"/>
    <w:rsid w:val="000252F3"/>
    <w:rsid w:val="000256B4"/>
    <w:rsid w:val="0002578D"/>
    <w:rsid w:val="00025953"/>
    <w:rsid w:val="000259F6"/>
    <w:rsid w:val="00025F45"/>
    <w:rsid w:val="000262DF"/>
    <w:rsid w:val="00026903"/>
    <w:rsid w:val="0002693A"/>
    <w:rsid w:val="00026AD5"/>
    <w:rsid w:val="000273C6"/>
    <w:rsid w:val="00027951"/>
    <w:rsid w:val="00027B74"/>
    <w:rsid w:val="00030353"/>
    <w:rsid w:val="00030658"/>
    <w:rsid w:val="000307D3"/>
    <w:rsid w:val="000311EA"/>
    <w:rsid w:val="00031377"/>
    <w:rsid w:val="00031593"/>
    <w:rsid w:val="00031710"/>
    <w:rsid w:val="000319CB"/>
    <w:rsid w:val="000320C8"/>
    <w:rsid w:val="00032966"/>
    <w:rsid w:val="00032B7F"/>
    <w:rsid w:val="00033525"/>
    <w:rsid w:val="00033590"/>
    <w:rsid w:val="00033ACB"/>
    <w:rsid w:val="000340ED"/>
    <w:rsid w:val="00034135"/>
    <w:rsid w:val="00034396"/>
    <w:rsid w:val="00034FE3"/>
    <w:rsid w:val="0003586B"/>
    <w:rsid w:val="000359FA"/>
    <w:rsid w:val="0003621F"/>
    <w:rsid w:val="000363A8"/>
    <w:rsid w:val="0003685F"/>
    <w:rsid w:val="000369D6"/>
    <w:rsid w:val="00036A1B"/>
    <w:rsid w:val="00037141"/>
    <w:rsid w:val="000377BC"/>
    <w:rsid w:val="000378DC"/>
    <w:rsid w:val="0003798B"/>
    <w:rsid w:val="00040164"/>
    <w:rsid w:val="0004068C"/>
    <w:rsid w:val="000406B2"/>
    <w:rsid w:val="0004080C"/>
    <w:rsid w:val="0004098D"/>
    <w:rsid w:val="00040C20"/>
    <w:rsid w:val="000411D9"/>
    <w:rsid w:val="00041338"/>
    <w:rsid w:val="0004146E"/>
    <w:rsid w:val="00042634"/>
    <w:rsid w:val="00042853"/>
    <w:rsid w:val="00042C9E"/>
    <w:rsid w:val="00042E57"/>
    <w:rsid w:val="0004338F"/>
    <w:rsid w:val="000436DD"/>
    <w:rsid w:val="000439F5"/>
    <w:rsid w:val="00043AA0"/>
    <w:rsid w:val="00043AB2"/>
    <w:rsid w:val="00043E35"/>
    <w:rsid w:val="00043E3A"/>
    <w:rsid w:val="00044147"/>
    <w:rsid w:val="00044187"/>
    <w:rsid w:val="0004426E"/>
    <w:rsid w:val="00044273"/>
    <w:rsid w:val="0004481C"/>
    <w:rsid w:val="00045116"/>
    <w:rsid w:val="0004559E"/>
    <w:rsid w:val="00045688"/>
    <w:rsid w:val="000458F0"/>
    <w:rsid w:val="00045B4C"/>
    <w:rsid w:val="000465FC"/>
    <w:rsid w:val="0004753C"/>
    <w:rsid w:val="000500CE"/>
    <w:rsid w:val="000504F4"/>
    <w:rsid w:val="00050557"/>
    <w:rsid w:val="0005066A"/>
    <w:rsid w:val="00050A1B"/>
    <w:rsid w:val="00051A6A"/>
    <w:rsid w:val="00051E5E"/>
    <w:rsid w:val="00052449"/>
    <w:rsid w:val="00052485"/>
    <w:rsid w:val="000524B0"/>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DD1"/>
    <w:rsid w:val="000561EA"/>
    <w:rsid w:val="00056221"/>
    <w:rsid w:val="00056489"/>
    <w:rsid w:val="00056B58"/>
    <w:rsid w:val="00056D9D"/>
    <w:rsid w:val="0005737D"/>
    <w:rsid w:val="0005756A"/>
    <w:rsid w:val="00057886"/>
    <w:rsid w:val="00060A02"/>
    <w:rsid w:val="00060B42"/>
    <w:rsid w:val="000613BA"/>
    <w:rsid w:val="0006166E"/>
    <w:rsid w:val="00061758"/>
    <w:rsid w:val="000621DE"/>
    <w:rsid w:val="00062315"/>
    <w:rsid w:val="00062A61"/>
    <w:rsid w:val="00062A78"/>
    <w:rsid w:val="00063093"/>
    <w:rsid w:val="00063235"/>
    <w:rsid w:val="00063248"/>
    <w:rsid w:val="00063553"/>
    <w:rsid w:val="00063C56"/>
    <w:rsid w:val="00063CF1"/>
    <w:rsid w:val="00063E15"/>
    <w:rsid w:val="000642B9"/>
    <w:rsid w:val="0006432D"/>
    <w:rsid w:val="00064472"/>
    <w:rsid w:val="0006477A"/>
    <w:rsid w:val="00064AF3"/>
    <w:rsid w:val="00064C29"/>
    <w:rsid w:val="00064C44"/>
    <w:rsid w:val="00064E39"/>
    <w:rsid w:val="00064F71"/>
    <w:rsid w:val="00065154"/>
    <w:rsid w:val="0006584F"/>
    <w:rsid w:val="00065A46"/>
    <w:rsid w:val="00065DF8"/>
    <w:rsid w:val="000663D1"/>
    <w:rsid w:val="000666C0"/>
    <w:rsid w:val="000669D8"/>
    <w:rsid w:val="00066EED"/>
    <w:rsid w:val="00067283"/>
    <w:rsid w:val="00067469"/>
    <w:rsid w:val="0006785C"/>
    <w:rsid w:val="0007007C"/>
    <w:rsid w:val="0007047E"/>
    <w:rsid w:val="000709C1"/>
    <w:rsid w:val="00070A97"/>
    <w:rsid w:val="00071C3B"/>
    <w:rsid w:val="00071F12"/>
    <w:rsid w:val="0007251B"/>
    <w:rsid w:val="00072C4F"/>
    <w:rsid w:val="00072D22"/>
    <w:rsid w:val="00073108"/>
    <w:rsid w:val="00073B7F"/>
    <w:rsid w:val="00073DF5"/>
    <w:rsid w:val="00074744"/>
    <w:rsid w:val="00074B7D"/>
    <w:rsid w:val="000751C1"/>
    <w:rsid w:val="00075256"/>
    <w:rsid w:val="0007526B"/>
    <w:rsid w:val="000756FB"/>
    <w:rsid w:val="000768B3"/>
    <w:rsid w:val="00076B59"/>
    <w:rsid w:val="000801C8"/>
    <w:rsid w:val="00080AB2"/>
    <w:rsid w:val="00080EF5"/>
    <w:rsid w:val="0008155D"/>
    <w:rsid w:val="0008165A"/>
    <w:rsid w:val="000819F9"/>
    <w:rsid w:val="00081AFD"/>
    <w:rsid w:val="00082392"/>
    <w:rsid w:val="00082679"/>
    <w:rsid w:val="000827A4"/>
    <w:rsid w:val="000829EB"/>
    <w:rsid w:val="00082A1E"/>
    <w:rsid w:val="00082BD9"/>
    <w:rsid w:val="00082F40"/>
    <w:rsid w:val="0008327E"/>
    <w:rsid w:val="000832E5"/>
    <w:rsid w:val="000833A2"/>
    <w:rsid w:val="0008357F"/>
    <w:rsid w:val="00083E2F"/>
    <w:rsid w:val="000853B1"/>
    <w:rsid w:val="00085704"/>
    <w:rsid w:val="00085734"/>
    <w:rsid w:val="00085B96"/>
    <w:rsid w:val="00085E01"/>
    <w:rsid w:val="00085E1A"/>
    <w:rsid w:val="00086A8E"/>
    <w:rsid w:val="00086FA7"/>
    <w:rsid w:val="00087295"/>
    <w:rsid w:val="0008732B"/>
    <w:rsid w:val="0008745A"/>
    <w:rsid w:val="000878C4"/>
    <w:rsid w:val="00087924"/>
    <w:rsid w:val="00087ED6"/>
    <w:rsid w:val="0009002F"/>
    <w:rsid w:val="000900E3"/>
    <w:rsid w:val="000901EA"/>
    <w:rsid w:val="000902B5"/>
    <w:rsid w:val="00090D1D"/>
    <w:rsid w:val="00091196"/>
    <w:rsid w:val="00091BCE"/>
    <w:rsid w:val="000931C8"/>
    <w:rsid w:val="000937AB"/>
    <w:rsid w:val="000937E0"/>
    <w:rsid w:val="00093C24"/>
    <w:rsid w:val="00093CFC"/>
    <w:rsid w:val="00093F6F"/>
    <w:rsid w:val="000943E4"/>
    <w:rsid w:val="000949D3"/>
    <w:rsid w:val="00094A6C"/>
    <w:rsid w:val="00094A78"/>
    <w:rsid w:val="00095164"/>
    <w:rsid w:val="0009519B"/>
    <w:rsid w:val="0009594D"/>
    <w:rsid w:val="000959DC"/>
    <w:rsid w:val="00095B68"/>
    <w:rsid w:val="00095CA2"/>
    <w:rsid w:val="00095EF0"/>
    <w:rsid w:val="0009649D"/>
    <w:rsid w:val="0009743A"/>
    <w:rsid w:val="00097C52"/>
    <w:rsid w:val="000A052A"/>
    <w:rsid w:val="000A09BA"/>
    <w:rsid w:val="000A10E1"/>
    <w:rsid w:val="000A141F"/>
    <w:rsid w:val="000A301B"/>
    <w:rsid w:val="000A3426"/>
    <w:rsid w:val="000A3F57"/>
    <w:rsid w:val="000A4432"/>
    <w:rsid w:val="000A49C8"/>
    <w:rsid w:val="000A5397"/>
    <w:rsid w:val="000A5B32"/>
    <w:rsid w:val="000A6E4D"/>
    <w:rsid w:val="000A7446"/>
    <w:rsid w:val="000A7841"/>
    <w:rsid w:val="000B0616"/>
    <w:rsid w:val="000B0815"/>
    <w:rsid w:val="000B09E5"/>
    <w:rsid w:val="000B0BED"/>
    <w:rsid w:val="000B0CE6"/>
    <w:rsid w:val="000B11FB"/>
    <w:rsid w:val="000B16DF"/>
    <w:rsid w:val="000B175F"/>
    <w:rsid w:val="000B1A24"/>
    <w:rsid w:val="000B1E59"/>
    <w:rsid w:val="000B25CC"/>
    <w:rsid w:val="000B2CBE"/>
    <w:rsid w:val="000B330C"/>
    <w:rsid w:val="000B460F"/>
    <w:rsid w:val="000B474D"/>
    <w:rsid w:val="000B49EE"/>
    <w:rsid w:val="000B511E"/>
    <w:rsid w:val="000B5123"/>
    <w:rsid w:val="000B52FA"/>
    <w:rsid w:val="000B5F1E"/>
    <w:rsid w:val="000B62C7"/>
    <w:rsid w:val="000B64BA"/>
    <w:rsid w:val="000B67EA"/>
    <w:rsid w:val="000B6D3A"/>
    <w:rsid w:val="000B7234"/>
    <w:rsid w:val="000B7447"/>
    <w:rsid w:val="000B75C1"/>
    <w:rsid w:val="000B7C4F"/>
    <w:rsid w:val="000B7E66"/>
    <w:rsid w:val="000C019B"/>
    <w:rsid w:val="000C06FE"/>
    <w:rsid w:val="000C0A44"/>
    <w:rsid w:val="000C0FA1"/>
    <w:rsid w:val="000C13A5"/>
    <w:rsid w:val="000C244E"/>
    <w:rsid w:val="000C2FAC"/>
    <w:rsid w:val="000C3451"/>
    <w:rsid w:val="000C3D73"/>
    <w:rsid w:val="000C4760"/>
    <w:rsid w:val="000C4CBB"/>
    <w:rsid w:val="000C56B9"/>
    <w:rsid w:val="000C5ACF"/>
    <w:rsid w:val="000C5C6D"/>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38"/>
    <w:rsid w:val="000D06A6"/>
    <w:rsid w:val="000D0AB1"/>
    <w:rsid w:val="000D0EA5"/>
    <w:rsid w:val="000D13E1"/>
    <w:rsid w:val="000D23F8"/>
    <w:rsid w:val="000D2516"/>
    <w:rsid w:val="000D26D5"/>
    <w:rsid w:val="000D2B33"/>
    <w:rsid w:val="000D2BE7"/>
    <w:rsid w:val="000D3407"/>
    <w:rsid w:val="000D3942"/>
    <w:rsid w:val="000D3FA7"/>
    <w:rsid w:val="000D4203"/>
    <w:rsid w:val="000D46FD"/>
    <w:rsid w:val="000D46FF"/>
    <w:rsid w:val="000D49F5"/>
    <w:rsid w:val="000D4BEB"/>
    <w:rsid w:val="000D4CF8"/>
    <w:rsid w:val="000D5449"/>
    <w:rsid w:val="000D5722"/>
    <w:rsid w:val="000D5EE2"/>
    <w:rsid w:val="000D6D92"/>
    <w:rsid w:val="000D6FB5"/>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2BF2"/>
    <w:rsid w:val="000E32DC"/>
    <w:rsid w:val="000E39DF"/>
    <w:rsid w:val="000E3BA7"/>
    <w:rsid w:val="000E3CDC"/>
    <w:rsid w:val="000E3DA0"/>
    <w:rsid w:val="000E4599"/>
    <w:rsid w:val="000E4CFE"/>
    <w:rsid w:val="000E4EB4"/>
    <w:rsid w:val="000E5205"/>
    <w:rsid w:val="000E5295"/>
    <w:rsid w:val="000E5483"/>
    <w:rsid w:val="000E5EE9"/>
    <w:rsid w:val="000E632B"/>
    <w:rsid w:val="000E6968"/>
    <w:rsid w:val="000E69D1"/>
    <w:rsid w:val="000E76B3"/>
    <w:rsid w:val="000E773D"/>
    <w:rsid w:val="000F04F4"/>
    <w:rsid w:val="000F0BD7"/>
    <w:rsid w:val="000F1488"/>
    <w:rsid w:val="000F1EB1"/>
    <w:rsid w:val="000F21FC"/>
    <w:rsid w:val="000F26DE"/>
    <w:rsid w:val="000F32E9"/>
    <w:rsid w:val="000F3534"/>
    <w:rsid w:val="000F3A6E"/>
    <w:rsid w:val="000F3EA1"/>
    <w:rsid w:val="000F4571"/>
    <w:rsid w:val="000F47A8"/>
    <w:rsid w:val="000F4AE4"/>
    <w:rsid w:val="000F4DCA"/>
    <w:rsid w:val="000F5080"/>
    <w:rsid w:val="000F57CC"/>
    <w:rsid w:val="000F5EC6"/>
    <w:rsid w:val="000F5EF4"/>
    <w:rsid w:val="000F5F76"/>
    <w:rsid w:val="000F68AF"/>
    <w:rsid w:val="000F6975"/>
    <w:rsid w:val="000F69E1"/>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0F0"/>
    <w:rsid w:val="0010358B"/>
    <w:rsid w:val="00103BC3"/>
    <w:rsid w:val="00103C07"/>
    <w:rsid w:val="0010424C"/>
    <w:rsid w:val="00104331"/>
    <w:rsid w:val="001046B0"/>
    <w:rsid w:val="00104BB5"/>
    <w:rsid w:val="00104ED0"/>
    <w:rsid w:val="0010539A"/>
    <w:rsid w:val="001053A6"/>
    <w:rsid w:val="00105B38"/>
    <w:rsid w:val="00106009"/>
    <w:rsid w:val="00106081"/>
    <w:rsid w:val="001060C0"/>
    <w:rsid w:val="0010649F"/>
    <w:rsid w:val="0010683E"/>
    <w:rsid w:val="00106E64"/>
    <w:rsid w:val="00107065"/>
    <w:rsid w:val="00107258"/>
    <w:rsid w:val="0010743D"/>
    <w:rsid w:val="00107498"/>
    <w:rsid w:val="001077FA"/>
    <w:rsid w:val="00107C9F"/>
    <w:rsid w:val="00107F93"/>
    <w:rsid w:val="00110E74"/>
    <w:rsid w:val="0011137B"/>
    <w:rsid w:val="0011244D"/>
    <w:rsid w:val="00112882"/>
    <w:rsid w:val="00112CAC"/>
    <w:rsid w:val="00112E96"/>
    <w:rsid w:val="00113FD8"/>
    <w:rsid w:val="00114D25"/>
    <w:rsid w:val="00114D27"/>
    <w:rsid w:val="00114DE5"/>
    <w:rsid w:val="00116AF1"/>
    <w:rsid w:val="00116D77"/>
    <w:rsid w:val="00117280"/>
    <w:rsid w:val="001173BA"/>
    <w:rsid w:val="001179C1"/>
    <w:rsid w:val="00117A49"/>
    <w:rsid w:val="00117C68"/>
    <w:rsid w:val="00117CA6"/>
    <w:rsid w:val="001202E6"/>
    <w:rsid w:val="00120BC1"/>
    <w:rsid w:val="00120CC7"/>
    <w:rsid w:val="00120DB2"/>
    <w:rsid w:val="00121946"/>
    <w:rsid w:val="00122BBB"/>
    <w:rsid w:val="00122F3A"/>
    <w:rsid w:val="00122FCA"/>
    <w:rsid w:val="00123862"/>
    <w:rsid w:val="00123B59"/>
    <w:rsid w:val="00123CED"/>
    <w:rsid w:val="00123E2A"/>
    <w:rsid w:val="00124548"/>
    <w:rsid w:val="00124777"/>
    <w:rsid w:val="00124FAC"/>
    <w:rsid w:val="00124FB9"/>
    <w:rsid w:val="00125B7A"/>
    <w:rsid w:val="001260AA"/>
    <w:rsid w:val="001264C3"/>
    <w:rsid w:val="00126707"/>
    <w:rsid w:val="00126805"/>
    <w:rsid w:val="001269AE"/>
    <w:rsid w:val="00127D25"/>
    <w:rsid w:val="001301B6"/>
    <w:rsid w:val="001305A6"/>
    <w:rsid w:val="00130CB0"/>
    <w:rsid w:val="00131B05"/>
    <w:rsid w:val="00132423"/>
    <w:rsid w:val="00132AD1"/>
    <w:rsid w:val="00132CE0"/>
    <w:rsid w:val="00133013"/>
    <w:rsid w:val="00133033"/>
    <w:rsid w:val="0013308F"/>
    <w:rsid w:val="00133183"/>
    <w:rsid w:val="00133478"/>
    <w:rsid w:val="0013348A"/>
    <w:rsid w:val="00133644"/>
    <w:rsid w:val="001342F2"/>
    <w:rsid w:val="0013522E"/>
    <w:rsid w:val="0013588C"/>
    <w:rsid w:val="00135A23"/>
    <w:rsid w:val="00135E92"/>
    <w:rsid w:val="001366E5"/>
    <w:rsid w:val="00136893"/>
    <w:rsid w:val="00136C08"/>
    <w:rsid w:val="00136DA4"/>
    <w:rsid w:val="001371FA"/>
    <w:rsid w:val="0013776C"/>
    <w:rsid w:val="001400F3"/>
    <w:rsid w:val="00140533"/>
    <w:rsid w:val="00140F18"/>
    <w:rsid w:val="00140F61"/>
    <w:rsid w:val="0014108F"/>
    <w:rsid w:val="00141B03"/>
    <w:rsid w:val="001423F5"/>
    <w:rsid w:val="00142979"/>
    <w:rsid w:val="00142ABD"/>
    <w:rsid w:val="00142EDB"/>
    <w:rsid w:val="00142FD3"/>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672"/>
    <w:rsid w:val="001528EE"/>
    <w:rsid w:val="00152B9C"/>
    <w:rsid w:val="00153077"/>
    <w:rsid w:val="001535F3"/>
    <w:rsid w:val="00153C68"/>
    <w:rsid w:val="00153CA6"/>
    <w:rsid w:val="00153DF3"/>
    <w:rsid w:val="00154247"/>
    <w:rsid w:val="001543D7"/>
    <w:rsid w:val="00154B29"/>
    <w:rsid w:val="00154C95"/>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9A1"/>
    <w:rsid w:val="00161F90"/>
    <w:rsid w:val="001623A2"/>
    <w:rsid w:val="00162F31"/>
    <w:rsid w:val="00162F68"/>
    <w:rsid w:val="00163645"/>
    <w:rsid w:val="00164220"/>
    <w:rsid w:val="001643F8"/>
    <w:rsid w:val="0016452C"/>
    <w:rsid w:val="001647E9"/>
    <w:rsid w:val="00164961"/>
    <w:rsid w:val="00164FAD"/>
    <w:rsid w:val="0016560A"/>
    <w:rsid w:val="00165DB5"/>
    <w:rsid w:val="00165FF0"/>
    <w:rsid w:val="00166023"/>
    <w:rsid w:val="001663F9"/>
    <w:rsid w:val="001668BD"/>
    <w:rsid w:val="001671E2"/>
    <w:rsid w:val="0017086C"/>
    <w:rsid w:val="00170EFE"/>
    <w:rsid w:val="00171333"/>
    <w:rsid w:val="00171F8E"/>
    <w:rsid w:val="0017216E"/>
    <w:rsid w:val="001721EA"/>
    <w:rsid w:val="0017261A"/>
    <w:rsid w:val="0017293F"/>
    <w:rsid w:val="00172AEE"/>
    <w:rsid w:val="00173987"/>
    <w:rsid w:val="00173C2D"/>
    <w:rsid w:val="00173D90"/>
    <w:rsid w:val="00174441"/>
    <w:rsid w:val="0017483F"/>
    <w:rsid w:val="00174C24"/>
    <w:rsid w:val="0017545F"/>
    <w:rsid w:val="00175494"/>
    <w:rsid w:val="00175539"/>
    <w:rsid w:val="00175890"/>
    <w:rsid w:val="00175A73"/>
    <w:rsid w:val="00175E50"/>
    <w:rsid w:val="00176340"/>
    <w:rsid w:val="00176403"/>
    <w:rsid w:val="00176AE7"/>
    <w:rsid w:val="00176CB6"/>
    <w:rsid w:val="00176E98"/>
    <w:rsid w:val="00177307"/>
    <w:rsid w:val="0018058D"/>
    <w:rsid w:val="00180811"/>
    <w:rsid w:val="001808E6"/>
    <w:rsid w:val="00180AEF"/>
    <w:rsid w:val="0018154E"/>
    <w:rsid w:val="00181857"/>
    <w:rsid w:val="00181E4B"/>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091"/>
    <w:rsid w:val="00184502"/>
    <w:rsid w:val="0018452B"/>
    <w:rsid w:val="001845D5"/>
    <w:rsid w:val="001846D1"/>
    <w:rsid w:val="00184DF2"/>
    <w:rsid w:val="001850C5"/>
    <w:rsid w:val="0018526D"/>
    <w:rsid w:val="001858CD"/>
    <w:rsid w:val="00185A12"/>
    <w:rsid w:val="00185BF6"/>
    <w:rsid w:val="00185D08"/>
    <w:rsid w:val="00186536"/>
    <w:rsid w:val="001869BB"/>
    <w:rsid w:val="00186C81"/>
    <w:rsid w:val="00186DF9"/>
    <w:rsid w:val="00187AC9"/>
    <w:rsid w:val="00187C31"/>
    <w:rsid w:val="00190983"/>
    <w:rsid w:val="0019151C"/>
    <w:rsid w:val="00191AA6"/>
    <w:rsid w:val="00191AB6"/>
    <w:rsid w:val="00191B55"/>
    <w:rsid w:val="00191EC8"/>
    <w:rsid w:val="00191F79"/>
    <w:rsid w:val="0019204E"/>
    <w:rsid w:val="0019213B"/>
    <w:rsid w:val="0019232E"/>
    <w:rsid w:val="0019239F"/>
    <w:rsid w:val="001924F6"/>
    <w:rsid w:val="00192CDB"/>
    <w:rsid w:val="00192F6E"/>
    <w:rsid w:val="00193D9B"/>
    <w:rsid w:val="00193F20"/>
    <w:rsid w:val="0019413C"/>
    <w:rsid w:val="001941E4"/>
    <w:rsid w:val="001948CF"/>
    <w:rsid w:val="00194AF7"/>
    <w:rsid w:val="00194C1F"/>
    <w:rsid w:val="001953AC"/>
    <w:rsid w:val="00195517"/>
    <w:rsid w:val="00195B15"/>
    <w:rsid w:val="00195BE8"/>
    <w:rsid w:val="00195CF2"/>
    <w:rsid w:val="00195E11"/>
    <w:rsid w:val="00195F99"/>
    <w:rsid w:val="00195FB3"/>
    <w:rsid w:val="001965AA"/>
    <w:rsid w:val="0019667B"/>
    <w:rsid w:val="001968E4"/>
    <w:rsid w:val="00196F0C"/>
    <w:rsid w:val="001971AE"/>
    <w:rsid w:val="00197278"/>
    <w:rsid w:val="00197392"/>
    <w:rsid w:val="00197764"/>
    <w:rsid w:val="00197EC3"/>
    <w:rsid w:val="00197FB1"/>
    <w:rsid w:val="001A0601"/>
    <w:rsid w:val="001A0BB0"/>
    <w:rsid w:val="001A1837"/>
    <w:rsid w:val="001A1C51"/>
    <w:rsid w:val="001A236F"/>
    <w:rsid w:val="001A2571"/>
    <w:rsid w:val="001A28BA"/>
    <w:rsid w:val="001A3051"/>
    <w:rsid w:val="001A314B"/>
    <w:rsid w:val="001A3387"/>
    <w:rsid w:val="001A4493"/>
    <w:rsid w:val="001A4589"/>
    <w:rsid w:val="001A5350"/>
    <w:rsid w:val="001A5398"/>
    <w:rsid w:val="001A5553"/>
    <w:rsid w:val="001A59AF"/>
    <w:rsid w:val="001A6777"/>
    <w:rsid w:val="001A6D21"/>
    <w:rsid w:val="001A718A"/>
    <w:rsid w:val="001A718F"/>
    <w:rsid w:val="001A75B9"/>
    <w:rsid w:val="001A7DC2"/>
    <w:rsid w:val="001B09A8"/>
    <w:rsid w:val="001B0A90"/>
    <w:rsid w:val="001B18C3"/>
    <w:rsid w:val="001B1C70"/>
    <w:rsid w:val="001B20E4"/>
    <w:rsid w:val="001B2D1F"/>
    <w:rsid w:val="001B2FCD"/>
    <w:rsid w:val="001B3285"/>
    <w:rsid w:val="001B370A"/>
    <w:rsid w:val="001B39DD"/>
    <w:rsid w:val="001B3BA9"/>
    <w:rsid w:val="001B3E1C"/>
    <w:rsid w:val="001B4165"/>
    <w:rsid w:val="001B427B"/>
    <w:rsid w:val="001B44DB"/>
    <w:rsid w:val="001B4640"/>
    <w:rsid w:val="001B5EA6"/>
    <w:rsid w:val="001B6203"/>
    <w:rsid w:val="001B6785"/>
    <w:rsid w:val="001B7112"/>
    <w:rsid w:val="001B72FB"/>
    <w:rsid w:val="001B7928"/>
    <w:rsid w:val="001C0277"/>
    <w:rsid w:val="001C0F05"/>
    <w:rsid w:val="001C110F"/>
    <w:rsid w:val="001C129D"/>
    <w:rsid w:val="001C15B0"/>
    <w:rsid w:val="001C1A52"/>
    <w:rsid w:val="001C239A"/>
    <w:rsid w:val="001C2EE5"/>
    <w:rsid w:val="001C395A"/>
    <w:rsid w:val="001C3A25"/>
    <w:rsid w:val="001C486C"/>
    <w:rsid w:val="001C4B35"/>
    <w:rsid w:val="001C4CCF"/>
    <w:rsid w:val="001C501A"/>
    <w:rsid w:val="001C54B8"/>
    <w:rsid w:val="001C5CC2"/>
    <w:rsid w:val="001C61DB"/>
    <w:rsid w:val="001C6343"/>
    <w:rsid w:val="001C6573"/>
    <w:rsid w:val="001C6BA6"/>
    <w:rsid w:val="001C726D"/>
    <w:rsid w:val="001C78CA"/>
    <w:rsid w:val="001D0098"/>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A4E"/>
    <w:rsid w:val="001D5C57"/>
    <w:rsid w:val="001D5D9A"/>
    <w:rsid w:val="001D6081"/>
    <w:rsid w:val="001D61D1"/>
    <w:rsid w:val="001D6B29"/>
    <w:rsid w:val="001D6F2E"/>
    <w:rsid w:val="001D7141"/>
    <w:rsid w:val="001D71BC"/>
    <w:rsid w:val="001D7346"/>
    <w:rsid w:val="001D755A"/>
    <w:rsid w:val="001E0367"/>
    <w:rsid w:val="001E094C"/>
    <w:rsid w:val="001E0FF6"/>
    <w:rsid w:val="001E11E2"/>
    <w:rsid w:val="001E11F6"/>
    <w:rsid w:val="001E1857"/>
    <w:rsid w:val="001E2231"/>
    <w:rsid w:val="001E27FB"/>
    <w:rsid w:val="001E2B1A"/>
    <w:rsid w:val="001E2FB8"/>
    <w:rsid w:val="001E3485"/>
    <w:rsid w:val="001E373E"/>
    <w:rsid w:val="001E3753"/>
    <w:rsid w:val="001E383E"/>
    <w:rsid w:val="001E4011"/>
    <w:rsid w:val="001E4060"/>
    <w:rsid w:val="001E4456"/>
    <w:rsid w:val="001E44C8"/>
    <w:rsid w:val="001E4518"/>
    <w:rsid w:val="001E467A"/>
    <w:rsid w:val="001E4E88"/>
    <w:rsid w:val="001E4FFF"/>
    <w:rsid w:val="001E5281"/>
    <w:rsid w:val="001E5747"/>
    <w:rsid w:val="001E5BEE"/>
    <w:rsid w:val="001E619D"/>
    <w:rsid w:val="001E6889"/>
    <w:rsid w:val="001E68EE"/>
    <w:rsid w:val="001E751C"/>
    <w:rsid w:val="001E77C4"/>
    <w:rsid w:val="001E7EA4"/>
    <w:rsid w:val="001F00B7"/>
    <w:rsid w:val="001F0187"/>
    <w:rsid w:val="001F1092"/>
    <w:rsid w:val="001F18AA"/>
    <w:rsid w:val="001F1E88"/>
    <w:rsid w:val="001F200A"/>
    <w:rsid w:val="001F2337"/>
    <w:rsid w:val="001F2FB5"/>
    <w:rsid w:val="001F367C"/>
    <w:rsid w:val="001F4EB9"/>
    <w:rsid w:val="001F4FD4"/>
    <w:rsid w:val="001F4FDB"/>
    <w:rsid w:val="001F540A"/>
    <w:rsid w:val="001F58AB"/>
    <w:rsid w:val="001F5D2F"/>
    <w:rsid w:val="001F5E20"/>
    <w:rsid w:val="001F5FA3"/>
    <w:rsid w:val="001F60AC"/>
    <w:rsid w:val="001F66D5"/>
    <w:rsid w:val="001F6E1E"/>
    <w:rsid w:val="001F6F0C"/>
    <w:rsid w:val="001F73E9"/>
    <w:rsid w:val="001F74B9"/>
    <w:rsid w:val="001F7F82"/>
    <w:rsid w:val="002002AA"/>
    <w:rsid w:val="002003C3"/>
    <w:rsid w:val="00200D50"/>
    <w:rsid w:val="002019D1"/>
    <w:rsid w:val="00201E8F"/>
    <w:rsid w:val="00201ED1"/>
    <w:rsid w:val="00201FFF"/>
    <w:rsid w:val="002023B3"/>
    <w:rsid w:val="00202A8B"/>
    <w:rsid w:val="00202CDB"/>
    <w:rsid w:val="00203052"/>
    <w:rsid w:val="0020342F"/>
    <w:rsid w:val="002034CC"/>
    <w:rsid w:val="0020360B"/>
    <w:rsid w:val="00203D9B"/>
    <w:rsid w:val="00204381"/>
    <w:rsid w:val="002045FE"/>
    <w:rsid w:val="0020469B"/>
    <w:rsid w:val="00204779"/>
    <w:rsid w:val="00204799"/>
    <w:rsid w:val="00204B8D"/>
    <w:rsid w:val="00204EBE"/>
    <w:rsid w:val="00205131"/>
    <w:rsid w:val="002051EA"/>
    <w:rsid w:val="00205B05"/>
    <w:rsid w:val="002060C2"/>
    <w:rsid w:val="00206D91"/>
    <w:rsid w:val="0020765F"/>
    <w:rsid w:val="00207674"/>
    <w:rsid w:val="002076D5"/>
    <w:rsid w:val="00207C9E"/>
    <w:rsid w:val="00210B8A"/>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0B"/>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C1B"/>
    <w:rsid w:val="00223F09"/>
    <w:rsid w:val="002245C8"/>
    <w:rsid w:val="0022465E"/>
    <w:rsid w:val="00224A58"/>
    <w:rsid w:val="00225164"/>
    <w:rsid w:val="00225168"/>
    <w:rsid w:val="0023041D"/>
    <w:rsid w:val="00231057"/>
    <w:rsid w:val="00231363"/>
    <w:rsid w:val="00231385"/>
    <w:rsid w:val="002316E9"/>
    <w:rsid w:val="0023269D"/>
    <w:rsid w:val="002326C1"/>
    <w:rsid w:val="00232A8A"/>
    <w:rsid w:val="00233032"/>
    <w:rsid w:val="002332F7"/>
    <w:rsid w:val="00233986"/>
    <w:rsid w:val="00233D50"/>
    <w:rsid w:val="00234372"/>
    <w:rsid w:val="002346A5"/>
    <w:rsid w:val="002346FD"/>
    <w:rsid w:val="00234798"/>
    <w:rsid w:val="00236146"/>
    <w:rsid w:val="00240C3D"/>
    <w:rsid w:val="00240D9B"/>
    <w:rsid w:val="002413A5"/>
    <w:rsid w:val="00241466"/>
    <w:rsid w:val="00241F56"/>
    <w:rsid w:val="002421FC"/>
    <w:rsid w:val="00242676"/>
    <w:rsid w:val="002433B0"/>
    <w:rsid w:val="00243641"/>
    <w:rsid w:val="002438DE"/>
    <w:rsid w:val="00243BE3"/>
    <w:rsid w:val="0024415B"/>
    <w:rsid w:val="00244642"/>
    <w:rsid w:val="00244D15"/>
    <w:rsid w:val="00244E1B"/>
    <w:rsid w:val="00245445"/>
    <w:rsid w:val="00245474"/>
    <w:rsid w:val="002462FC"/>
    <w:rsid w:val="00246417"/>
    <w:rsid w:val="00246916"/>
    <w:rsid w:val="00247270"/>
    <w:rsid w:val="0024752F"/>
    <w:rsid w:val="00247533"/>
    <w:rsid w:val="00247C3E"/>
    <w:rsid w:val="002500E6"/>
    <w:rsid w:val="00250178"/>
    <w:rsid w:val="00250302"/>
    <w:rsid w:val="002503BA"/>
    <w:rsid w:val="002509DA"/>
    <w:rsid w:val="00251005"/>
    <w:rsid w:val="0025173F"/>
    <w:rsid w:val="00251963"/>
    <w:rsid w:val="00251F57"/>
    <w:rsid w:val="0025220D"/>
    <w:rsid w:val="002529E3"/>
    <w:rsid w:val="00252E78"/>
    <w:rsid w:val="00252F17"/>
    <w:rsid w:val="00253194"/>
    <w:rsid w:val="0025359A"/>
    <w:rsid w:val="002539F9"/>
    <w:rsid w:val="00253D47"/>
    <w:rsid w:val="002545AB"/>
    <w:rsid w:val="00254667"/>
    <w:rsid w:val="0025469B"/>
    <w:rsid w:val="00254BBE"/>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2CC"/>
    <w:rsid w:val="00262391"/>
    <w:rsid w:val="00262699"/>
    <w:rsid w:val="0026368D"/>
    <w:rsid w:val="00263A27"/>
    <w:rsid w:val="0026424C"/>
    <w:rsid w:val="002642FC"/>
    <w:rsid w:val="0026495C"/>
    <w:rsid w:val="0026544D"/>
    <w:rsid w:val="00265FB5"/>
    <w:rsid w:val="00266AF5"/>
    <w:rsid w:val="00266D04"/>
    <w:rsid w:val="002672C4"/>
    <w:rsid w:val="002674FC"/>
    <w:rsid w:val="00267867"/>
    <w:rsid w:val="002701ED"/>
    <w:rsid w:val="0027076E"/>
    <w:rsid w:val="0027080C"/>
    <w:rsid w:val="00270FD8"/>
    <w:rsid w:val="002715E5"/>
    <w:rsid w:val="00271642"/>
    <w:rsid w:val="00271A30"/>
    <w:rsid w:val="00271AF4"/>
    <w:rsid w:val="00272747"/>
    <w:rsid w:val="00272812"/>
    <w:rsid w:val="00272B4D"/>
    <w:rsid w:val="00273557"/>
    <w:rsid w:val="00273AF1"/>
    <w:rsid w:val="00273EB1"/>
    <w:rsid w:val="002742C4"/>
    <w:rsid w:val="002744A6"/>
    <w:rsid w:val="002745D1"/>
    <w:rsid w:val="0027478C"/>
    <w:rsid w:val="002747FE"/>
    <w:rsid w:val="002749F4"/>
    <w:rsid w:val="00274CEA"/>
    <w:rsid w:val="00275441"/>
    <w:rsid w:val="00275BE1"/>
    <w:rsid w:val="002763DB"/>
    <w:rsid w:val="00276E87"/>
    <w:rsid w:val="00277842"/>
    <w:rsid w:val="00277E99"/>
    <w:rsid w:val="00280101"/>
    <w:rsid w:val="00280569"/>
    <w:rsid w:val="0028159B"/>
    <w:rsid w:val="002822BC"/>
    <w:rsid w:val="00282934"/>
    <w:rsid w:val="00283343"/>
    <w:rsid w:val="00283475"/>
    <w:rsid w:val="0028376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6C29"/>
    <w:rsid w:val="00287643"/>
    <w:rsid w:val="00287F6C"/>
    <w:rsid w:val="002900F3"/>
    <w:rsid w:val="00290163"/>
    <w:rsid w:val="002907AE"/>
    <w:rsid w:val="002907DC"/>
    <w:rsid w:val="00290876"/>
    <w:rsid w:val="00290A68"/>
    <w:rsid w:val="00290C55"/>
    <w:rsid w:val="00290EE6"/>
    <w:rsid w:val="00291A08"/>
    <w:rsid w:val="00291FA2"/>
    <w:rsid w:val="0029281E"/>
    <w:rsid w:val="00292884"/>
    <w:rsid w:val="00292971"/>
    <w:rsid w:val="00292CE3"/>
    <w:rsid w:val="00292EC1"/>
    <w:rsid w:val="00293051"/>
    <w:rsid w:val="00293385"/>
    <w:rsid w:val="0029338A"/>
    <w:rsid w:val="002939EB"/>
    <w:rsid w:val="00293D1E"/>
    <w:rsid w:val="00294726"/>
    <w:rsid w:val="0029481A"/>
    <w:rsid w:val="00294B02"/>
    <w:rsid w:val="00294C99"/>
    <w:rsid w:val="00294D83"/>
    <w:rsid w:val="00295917"/>
    <w:rsid w:val="0029593D"/>
    <w:rsid w:val="00295C97"/>
    <w:rsid w:val="002961BB"/>
    <w:rsid w:val="002968B1"/>
    <w:rsid w:val="002968FE"/>
    <w:rsid w:val="00296AE1"/>
    <w:rsid w:val="00296F46"/>
    <w:rsid w:val="0029717D"/>
    <w:rsid w:val="00297C07"/>
    <w:rsid w:val="002A0FFC"/>
    <w:rsid w:val="002A1277"/>
    <w:rsid w:val="002A1772"/>
    <w:rsid w:val="002A204B"/>
    <w:rsid w:val="002A2161"/>
    <w:rsid w:val="002A29F2"/>
    <w:rsid w:val="002A3BD8"/>
    <w:rsid w:val="002A3C2E"/>
    <w:rsid w:val="002A4706"/>
    <w:rsid w:val="002A4845"/>
    <w:rsid w:val="002A4F45"/>
    <w:rsid w:val="002A50A9"/>
    <w:rsid w:val="002A561C"/>
    <w:rsid w:val="002A5BEC"/>
    <w:rsid w:val="002A5F57"/>
    <w:rsid w:val="002A6CBF"/>
    <w:rsid w:val="002A6D63"/>
    <w:rsid w:val="002A6F90"/>
    <w:rsid w:val="002A7048"/>
    <w:rsid w:val="002A70B7"/>
    <w:rsid w:val="002A748F"/>
    <w:rsid w:val="002B0238"/>
    <w:rsid w:val="002B02E8"/>
    <w:rsid w:val="002B0384"/>
    <w:rsid w:val="002B03AB"/>
    <w:rsid w:val="002B05FE"/>
    <w:rsid w:val="002B1377"/>
    <w:rsid w:val="002B14CD"/>
    <w:rsid w:val="002B2304"/>
    <w:rsid w:val="002B25B2"/>
    <w:rsid w:val="002B25DE"/>
    <w:rsid w:val="002B2668"/>
    <w:rsid w:val="002B2B8E"/>
    <w:rsid w:val="002B2EF8"/>
    <w:rsid w:val="002B2FD2"/>
    <w:rsid w:val="002B323C"/>
    <w:rsid w:val="002B3244"/>
    <w:rsid w:val="002B3E0D"/>
    <w:rsid w:val="002B3E89"/>
    <w:rsid w:val="002B3F4C"/>
    <w:rsid w:val="002B484C"/>
    <w:rsid w:val="002B4D3E"/>
    <w:rsid w:val="002B5227"/>
    <w:rsid w:val="002B5B7A"/>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2D9"/>
    <w:rsid w:val="002C18B7"/>
    <w:rsid w:val="002C1B26"/>
    <w:rsid w:val="002C1F28"/>
    <w:rsid w:val="002C23BF"/>
    <w:rsid w:val="002C24D7"/>
    <w:rsid w:val="002C286D"/>
    <w:rsid w:val="002C2CAC"/>
    <w:rsid w:val="002C2F4E"/>
    <w:rsid w:val="002C30BA"/>
    <w:rsid w:val="002C33B7"/>
    <w:rsid w:val="002C3578"/>
    <w:rsid w:val="002C3AD2"/>
    <w:rsid w:val="002C3ED6"/>
    <w:rsid w:val="002C418B"/>
    <w:rsid w:val="002C4201"/>
    <w:rsid w:val="002C468E"/>
    <w:rsid w:val="002C4D33"/>
    <w:rsid w:val="002C522A"/>
    <w:rsid w:val="002C52BD"/>
    <w:rsid w:val="002C6075"/>
    <w:rsid w:val="002C64F3"/>
    <w:rsid w:val="002C6996"/>
    <w:rsid w:val="002C69F6"/>
    <w:rsid w:val="002C6C5B"/>
    <w:rsid w:val="002C7537"/>
    <w:rsid w:val="002C7F07"/>
    <w:rsid w:val="002D00C7"/>
    <w:rsid w:val="002D030C"/>
    <w:rsid w:val="002D0399"/>
    <w:rsid w:val="002D0882"/>
    <w:rsid w:val="002D0CBD"/>
    <w:rsid w:val="002D1067"/>
    <w:rsid w:val="002D11C6"/>
    <w:rsid w:val="002D1252"/>
    <w:rsid w:val="002D17E3"/>
    <w:rsid w:val="002D2739"/>
    <w:rsid w:val="002D2B07"/>
    <w:rsid w:val="002D2CAE"/>
    <w:rsid w:val="002D2DC4"/>
    <w:rsid w:val="002D2E19"/>
    <w:rsid w:val="002D2FA5"/>
    <w:rsid w:val="002D31D9"/>
    <w:rsid w:val="002D33BD"/>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656"/>
    <w:rsid w:val="002D7BAD"/>
    <w:rsid w:val="002D7BFC"/>
    <w:rsid w:val="002E029F"/>
    <w:rsid w:val="002E090F"/>
    <w:rsid w:val="002E0E3A"/>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CCE"/>
    <w:rsid w:val="002E6EAB"/>
    <w:rsid w:val="002E7799"/>
    <w:rsid w:val="002E7F57"/>
    <w:rsid w:val="002F013B"/>
    <w:rsid w:val="002F03EF"/>
    <w:rsid w:val="002F0511"/>
    <w:rsid w:val="002F0637"/>
    <w:rsid w:val="002F094A"/>
    <w:rsid w:val="002F0E98"/>
    <w:rsid w:val="002F152A"/>
    <w:rsid w:val="002F1617"/>
    <w:rsid w:val="002F209C"/>
    <w:rsid w:val="002F2AA4"/>
    <w:rsid w:val="002F37A8"/>
    <w:rsid w:val="002F37D0"/>
    <w:rsid w:val="002F3DC5"/>
    <w:rsid w:val="002F3E25"/>
    <w:rsid w:val="002F4207"/>
    <w:rsid w:val="002F4243"/>
    <w:rsid w:val="002F46B7"/>
    <w:rsid w:val="002F49EC"/>
    <w:rsid w:val="002F4AD4"/>
    <w:rsid w:val="002F4E32"/>
    <w:rsid w:val="002F5021"/>
    <w:rsid w:val="002F50A5"/>
    <w:rsid w:val="002F50FC"/>
    <w:rsid w:val="002F5497"/>
    <w:rsid w:val="002F56B6"/>
    <w:rsid w:val="002F6391"/>
    <w:rsid w:val="002F68BA"/>
    <w:rsid w:val="002F6AC3"/>
    <w:rsid w:val="002F6D4A"/>
    <w:rsid w:val="002F6DCF"/>
    <w:rsid w:val="002F748D"/>
    <w:rsid w:val="002F781A"/>
    <w:rsid w:val="002F7E68"/>
    <w:rsid w:val="002F7EAC"/>
    <w:rsid w:val="00300566"/>
    <w:rsid w:val="003006DA"/>
    <w:rsid w:val="0030071E"/>
    <w:rsid w:val="00300C77"/>
    <w:rsid w:val="00300DE1"/>
    <w:rsid w:val="00300E8B"/>
    <w:rsid w:val="0030108C"/>
    <w:rsid w:val="003015BA"/>
    <w:rsid w:val="003016E2"/>
    <w:rsid w:val="00301C17"/>
    <w:rsid w:val="00301E6A"/>
    <w:rsid w:val="00301FBA"/>
    <w:rsid w:val="00302206"/>
    <w:rsid w:val="00302CD2"/>
    <w:rsid w:val="00302D9D"/>
    <w:rsid w:val="0030300D"/>
    <w:rsid w:val="00303208"/>
    <w:rsid w:val="00303427"/>
    <w:rsid w:val="0030350B"/>
    <w:rsid w:val="00303543"/>
    <w:rsid w:val="00303716"/>
    <w:rsid w:val="00303B0B"/>
    <w:rsid w:val="00303BB4"/>
    <w:rsid w:val="00304129"/>
    <w:rsid w:val="00304177"/>
    <w:rsid w:val="0030428F"/>
    <w:rsid w:val="00304DDA"/>
    <w:rsid w:val="00304E0B"/>
    <w:rsid w:val="00304EE1"/>
    <w:rsid w:val="00305CF4"/>
    <w:rsid w:val="00305F56"/>
    <w:rsid w:val="003064E1"/>
    <w:rsid w:val="00306DB1"/>
    <w:rsid w:val="00307064"/>
    <w:rsid w:val="00307759"/>
    <w:rsid w:val="00307963"/>
    <w:rsid w:val="00307BFD"/>
    <w:rsid w:val="00307CF9"/>
    <w:rsid w:val="00307E09"/>
    <w:rsid w:val="00307E39"/>
    <w:rsid w:val="00307E4B"/>
    <w:rsid w:val="00307F21"/>
    <w:rsid w:val="00310430"/>
    <w:rsid w:val="003114FA"/>
    <w:rsid w:val="00311BEA"/>
    <w:rsid w:val="00311D79"/>
    <w:rsid w:val="00312B38"/>
    <w:rsid w:val="00312DF7"/>
    <w:rsid w:val="003130D1"/>
    <w:rsid w:val="00313799"/>
    <w:rsid w:val="003138A8"/>
    <w:rsid w:val="00313907"/>
    <w:rsid w:val="00313A44"/>
    <w:rsid w:val="00313E37"/>
    <w:rsid w:val="003145C2"/>
    <w:rsid w:val="00314D1E"/>
    <w:rsid w:val="00315073"/>
    <w:rsid w:val="00315206"/>
    <w:rsid w:val="00315241"/>
    <w:rsid w:val="003153BB"/>
    <w:rsid w:val="003159D9"/>
    <w:rsid w:val="00315F01"/>
    <w:rsid w:val="0031729F"/>
    <w:rsid w:val="003174F8"/>
    <w:rsid w:val="003175E9"/>
    <w:rsid w:val="00317FD8"/>
    <w:rsid w:val="00320487"/>
    <w:rsid w:val="003204FD"/>
    <w:rsid w:val="00320AB4"/>
    <w:rsid w:val="00320B2A"/>
    <w:rsid w:val="00320F20"/>
    <w:rsid w:val="00320F88"/>
    <w:rsid w:val="00321558"/>
    <w:rsid w:val="00321743"/>
    <w:rsid w:val="00322176"/>
    <w:rsid w:val="00322BE4"/>
    <w:rsid w:val="00322F9A"/>
    <w:rsid w:val="00322FA8"/>
    <w:rsid w:val="00323229"/>
    <w:rsid w:val="0032450A"/>
    <w:rsid w:val="00324C8C"/>
    <w:rsid w:val="00324DD1"/>
    <w:rsid w:val="00325472"/>
    <w:rsid w:val="003256BE"/>
    <w:rsid w:val="00325769"/>
    <w:rsid w:val="00325AC3"/>
    <w:rsid w:val="00326155"/>
    <w:rsid w:val="0032616B"/>
    <w:rsid w:val="00326593"/>
    <w:rsid w:val="00326B55"/>
    <w:rsid w:val="003271C5"/>
    <w:rsid w:val="00327425"/>
    <w:rsid w:val="00330509"/>
    <w:rsid w:val="003308A9"/>
    <w:rsid w:val="00330C3B"/>
    <w:rsid w:val="0033105F"/>
    <w:rsid w:val="003310A7"/>
    <w:rsid w:val="003311C5"/>
    <w:rsid w:val="00331432"/>
    <w:rsid w:val="00331492"/>
    <w:rsid w:val="0033192F"/>
    <w:rsid w:val="00331D03"/>
    <w:rsid w:val="00332972"/>
    <w:rsid w:val="00332FF3"/>
    <w:rsid w:val="0033309B"/>
    <w:rsid w:val="00333789"/>
    <w:rsid w:val="00333B5E"/>
    <w:rsid w:val="00334087"/>
    <w:rsid w:val="0033470F"/>
    <w:rsid w:val="00334766"/>
    <w:rsid w:val="00334776"/>
    <w:rsid w:val="00334B36"/>
    <w:rsid w:val="00334E1E"/>
    <w:rsid w:val="00335066"/>
    <w:rsid w:val="003352CE"/>
    <w:rsid w:val="00335348"/>
    <w:rsid w:val="00335F25"/>
    <w:rsid w:val="00336631"/>
    <w:rsid w:val="003368A9"/>
    <w:rsid w:val="00337244"/>
    <w:rsid w:val="0033756B"/>
    <w:rsid w:val="00337793"/>
    <w:rsid w:val="00337851"/>
    <w:rsid w:val="00337863"/>
    <w:rsid w:val="00337CA7"/>
    <w:rsid w:val="00340786"/>
    <w:rsid w:val="00340CE0"/>
    <w:rsid w:val="003410AA"/>
    <w:rsid w:val="00341500"/>
    <w:rsid w:val="003418A7"/>
    <w:rsid w:val="00341B05"/>
    <w:rsid w:val="00342205"/>
    <w:rsid w:val="003423EB"/>
    <w:rsid w:val="003429F1"/>
    <w:rsid w:val="00342B71"/>
    <w:rsid w:val="00342EDD"/>
    <w:rsid w:val="0034309B"/>
    <w:rsid w:val="00343737"/>
    <w:rsid w:val="00344117"/>
    <w:rsid w:val="00344353"/>
    <w:rsid w:val="0034493D"/>
    <w:rsid w:val="00344A52"/>
    <w:rsid w:val="00344B38"/>
    <w:rsid w:val="00344F04"/>
    <w:rsid w:val="0034521D"/>
    <w:rsid w:val="003459AC"/>
    <w:rsid w:val="00345FA1"/>
    <w:rsid w:val="003464BD"/>
    <w:rsid w:val="00346D46"/>
    <w:rsid w:val="00346E32"/>
    <w:rsid w:val="0034755B"/>
    <w:rsid w:val="00347A59"/>
    <w:rsid w:val="00347CDF"/>
    <w:rsid w:val="00347EC1"/>
    <w:rsid w:val="0035004A"/>
    <w:rsid w:val="00350062"/>
    <w:rsid w:val="00350336"/>
    <w:rsid w:val="00350EF3"/>
    <w:rsid w:val="00351513"/>
    <w:rsid w:val="00351BD9"/>
    <w:rsid w:val="00351D96"/>
    <w:rsid w:val="0035293A"/>
    <w:rsid w:val="00352C2B"/>
    <w:rsid w:val="00352F76"/>
    <w:rsid w:val="0035338B"/>
    <w:rsid w:val="003533A4"/>
    <w:rsid w:val="0035368F"/>
    <w:rsid w:val="00354E8D"/>
    <w:rsid w:val="0035525B"/>
    <w:rsid w:val="003554A7"/>
    <w:rsid w:val="0035551E"/>
    <w:rsid w:val="00355C2D"/>
    <w:rsid w:val="00355C89"/>
    <w:rsid w:val="00356698"/>
    <w:rsid w:val="003566BC"/>
    <w:rsid w:val="00356CE8"/>
    <w:rsid w:val="00356E6D"/>
    <w:rsid w:val="00357974"/>
    <w:rsid w:val="003579F2"/>
    <w:rsid w:val="003579F9"/>
    <w:rsid w:val="00360058"/>
    <w:rsid w:val="00360470"/>
    <w:rsid w:val="00360BE6"/>
    <w:rsid w:val="00360D78"/>
    <w:rsid w:val="00361524"/>
    <w:rsid w:val="003615A7"/>
    <w:rsid w:val="00361EAF"/>
    <w:rsid w:val="00361FC7"/>
    <w:rsid w:val="00362463"/>
    <w:rsid w:val="0036257D"/>
    <w:rsid w:val="003628B0"/>
    <w:rsid w:val="00363014"/>
    <w:rsid w:val="0036316C"/>
    <w:rsid w:val="00363306"/>
    <w:rsid w:val="00363315"/>
    <w:rsid w:val="0036333F"/>
    <w:rsid w:val="003636BA"/>
    <w:rsid w:val="003637A5"/>
    <w:rsid w:val="00363C1A"/>
    <w:rsid w:val="00363E99"/>
    <w:rsid w:val="00364563"/>
    <w:rsid w:val="00364580"/>
    <w:rsid w:val="00364D6E"/>
    <w:rsid w:val="00365690"/>
    <w:rsid w:val="0036577B"/>
    <w:rsid w:val="00365959"/>
    <w:rsid w:val="00366ACD"/>
    <w:rsid w:val="00367033"/>
    <w:rsid w:val="0036746D"/>
    <w:rsid w:val="003674D9"/>
    <w:rsid w:val="00367850"/>
    <w:rsid w:val="0037017F"/>
    <w:rsid w:val="00370192"/>
    <w:rsid w:val="00370377"/>
    <w:rsid w:val="00370CE8"/>
    <w:rsid w:val="00371321"/>
    <w:rsid w:val="00371384"/>
    <w:rsid w:val="00371EEF"/>
    <w:rsid w:val="00372965"/>
    <w:rsid w:val="00372C6F"/>
    <w:rsid w:val="00373A0B"/>
    <w:rsid w:val="00373E32"/>
    <w:rsid w:val="00374293"/>
    <w:rsid w:val="0037459F"/>
    <w:rsid w:val="003748CB"/>
    <w:rsid w:val="00374CB3"/>
    <w:rsid w:val="003750F8"/>
    <w:rsid w:val="00375136"/>
    <w:rsid w:val="00375A02"/>
    <w:rsid w:val="00375C31"/>
    <w:rsid w:val="00376467"/>
    <w:rsid w:val="0037671F"/>
    <w:rsid w:val="003768F5"/>
    <w:rsid w:val="00376A38"/>
    <w:rsid w:val="0037735E"/>
    <w:rsid w:val="00377580"/>
    <w:rsid w:val="00377E04"/>
    <w:rsid w:val="00377FA0"/>
    <w:rsid w:val="00380210"/>
    <w:rsid w:val="00380F3E"/>
    <w:rsid w:val="00380F49"/>
    <w:rsid w:val="003810AB"/>
    <w:rsid w:val="00381745"/>
    <w:rsid w:val="00381764"/>
    <w:rsid w:val="00382167"/>
    <w:rsid w:val="003823D5"/>
    <w:rsid w:val="00382926"/>
    <w:rsid w:val="0038300C"/>
    <w:rsid w:val="0038363F"/>
    <w:rsid w:val="003836A5"/>
    <w:rsid w:val="00383E33"/>
    <w:rsid w:val="003849E0"/>
    <w:rsid w:val="00384DDA"/>
    <w:rsid w:val="00385316"/>
    <w:rsid w:val="00385328"/>
    <w:rsid w:val="003854E9"/>
    <w:rsid w:val="0038577D"/>
    <w:rsid w:val="00385BBA"/>
    <w:rsid w:val="00385C8A"/>
    <w:rsid w:val="003862A1"/>
    <w:rsid w:val="00386827"/>
    <w:rsid w:val="00386BAA"/>
    <w:rsid w:val="0038746F"/>
    <w:rsid w:val="003878ED"/>
    <w:rsid w:val="00387A3E"/>
    <w:rsid w:val="00387FF5"/>
    <w:rsid w:val="00390575"/>
    <w:rsid w:val="003906CD"/>
    <w:rsid w:val="00391125"/>
    <w:rsid w:val="0039136E"/>
    <w:rsid w:val="003913BD"/>
    <w:rsid w:val="00391F0E"/>
    <w:rsid w:val="003922B1"/>
    <w:rsid w:val="0039296F"/>
    <w:rsid w:val="00392AFB"/>
    <w:rsid w:val="003930B5"/>
    <w:rsid w:val="0039334A"/>
    <w:rsid w:val="00393394"/>
    <w:rsid w:val="00393468"/>
    <w:rsid w:val="00393585"/>
    <w:rsid w:val="003935B9"/>
    <w:rsid w:val="003935CB"/>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5CC"/>
    <w:rsid w:val="003A1AF7"/>
    <w:rsid w:val="003A1D8D"/>
    <w:rsid w:val="003A221F"/>
    <w:rsid w:val="003A257E"/>
    <w:rsid w:val="003A25F4"/>
    <w:rsid w:val="003A295A"/>
    <w:rsid w:val="003A3159"/>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60BE"/>
    <w:rsid w:val="003A7236"/>
    <w:rsid w:val="003A7911"/>
    <w:rsid w:val="003B019B"/>
    <w:rsid w:val="003B01E4"/>
    <w:rsid w:val="003B088E"/>
    <w:rsid w:val="003B1014"/>
    <w:rsid w:val="003B106B"/>
    <w:rsid w:val="003B1EA1"/>
    <w:rsid w:val="003B1F25"/>
    <w:rsid w:val="003B27DF"/>
    <w:rsid w:val="003B2E07"/>
    <w:rsid w:val="003B3656"/>
    <w:rsid w:val="003B3951"/>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927"/>
    <w:rsid w:val="003B696F"/>
    <w:rsid w:val="003B6D41"/>
    <w:rsid w:val="003B76CE"/>
    <w:rsid w:val="003B7749"/>
    <w:rsid w:val="003B7C7B"/>
    <w:rsid w:val="003B7CA4"/>
    <w:rsid w:val="003C0E58"/>
    <w:rsid w:val="003C14B1"/>
    <w:rsid w:val="003C1591"/>
    <w:rsid w:val="003C199E"/>
    <w:rsid w:val="003C2280"/>
    <w:rsid w:val="003C2AA7"/>
    <w:rsid w:val="003C2F47"/>
    <w:rsid w:val="003C3846"/>
    <w:rsid w:val="003C38C8"/>
    <w:rsid w:val="003C44D1"/>
    <w:rsid w:val="003C4733"/>
    <w:rsid w:val="003C4F06"/>
    <w:rsid w:val="003C5A14"/>
    <w:rsid w:val="003C5D9C"/>
    <w:rsid w:val="003C5DE7"/>
    <w:rsid w:val="003C6080"/>
    <w:rsid w:val="003C634A"/>
    <w:rsid w:val="003C6592"/>
    <w:rsid w:val="003C667C"/>
    <w:rsid w:val="003C717C"/>
    <w:rsid w:val="003C7335"/>
    <w:rsid w:val="003C7651"/>
    <w:rsid w:val="003C7879"/>
    <w:rsid w:val="003C79DB"/>
    <w:rsid w:val="003D029E"/>
    <w:rsid w:val="003D067C"/>
    <w:rsid w:val="003D0906"/>
    <w:rsid w:val="003D13D8"/>
    <w:rsid w:val="003D140A"/>
    <w:rsid w:val="003D15B7"/>
    <w:rsid w:val="003D15ED"/>
    <w:rsid w:val="003D1608"/>
    <w:rsid w:val="003D20E1"/>
    <w:rsid w:val="003D2486"/>
    <w:rsid w:val="003D295A"/>
    <w:rsid w:val="003D2A35"/>
    <w:rsid w:val="003D2AD3"/>
    <w:rsid w:val="003D321B"/>
    <w:rsid w:val="003D35FA"/>
    <w:rsid w:val="003D39EF"/>
    <w:rsid w:val="003D41BA"/>
    <w:rsid w:val="003D41C7"/>
    <w:rsid w:val="003D420B"/>
    <w:rsid w:val="003D45E1"/>
    <w:rsid w:val="003D491B"/>
    <w:rsid w:val="003D4CC1"/>
    <w:rsid w:val="003D529E"/>
    <w:rsid w:val="003D5427"/>
    <w:rsid w:val="003D6474"/>
    <w:rsid w:val="003D664F"/>
    <w:rsid w:val="003D6670"/>
    <w:rsid w:val="003D6A09"/>
    <w:rsid w:val="003D6F67"/>
    <w:rsid w:val="003D707F"/>
    <w:rsid w:val="003D71D5"/>
    <w:rsid w:val="003D74EF"/>
    <w:rsid w:val="003D7671"/>
    <w:rsid w:val="003D7C9F"/>
    <w:rsid w:val="003E00E2"/>
    <w:rsid w:val="003E0CAF"/>
    <w:rsid w:val="003E1122"/>
    <w:rsid w:val="003E1207"/>
    <w:rsid w:val="003E12C9"/>
    <w:rsid w:val="003E1604"/>
    <w:rsid w:val="003E1766"/>
    <w:rsid w:val="003E18F5"/>
    <w:rsid w:val="003E1A61"/>
    <w:rsid w:val="003E21C5"/>
    <w:rsid w:val="003E279B"/>
    <w:rsid w:val="003E2AB7"/>
    <w:rsid w:val="003E2F36"/>
    <w:rsid w:val="003E2FB3"/>
    <w:rsid w:val="003E3094"/>
    <w:rsid w:val="003E37A0"/>
    <w:rsid w:val="003E393E"/>
    <w:rsid w:val="003E3CFE"/>
    <w:rsid w:val="003E4066"/>
    <w:rsid w:val="003E46CB"/>
    <w:rsid w:val="003E4AE0"/>
    <w:rsid w:val="003E507E"/>
    <w:rsid w:val="003E5394"/>
    <w:rsid w:val="003E5CF4"/>
    <w:rsid w:val="003E678B"/>
    <w:rsid w:val="003E6CCA"/>
    <w:rsid w:val="003E6D93"/>
    <w:rsid w:val="003E73AA"/>
    <w:rsid w:val="003E76C6"/>
    <w:rsid w:val="003F0186"/>
    <w:rsid w:val="003F01A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442C"/>
    <w:rsid w:val="003F465F"/>
    <w:rsid w:val="003F47AB"/>
    <w:rsid w:val="003F47D1"/>
    <w:rsid w:val="003F4B6C"/>
    <w:rsid w:val="003F4DAF"/>
    <w:rsid w:val="003F5A39"/>
    <w:rsid w:val="003F5B8E"/>
    <w:rsid w:val="003F5EE6"/>
    <w:rsid w:val="003F6039"/>
    <w:rsid w:val="003F67D7"/>
    <w:rsid w:val="003F7144"/>
    <w:rsid w:val="003F73C6"/>
    <w:rsid w:val="003F74EF"/>
    <w:rsid w:val="00400195"/>
    <w:rsid w:val="00400758"/>
    <w:rsid w:val="00400A77"/>
    <w:rsid w:val="00401262"/>
    <w:rsid w:val="00401B6E"/>
    <w:rsid w:val="0040291B"/>
    <w:rsid w:val="00404123"/>
    <w:rsid w:val="00404550"/>
    <w:rsid w:val="00404B91"/>
    <w:rsid w:val="00404BB2"/>
    <w:rsid w:val="0040541F"/>
    <w:rsid w:val="00405424"/>
    <w:rsid w:val="00405C8A"/>
    <w:rsid w:val="00406889"/>
    <w:rsid w:val="00406DEE"/>
    <w:rsid w:val="00406E48"/>
    <w:rsid w:val="004072DC"/>
    <w:rsid w:val="004074B0"/>
    <w:rsid w:val="004075B4"/>
    <w:rsid w:val="00407B23"/>
    <w:rsid w:val="00407C6C"/>
    <w:rsid w:val="00410081"/>
    <w:rsid w:val="00410502"/>
    <w:rsid w:val="00410971"/>
    <w:rsid w:val="00410E96"/>
    <w:rsid w:val="00410F5C"/>
    <w:rsid w:val="00411C1D"/>
    <w:rsid w:val="00411FD7"/>
    <w:rsid w:val="0041213F"/>
    <w:rsid w:val="0041242B"/>
    <w:rsid w:val="00412A04"/>
    <w:rsid w:val="00412C22"/>
    <w:rsid w:val="00412C54"/>
    <w:rsid w:val="00412DB7"/>
    <w:rsid w:val="0041307A"/>
    <w:rsid w:val="00413397"/>
    <w:rsid w:val="00413D02"/>
    <w:rsid w:val="00413DF7"/>
    <w:rsid w:val="004141EF"/>
    <w:rsid w:val="00414721"/>
    <w:rsid w:val="00414FC0"/>
    <w:rsid w:val="004150A8"/>
    <w:rsid w:val="0041538F"/>
    <w:rsid w:val="004158E1"/>
    <w:rsid w:val="00415B20"/>
    <w:rsid w:val="00417B00"/>
    <w:rsid w:val="00417D0F"/>
    <w:rsid w:val="00417E9B"/>
    <w:rsid w:val="00417ECD"/>
    <w:rsid w:val="0042007E"/>
    <w:rsid w:val="00420473"/>
    <w:rsid w:val="00420694"/>
    <w:rsid w:val="00420703"/>
    <w:rsid w:val="0042081E"/>
    <w:rsid w:val="00420E0C"/>
    <w:rsid w:val="00421989"/>
    <w:rsid w:val="00421C02"/>
    <w:rsid w:val="004220D3"/>
    <w:rsid w:val="00422163"/>
    <w:rsid w:val="00422B00"/>
    <w:rsid w:val="00422F9A"/>
    <w:rsid w:val="0042331A"/>
    <w:rsid w:val="00423479"/>
    <w:rsid w:val="00424B49"/>
    <w:rsid w:val="00424BC0"/>
    <w:rsid w:val="00424CD9"/>
    <w:rsid w:val="00424EE9"/>
    <w:rsid w:val="00425365"/>
    <w:rsid w:val="00425A9F"/>
    <w:rsid w:val="00425C82"/>
    <w:rsid w:val="004261C5"/>
    <w:rsid w:val="004267BD"/>
    <w:rsid w:val="00426D00"/>
    <w:rsid w:val="00427071"/>
    <w:rsid w:val="00427AC9"/>
    <w:rsid w:val="00427DF3"/>
    <w:rsid w:val="0043000A"/>
    <w:rsid w:val="0043033C"/>
    <w:rsid w:val="004304BD"/>
    <w:rsid w:val="00430A35"/>
    <w:rsid w:val="00430E1F"/>
    <w:rsid w:val="00431223"/>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002"/>
    <w:rsid w:val="00440C07"/>
    <w:rsid w:val="00440C48"/>
    <w:rsid w:val="00440D83"/>
    <w:rsid w:val="00440E3B"/>
    <w:rsid w:val="0044111B"/>
    <w:rsid w:val="00441985"/>
    <w:rsid w:val="00441E7C"/>
    <w:rsid w:val="00441F13"/>
    <w:rsid w:val="00441FF4"/>
    <w:rsid w:val="004437DC"/>
    <w:rsid w:val="00443A4C"/>
    <w:rsid w:val="004443AB"/>
    <w:rsid w:val="00444624"/>
    <w:rsid w:val="0044486A"/>
    <w:rsid w:val="004448DB"/>
    <w:rsid w:val="004450D0"/>
    <w:rsid w:val="0044527B"/>
    <w:rsid w:val="00445D17"/>
    <w:rsid w:val="00445E64"/>
    <w:rsid w:val="00445F93"/>
    <w:rsid w:val="0044645D"/>
    <w:rsid w:val="00446746"/>
    <w:rsid w:val="00446778"/>
    <w:rsid w:val="00446AD1"/>
    <w:rsid w:val="00446FF5"/>
    <w:rsid w:val="004473E1"/>
    <w:rsid w:val="00447435"/>
    <w:rsid w:val="00447467"/>
    <w:rsid w:val="00447BE4"/>
    <w:rsid w:val="00447CC7"/>
    <w:rsid w:val="004501C4"/>
    <w:rsid w:val="00452DA6"/>
    <w:rsid w:val="0045342A"/>
    <w:rsid w:val="00453531"/>
    <w:rsid w:val="004539F3"/>
    <w:rsid w:val="00453E52"/>
    <w:rsid w:val="00453F61"/>
    <w:rsid w:val="00454DCF"/>
    <w:rsid w:val="00454F37"/>
    <w:rsid w:val="00455072"/>
    <w:rsid w:val="004551C5"/>
    <w:rsid w:val="0045536D"/>
    <w:rsid w:val="0045563A"/>
    <w:rsid w:val="00455C0B"/>
    <w:rsid w:val="00455F76"/>
    <w:rsid w:val="0045615C"/>
    <w:rsid w:val="00456918"/>
    <w:rsid w:val="00457452"/>
    <w:rsid w:val="00457539"/>
    <w:rsid w:val="00460676"/>
    <w:rsid w:val="00460959"/>
    <w:rsid w:val="00460A2F"/>
    <w:rsid w:val="00460DFC"/>
    <w:rsid w:val="00461390"/>
    <w:rsid w:val="00462344"/>
    <w:rsid w:val="00462792"/>
    <w:rsid w:val="00462882"/>
    <w:rsid w:val="00462DBD"/>
    <w:rsid w:val="00462DFC"/>
    <w:rsid w:val="00462EC3"/>
    <w:rsid w:val="00463713"/>
    <w:rsid w:val="00464A54"/>
    <w:rsid w:val="00464B57"/>
    <w:rsid w:val="00464F15"/>
    <w:rsid w:val="004655F2"/>
    <w:rsid w:val="00465E1C"/>
    <w:rsid w:val="00466288"/>
    <w:rsid w:val="00466633"/>
    <w:rsid w:val="00466917"/>
    <w:rsid w:val="00466A68"/>
    <w:rsid w:val="00466E1F"/>
    <w:rsid w:val="004672C9"/>
    <w:rsid w:val="00467A07"/>
    <w:rsid w:val="00467DDF"/>
    <w:rsid w:val="00467E6F"/>
    <w:rsid w:val="0047087C"/>
    <w:rsid w:val="004709CF"/>
    <w:rsid w:val="00470D72"/>
    <w:rsid w:val="0047104F"/>
    <w:rsid w:val="004712BA"/>
    <w:rsid w:val="004715DB"/>
    <w:rsid w:val="004717FC"/>
    <w:rsid w:val="00471DBD"/>
    <w:rsid w:val="00471EA3"/>
    <w:rsid w:val="00472AD8"/>
    <w:rsid w:val="00472C6D"/>
    <w:rsid w:val="00472D57"/>
    <w:rsid w:val="0047319E"/>
    <w:rsid w:val="0047343D"/>
    <w:rsid w:val="004737AB"/>
    <w:rsid w:val="004737D2"/>
    <w:rsid w:val="00474861"/>
    <w:rsid w:val="004749D1"/>
    <w:rsid w:val="004750E2"/>
    <w:rsid w:val="004756A4"/>
    <w:rsid w:val="0047572F"/>
    <w:rsid w:val="004757DD"/>
    <w:rsid w:val="00475A00"/>
    <w:rsid w:val="00475DE8"/>
    <w:rsid w:val="0047620B"/>
    <w:rsid w:val="004765C1"/>
    <w:rsid w:val="00476839"/>
    <w:rsid w:val="00476901"/>
    <w:rsid w:val="00477156"/>
    <w:rsid w:val="00477658"/>
    <w:rsid w:val="00477886"/>
    <w:rsid w:val="00480042"/>
    <w:rsid w:val="00480314"/>
    <w:rsid w:val="00480836"/>
    <w:rsid w:val="0048093C"/>
    <w:rsid w:val="00480C6C"/>
    <w:rsid w:val="004813F4"/>
    <w:rsid w:val="00481755"/>
    <w:rsid w:val="00481909"/>
    <w:rsid w:val="00483CE2"/>
    <w:rsid w:val="00483E6B"/>
    <w:rsid w:val="00483EBC"/>
    <w:rsid w:val="004842F9"/>
    <w:rsid w:val="004847E2"/>
    <w:rsid w:val="00484846"/>
    <w:rsid w:val="004856FD"/>
    <w:rsid w:val="0048633C"/>
    <w:rsid w:val="0048659B"/>
    <w:rsid w:val="004865F3"/>
    <w:rsid w:val="00487507"/>
    <w:rsid w:val="00487663"/>
    <w:rsid w:val="004877CE"/>
    <w:rsid w:val="00487AA1"/>
    <w:rsid w:val="00487AA5"/>
    <w:rsid w:val="00487D87"/>
    <w:rsid w:val="00490564"/>
    <w:rsid w:val="0049089F"/>
    <w:rsid w:val="0049099D"/>
    <w:rsid w:val="00490E4A"/>
    <w:rsid w:val="00490E94"/>
    <w:rsid w:val="004913DD"/>
    <w:rsid w:val="004914C9"/>
    <w:rsid w:val="00491AF2"/>
    <w:rsid w:val="00491DE1"/>
    <w:rsid w:val="00491F25"/>
    <w:rsid w:val="00491FB0"/>
    <w:rsid w:val="00492077"/>
    <w:rsid w:val="004920BE"/>
    <w:rsid w:val="004922CB"/>
    <w:rsid w:val="004923E3"/>
    <w:rsid w:val="00492652"/>
    <w:rsid w:val="00492788"/>
    <w:rsid w:val="00492CC9"/>
    <w:rsid w:val="004930C9"/>
    <w:rsid w:val="004937B0"/>
    <w:rsid w:val="00493F13"/>
    <w:rsid w:val="004948F2"/>
    <w:rsid w:val="004954B5"/>
    <w:rsid w:val="00495607"/>
    <w:rsid w:val="00495774"/>
    <w:rsid w:val="00495F75"/>
    <w:rsid w:val="00496151"/>
    <w:rsid w:val="00496379"/>
    <w:rsid w:val="004968A8"/>
    <w:rsid w:val="004969CB"/>
    <w:rsid w:val="00496CB2"/>
    <w:rsid w:val="00496D6D"/>
    <w:rsid w:val="00497689"/>
    <w:rsid w:val="00497B8B"/>
    <w:rsid w:val="00497DD4"/>
    <w:rsid w:val="004A0111"/>
    <w:rsid w:val="004A0A58"/>
    <w:rsid w:val="004A0E9E"/>
    <w:rsid w:val="004A0FBA"/>
    <w:rsid w:val="004A1431"/>
    <w:rsid w:val="004A16AC"/>
    <w:rsid w:val="004A1B28"/>
    <w:rsid w:val="004A1C37"/>
    <w:rsid w:val="004A20D4"/>
    <w:rsid w:val="004A2BF9"/>
    <w:rsid w:val="004A2C3A"/>
    <w:rsid w:val="004A38BC"/>
    <w:rsid w:val="004A39B3"/>
    <w:rsid w:val="004A3A16"/>
    <w:rsid w:val="004A41D8"/>
    <w:rsid w:val="004A443B"/>
    <w:rsid w:val="004A5BC6"/>
    <w:rsid w:val="004A606E"/>
    <w:rsid w:val="004A6087"/>
    <w:rsid w:val="004A67DF"/>
    <w:rsid w:val="004A69F3"/>
    <w:rsid w:val="004A6F03"/>
    <w:rsid w:val="004A73AA"/>
    <w:rsid w:val="004B014F"/>
    <w:rsid w:val="004B0A99"/>
    <w:rsid w:val="004B0B98"/>
    <w:rsid w:val="004B14D9"/>
    <w:rsid w:val="004B1BF9"/>
    <w:rsid w:val="004B20AC"/>
    <w:rsid w:val="004B2450"/>
    <w:rsid w:val="004B2BD8"/>
    <w:rsid w:val="004B317D"/>
    <w:rsid w:val="004B32FC"/>
    <w:rsid w:val="004B3567"/>
    <w:rsid w:val="004B39AC"/>
    <w:rsid w:val="004B3A7D"/>
    <w:rsid w:val="004B3CEC"/>
    <w:rsid w:val="004B4071"/>
    <w:rsid w:val="004B41CA"/>
    <w:rsid w:val="004B41D3"/>
    <w:rsid w:val="004B4228"/>
    <w:rsid w:val="004B47E6"/>
    <w:rsid w:val="004B4A3D"/>
    <w:rsid w:val="004B5388"/>
    <w:rsid w:val="004B5ADF"/>
    <w:rsid w:val="004B5DC2"/>
    <w:rsid w:val="004B5EF3"/>
    <w:rsid w:val="004B6067"/>
    <w:rsid w:val="004B66C4"/>
    <w:rsid w:val="004B67FA"/>
    <w:rsid w:val="004B702C"/>
    <w:rsid w:val="004B7411"/>
    <w:rsid w:val="004B74DA"/>
    <w:rsid w:val="004B7A23"/>
    <w:rsid w:val="004B7C2B"/>
    <w:rsid w:val="004C009E"/>
    <w:rsid w:val="004C031E"/>
    <w:rsid w:val="004C0413"/>
    <w:rsid w:val="004C0C7B"/>
    <w:rsid w:val="004C146C"/>
    <w:rsid w:val="004C1CED"/>
    <w:rsid w:val="004C1F3B"/>
    <w:rsid w:val="004C2707"/>
    <w:rsid w:val="004C2C78"/>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198"/>
    <w:rsid w:val="004D0314"/>
    <w:rsid w:val="004D0661"/>
    <w:rsid w:val="004D06AF"/>
    <w:rsid w:val="004D0892"/>
    <w:rsid w:val="004D0E36"/>
    <w:rsid w:val="004D15F0"/>
    <w:rsid w:val="004D1AD3"/>
    <w:rsid w:val="004D311F"/>
    <w:rsid w:val="004D377C"/>
    <w:rsid w:val="004D47C1"/>
    <w:rsid w:val="004D4B5F"/>
    <w:rsid w:val="004D4EF0"/>
    <w:rsid w:val="004D52E2"/>
    <w:rsid w:val="004D54BD"/>
    <w:rsid w:val="004D6524"/>
    <w:rsid w:val="004D68BE"/>
    <w:rsid w:val="004D6BD9"/>
    <w:rsid w:val="004D6CE6"/>
    <w:rsid w:val="004D789A"/>
    <w:rsid w:val="004E0134"/>
    <w:rsid w:val="004E0695"/>
    <w:rsid w:val="004E081A"/>
    <w:rsid w:val="004E09DC"/>
    <w:rsid w:val="004E0F90"/>
    <w:rsid w:val="004E1162"/>
    <w:rsid w:val="004E13CC"/>
    <w:rsid w:val="004E15AE"/>
    <w:rsid w:val="004E1731"/>
    <w:rsid w:val="004E1D47"/>
    <w:rsid w:val="004E20A2"/>
    <w:rsid w:val="004E24CA"/>
    <w:rsid w:val="004E2A05"/>
    <w:rsid w:val="004E31BA"/>
    <w:rsid w:val="004E3436"/>
    <w:rsid w:val="004E3872"/>
    <w:rsid w:val="004E3966"/>
    <w:rsid w:val="004E3AFB"/>
    <w:rsid w:val="004E3D62"/>
    <w:rsid w:val="004E3DBA"/>
    <w:rsid w:val="004E4295"/>
    <w:rsid w:val="004E43D2"/>
    <w:rsid w:val="004E45A3"/>
    <w:rsid w:val="004E4646"/>
    <w:rsid w:val="004E46AA"/>
    <w:rsid w:val="004E46DA"/>
    <w:rsid w:val="004E4E79"/>
    <w:rsid w:val="004E5150"/>
    <w:rsid w:val="004E59B2"/>
    <w:rsid w:val="004E5B4A"/>
    <w:rsid w:val="004E5E56"/>
    <w:rsid w:val="004E604F"/>
    <w:rsid w:val="004E6C06"/>
    <w:rsid w:val="004E73E8"/>
    <w:rsid w:val="004E74EC"/>
    <w:rsid w:val="004E7BF8"/>
    <w:rsid w:val="004E7DEA"/>
    <w:rsid w:val="004F04CD"/>
    <w:rsid w:val="004F0789"/>
    <w:rsid w:val="004F0914"/>
    <w:rsid w:val="004F141F"/>
    <w:rsid w:val="004F2000"/>
    <w:rsid w:val="004F2318"/>
    <w:rsid w:val="004F24FB"/>
    <w:rsid w:val="004F266A"/>
    <w:rsid w:val="004F26ED"/>
    <w:rsid w:val="004F2F44"/>
    <w:rsid w:val="004F2F68"/>
    <w:rsid w:val="004F3176"/>
    <w:rsid w:val="004F3D32"/>
    <w:rsid w:val="004F4735"/>
    <w:rsid w:val="004F539C"/>
    <w:rsid w:val="004F5B6B"/>
    <w:rsid w:val="004F5B94"/>
    <w:rsid w:val="004F5BC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2EA5"/>
    <w:rsid w:val="00503A88"/>
    <w:rsid w:val="005042A1"/>
    <w:rsid w:val="005042BC"/>
    <w:rsid w:val="00504C80"/>
    <w:rsid w:val="00505568"/>
    <w:rsid w:val="0050598A"/>
    <w:rsid w:val="005061E5"/>
    <w:rsid w:val="005062B4"/>
    <w:rsid w:val="00506384"/>
    <w:rsid w:val="00506986"/>
    <w:rsid w:val="00506AF3"/>
    <w:rsid w:val="00506F08"/>
    <w:rsid w:val="005074FD"/>
    <w:rsid w:val="00507B6A"/>
    <w:rsid w:val="005104CF"/>
    <w:rsid w:val="00510E7E"/>
    <w:rsid w:val="00510F27"/>
    <w:rsid w:val="00511504"/>
    <w:rsid w:val="005119C0"/>
    <w:rsid w:val="00511B57"/>
    <w:rsid w:val="00511EE9"/>
    <w:rsid w:val="005125B1"/>
    <w:rsid w:val="005133D4"/>
    <w:rsid w:val="00513759"/>
    <w:rsid w:val="00514262"/>
    <w:rsid w:val="00514327"/>
    <w:rsid w:val="00514D54"/>
    <w:rsid w:val="00515531"/>
    <w:rsid w:val="005156C2"/>
    <w:rsid w:val="005159CD"/>
    <w:rsid w:val="00515C6E"/>
    <w:rsid w:val="005160E2"/>
    <w:rsid w:val="005161AD"/>
    <w:rsid w:val="00516AAD"/>
    <w:rsid w:val="00516BBA"/>
    <w:rsid w:val="00516CBD"/>
    <w:rsid w:val="00516EB9"/>
    <w:rsid w:val="005170B4"/>
    <w:rsid w:val="0051752A"/>
    <w:rsid w:val="00517CA5"/>
    <w:rsid w:val="00517CD0"/>
    <w:rsid w:val="00517F39"/>
    <w:rsid w:val="00517FBF"/>
    <w:rsid w:val="005203E7"/>
    <w:rsid w:val="005211AC"/>
    <w:rsid w:val="0052127C"/>
    <w:rsid w:val="00521371"/>
    <w:rsid w:val="005214E2"/>
    <w:rsid w:val="00521531"/>
    <w:rsid w:val="00521617"/>
    <w:rsid w:val="005217E8"/>
    <w:rsid w:val="00522945"/>
    <w:rsid w:val="00523070"/>
    <w:rsid w:val="00523380"/>
    <w:rsid w:val="005239B7"/>
    <w:rsid w:val="00523BD2"/>
    <w:rsid w:val="00523CBE"/>
    <w:rsid w:val="00523FAF"/>
    <w:rsid w:val="00524146"/>
    <w:rsid w:val="00524613"/>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7332"/>
    <w:rsid w:val="00527901"/>
    <w:rsid w:val="00527AC5"/>
    <w:rsid w:val="00527AFB"/>
    <w:rsid w:val="00527EDB"/>
    <w:rsid w:val="0053043B"/>
    <w:rsid w:val="00530B61"/>
    <w:rsid w:val="00530FDE"/>
    <w:rsid w:val="0053152B"/>
    <w:rsid w:val="00531CF0"/>
    <w:rsid w:val="00531E6A"/>
    <w:rsid w:val="005320F7"/>
    <w:rsid w:val="0053266E"/>
    <w:rsid w:val="0053269F"/>
    <w:rsid w:val="0053288C"/>
    <w:rsid w:val="00532B67"/>
    <w:rsid w:val="00532B8D"/>
    <w:rsid w:val="00532D16"/>
    <w:rsid w:val="00532E70"/>
    <w:rsid w:val="00533A1F"/>
    <w:rsid w:val="005342A1"/>
    <w:rsid w:val="00534A3F"/>
    <w:rsid w:val="00534CF1"/>
    <w:rsid w:val="0053580A"/>
    <w:rsid w:val="0053590B"/>
    <w:rsid w:val="00535D0B"/>
    <w:rsid w:val="0053607E"/>
    <w:rsid w:val="00536119"/>
    <w:rsid w:val="00536390"/>
    <w:rsid w:val="0053646A"/>
    <w:rsid w:val="0053674A"/>
    <w:rsid w:val="00536EB8"/>
    <w:rsid w:val="0053709A"/>
    <w:rsid w:val="0053720F"/>
    <w:rsid w:val="00537407"/>
    <w:rsid w:val="00537415"/>
    <w:rsid w:val="00540A25"/>
    <w:rsid w:val="00540B24"/>
    <w:rsid w:val="00541558"/>
    <w:rsid w:val="005415DB"/>
    <w:rsid w:val="005416BB"/>
    <w:rsid w:val="005418E2"/>
    <w:rsid w:val="00541A87"/>
    <w:rsid w:val="00541CC7"/>
    <w:rsid w:val="00541D3C"/>
    <w:rsid w:val="005420B3"/>
    <w:rsid w:val="00542445"/>
    <w:rsid w:val="005426DA"/>
    <w:rsid w:val="0054272F"/>
    <w:rsid w:val="00542F7E"/>
    <w:rsid w:val="00543B10"/>
    <w:rsid w:val="00543FE7"/>
    <w:rsid w:val="00544139"/>
    <w:rsid w:val="00544D59"/>
    <w:rsid w:val="00545235"/>
    <w:rsid w:val="005452F5"/>
    <w:rsid w:val="00545A46"/>
    <w:rsid w:val="00546054"/>
    <w:rsid w:val="005466DD"/>
    <w:rsid w:val="00546765"/>
    <w:rsid w:val="00546871"/>
    <w:rsid w:val="00547229"/>
    <w:rsid w:val="00547879"/>
    <w:rsid w:val="005479F1"/>
    <w:rsid w:val="00547B59"/>
    <w:rsid w:val="00547D22"/>
    <w:rsid w:val="00547E58"/>
    <w:rsid w:val="00547FD8"/>
    <w:rsid w:val="00550288"/>
    <w:rsid w:val="005509A3"/>
    <w:rsid w:val="00550D79"/>
    <w:rsid w:val="005517D2"/>
    <w:rsid w:val="00551840"/>
    <w:rsid w:val="00551980"/>
    <w:rsid w:val="00551AB3"/>
    <w:rsid w:val="00551D2E"/>
    <w:rsid w:val="00552143"/>
    <w:rsid w:val="005523C9"/>
    <w:rsid w:val="00552767"/>
    <w:rsid w:val="0055294B"/>
    <w:rsid w:val="005529F1"/>
    <w:rsid w:val="00552DD1"/>
    <w:rsid w:val="00552EEC"/>
    <w:rsid w:val="00553279"/>
    <w:rsid w:val="0055332C"/>
    <w:rsid w:val="0055349C"/>
    <w:rsid w:val="005536CF"/>
    <w:rsid w:val="0055394B"/>
    <w:rsid w:val="00553C93"/>
    <w:rsid w:val="00553FA6"/>
    <w:rsid w:val="0055409C"/>
    <w:rsid w:val="00554124"/>
    <w:rsid w:val="0055413D"/>
    <w:rsid w:val="005544B3"/>
    <w:rsid w:val="005548D7"/>
    <w:rsid w:val="00554D59"/>
    <w:rsid w:val="00554DFD"/>
    <w:rsid w:val="00554E40"/>
    <w:rsid w:val="00554F97"/>
    <w:rsid w:val="00554FAB"/>
    <w:rsid w:val="005550E1"/>
    <w:rsid w:val="005554C2"/>
    <w:rsid w:val="00555ED2"/>
    <w:rsid w:val="00556745"/>
    <w:rsid w:val="00556C0A"/>
    <w:rsid w:val="00557038"/>
    <w:rsid w:val="00557071"/>
    <w:rsid w:val="0055775F"/>
    <w:rsid w:val="00557B21"/>
    <w:rsid w:val="00557E0E"/>
    <w:rsid w:val="00557E48"/>
    <w:rsid w:val="00560BE0"/>
    <w:rsid w:val="00561891"/>
    <w:rsid w:val="00562A60"/>
    <w:rsid w:val="00562AE4"/>
    <w:rsid w:val="005644B7"/>
    <w:rsid w:val="00564889"/>
    <w:rsid w:val="00564B27"/>
    <w:rsid w:val="00564C46"/>
    <w:rsid w:val="00564C9B"/>
    <w:rsid w:val="00564DE4"/>
    <w:rsid w:val="00564FA7"/>
    <w:rsid w:val="00565218"/>
    <w:rsid w:val="00565262"/>
    <w:rsid w:val="00565365"/>
    <w:rsid w:val="00565386"/>
    <w:rsid w:val="0056542C"/>
    <w:rsid w:val="005657D7"/>
    <w:rsid w:val="00565A20"/>
    <w:rsid w:val="00565BA1"/>
    <w:rsid w:val="00565BFE"/>
    <w:rsid w:val="005661AF"/>
    <w:rsid w:val="005668D1"/>
    <w:rsid w:val="0056691D"/>
    <w:rsid w:val="00567355"/>
    <w:rsid w:val="0056756C"/>
    <w:rsid w:val="005679D6"/>
    <w:rsid w:val="00567D22"/>
    <w:rsid w:val="00567F9E"/>
    <w:rsid w:val="00567FC1"/>
    <w:rsid w:val="00570058"/>
    <w:rsid w:val="0057013D"/>
    <w:rsid w:val="0057038E"/>
    <w:rsid w:val="00570A13"/>
    <w:rsid w:val="00570B11"/>
    <w:rsid w:val="005710C0"/>
    <w:rsid w:val="0057142E"/>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B32"/>
    <w:rsid w:val="00576DE4"/>
    <w:rsid w:val="00577129"/>
    <w:rsid w:val="005777C5"/>
    <w:rsid w:val="0058007A"/>
    <w:rsid w:val="00580937"/>
    <w:rsid w:val="00580CD8"/>
    <w:rsid w:val="00580F61"/>
    <w:rsid w:val="00580F93"/>
    <w:rsid w:val="0058210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9F"/>
    <w:rsid w:val="005868D0"/>
    <w:rsid w:val="00586E0A"/>
    <w:rsid w:val="0058712F"/>
    <w:rsid w:val="005873D4"/>
    <w:rsid w:val="005875DB"/>
    <w:rsid w:val="00587800"/>
    <w:rsid w:val="00587993"/>
    <w:rsid w:val="00587B01"/>
    <w:rsid w:val="0059095A"/>
    <w:rsid w:val="00590BA5"/>
    <w:rsid w:val="00590F0B"/>
    <w:rsid w:val="005912B0"/>
    <w:rsid w:val="005914A0"/>
    <w:rsid w:val="0059164A"/>
    <w:rsid w:val="00591C47"/>
    <w:rsid w:val="00591C73"/>
    <w:rsid w:val="005922B5"/>
    <w:rsid w:val="005923EC"/>
    <w:rsid w:val="00592725"/>
    <w:rsid w:val="005928C5"/>
    <w:rsid w:val="00592E63"/>
    <w:rsid w:val="0059324C"/>
    <w:rsid w:val="00593297"/>
    <w:rsid w:val="005932E4"/>
    <w:rsid w:val="005935DA"/>
    <w:rsid w:val="0059381A"/>
    <w:rsid w:val="00593C34"/>
    <w:rsid w:val="00594879"/>
    <w:rsid w:val="005948A6"/>
    <w:rsid w:val="00594D73"/>
    <w:rsid w:val="00594E6B"/>
    <w:rsid w:val="00595104"/>
    <w:rsid w:val="00595AB2"/>
    <w:rsid w:val="00596854"/>
    <w:rsid w:val="00597031"/>
    <w:rsid w:val="005978A0"/>
    <w:rsid w:val="00597A30"/>
    <w:rsid w:val="00597A74"/>
    <w:rsid w:val="00597E5D"/>
    <w:rsid w:val="00597FA3"/>
    <w:rsid w:val="005A0129"/>
    <w:rsid w:val="005A0B14"/>
    <w:rsid w:val="005A0EFB"/>
    <w:rsid w:val="005A1885"/>
    <w:rsid w:val="005A21BC"/>
    <w:rsid w:val="005A24DC"/>
    <w:rsid w:val="005A2571"/>
    <w:rsid w:val="005A3963"/>
    <w:rsid w:val="005A3CA5"/>
    <w:rsid w:val="005A44CA"/>
    <w:rsid w:val="005A4CCA"/>
    <w:rsid w:val="005A5A32"/>
    <w:rsid w:val="005A5C2A"/>
    <w:rsid w:val="005A5C9B"/>
    <w:rsid w:val="005A6AC4"/>
    <w:rsid w:val="005A6AE8"/>
    <w:rsid w:val="005A7007"/>
    <w:rsid w:val="005A72D7"/>
    <w:rsid w:val="005A73B5"/>
    <w:rsid w:val="005A7911"/>
    <w:rsid w:val="005A7BE4"/>
    <w:rsid w:val="005A7EBB"/>
    <w:rsid w:val="005B035A"/>
    <w:rsid w:val="005B0468"/>
    <w:rsid w:val="005B0BCF"/>
    <w:rsid w:val="005B10D9"/>
    <w:rsid w:val="005B1589"/>
    <w:rsid w:val="005B197F"/>
    <w:rsid w:val="005B1C5D"/>
    <w:rsid w:val="005B2434"/>
    <w:rsid w:val="005B2748"/>
    <w:rsid w:val="005B2B3E"/>
    <w:rsid w:val="005B2C29"/>
    <w:rsid w:val="005B2DF0"/>
    <w:rsid w:val="005B32E1"/>
    <w:rsid w:val="005B3401"/>
    <w:rsid w:val="005B3653"/>
    <w:rsid w:val="005B3700"/>
    <w:rsid w:val="005B372F"/>
    <w:rsid w:val="005B3AF5"/>
    <w:rsid w:val="005B3B0C"/>
    <w:rsid w:val="005B4024"/>
    <w:rsid w:val="005B415D"/>
    <w:rsid w:val="005B41BF"/>
    <w:rsid w:val="005B4374"/>
    <w:rsid w:val="005B4559"/>
    <w:rsid w:val="005B4689"/>
    <w:rsid w:val="005B4C2D"/>
    <w:rsid w:val="005B5237"/>
    <w:rsid w:val="005B54E9"/>
    <w:rsid w:val="005B5773"/>
    <w:rsid w:val="005B5BCD"/>
    <w:rsid w:val="005B6604"/>
    <w:rsid w:val="005B6999"/>
    <w:rsid w:val="005B6C1F"/>
    <w:rsid w:val="005B7212"/>
    <w:rsid w:val="005B77C7"/>
    <w:rsid w:val="005B79D1"/>
    <w:rsid w:val="005B7B29"/>
    <w:rsid w:val="005B7BF4"/>
    <w:rsid w:val="005C0650"/>
    <w:rsid w:val="005C0F0A"/>
    <w:rsid w:val="005C109C"/>
    <w:rsid w:val="005C1D39"/>
    <w:rsid w:val="005C1D42"/>
    <w:rsid w:val="005C2419"/>
    <w:rsid w:val="005C2439"/>
    <w:rsid w:val="005C2746"/>
    <w:rsid w:val="005C2B9F"/>
    <w:rsid w:val="005C2F7B"/>
    <w:rsid w:val="005C32A6"/>
    <w:rsid w:val="005C3A1E"/>
    <w:rsid w:val="005C3FEE"/>
    <w:rsid w:val="005C408D"/>
    <w:rsid w:val="005C4796"/>
    <w:rsid w:val="005C4E3B"/>
    <w:rsid w:val="005C4F64"/>
    <w:rsid w:val="005C5AE4"/>
    <w:rsid w:val="005C5C59"/>
    <w:rsid w:val="005C5E87"/>
    <w:rsid w:val="005C5F0E"/>
    <w:rsid w:val="005C60CB"/>
    <w:rsid w:val="005C64A4"/>
    <w:rsid w:val="005C6A2F"/>
    <w:rsid w:val="005C70EE"/>
    <w:rsid w:val="005C71AA"/>
    <w:rsid w:val="005C73FB"/>
    <w:rsid w:val="005C7C55"/>
    <w:rsid w:val="005C7FB2"/>
    <w:rsid w:val="005D051A"/>
    <w:rsid w:val="005D06A2"/>
    <w:rsid w:val="005D08F9"/>
    <w:rsid w:val="005D0A1C"/>
    <w:rsid w:val="005D114B"/>
    <w:rsid w:val="005D17D2"/>
    <w:rsid w:val="005D17D6"/>
    <w:rsid w:val="005D2250"/>
    <w:rsid w:val="005D25CB"/>
    <w:rsid w:val="005D30DB"/>
    <w:rsid w:val="005D3640"/>
    <w:rsid w:val="005D3712"/>
    <w:rsid w:val="005D3747"/>
    <w:rsid w:val="005D4088"/>
    <w:rsid w:val="005D43CB"/>
    <w:rsid w:val="005D4951"/>
    <w:rsid w:val="005D6136"/>
    <w:rsid w:val="005D6209"/>
    <w:rsid w:val="005D6312"/>
    <w:rsid w:val="005D6857"/>
    <w:rsid w:val="005D707E"/>
    <w:rsid w:val="005D7574"/>
    <w:rsid w:val="005D77BD"/>
    <w:rsid w:val="005D7867"/>
    <w:rsid w:val="005D7EEA"/>
    <w:rsid w:val="005D7F1C"/>
    <w:rsid w:val="005E0670"/>
    <w:rsid w:val="005E0989"/>
    <w:rsid w:val="005E0A3F"/>
    <w:rsid w:val="005E0EE0"/>
    <w:rsid w:val="005E0F68"/>
    <w:rsid w:val="005E0FB0"/>
    <w:rsid w:val="005E12E0"/>
    <w:rsid w:val="005E1717"/>
    <w:rsid w:val="005E1A9F"/>
    <w:rsid w:val="005E1E33"/>
    <w:rsid w:val="005E2907"/>
    <w:rsid w:val="005E2B9E"/>
    <w:rsid w:val="005E3057"/>
    <w:rsid w:val="005E3375"/>
    <w:rsid w:val="005E3957"/>
    <w:rsid w:val="005E3A2A"/>
    <w:rsid w:val="005E3EA2"/>
    <w:rsid w:val="005E42E3"/>
    <w:rsid w:val="005E5002"/>
    <w:rsid w:val="005E50DF"/>
    <w:rsid w:val="005E53B2"/>
    <w:rsid w:val="005E53F6"/>
    <w:rsid w:val="005E59EE"/>
    <w:rsid w:val="005E5D7B"/>
    <w:rsid w:val="005E6014"/>
    <w:rsid w:val="005E6143"/>
    <w:rsid w:val="005E618A"/>
    <w:rsid w:val="005E6235"/>
    <w:rsid w:val="005E6419"/>
    <w:rsid w:val="005E6475"/>
    <w:rsid w:val="005E661E"/>
    <w:rsid w:val="005E670D"/>
    <w:rsid w:val="005E6B8D"/>
    <w:rsid w:val="005E6F26"/>
    <w:rsid w:val="005E7BE5"/>
    <w:rsid w:val="005E7E1E"/>
    <w:rsid w:val="005F09AA"/>
    <w:rsid w:val="005F0E48"/>
    <w:rsid w:val="005F120A"/>
    <w:rsid w:val="005F1247"/>
    <w:rsid w:val="005F12B4"/>
    <w:rsid w:val="005F162B"/>
    <w:rsid w:val="005F282D"/>
    <w:rsid w:val="005F32FC"/>
    <w:rsid w:val="005F33C2"/>
    <w:rsid w:val="005F35EB"/>
    <w:rsid w:val="005F374A"/>
    <w:rsid w:val="005F3781"/>
    <w:rsid w:val="005F3C83"/>
    <w:rsid w:val="005F4066"/>
    <w:rsid w:val="005F411A"/>
    <w:rsid w:val="005F4CC4"/>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669"/>
    <w:rsid w:val="006028AB"/>
    <w:rsid w:val="006029EF"/>
    <w:rsid w:val="006031AD"/>
    <w:rsid w:val="00603524"/>
    <w:rsid w:val="00603C32"/>
    <w:rsid w:val="00603D3A"/>
    <w:rsid w:val="006040AB"/>
    <w:rsid w:val="006043AE"/>
    <w:rsid w:val="00604699"/>
    <w:rsid w:val="006046D4"/>
    <w:rsid w:val="0060482E"/>
    <w:rsid w:val="00604F99"/>
    <w:rsid w:val="00605251"/>
    <w:rsid w:val="00605D5C"/>
    <w:rsid w:val="00606840"/>
    <w:rsid w:val="00607066"/>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23"/>
    <w:rsid w:val="006131CE"/>
    <w:rsid w:val="006138C0"/>
    <w:rsid w:val="00613A29"/>
    <w:rsid w:val="00613D55"/>
    <w:rsid w:val="00613EF5"/>
    <w:rsid w:val="0061441E"/>
    <w:rsid w:val="006147E5"/>
    <w:rsid w:val="006149DB"/>
    <w:rsid w:val="0061519A"/>
    <w:rsid w:val="00615836"/>
    <w:rsid w:val="00615D2C"/>
    <w:rsid w:val="00615DFD"/>
    <w:rsid w:val="00615E6C"/>
    <w:rsid w:val="00616104"/>
    <w:rsid w:val="0061611D"/>
    <w:rsid w:val="00616AAF"/>
    <w:rsid w:val="006173C1"/>
    <w:rsid w:val="00617584"/>
    <w:rsid w:val="006176D9"/>
    <w:rsid w:val="00617B03"/>
    <w:rsid w:val="00617E61"/>
    <w:rsid w:val="0062059F"/>
    <w:rsid w:val="00620605"/>
    <w:rsid w:val="00620751"/>
    <w:rsid w:val="006207FA"/>
    <w:rsid w:val="006211CD"/>
    <w:rsid w:val="00621247"/>
    <w:rsid w:val="006226A2"/>
    <w:rsid w:val="00622C46"/>
    <w:rsid w:val="00622E44"/>
    <w:rsid w:val="00623453"/>
    <w:rsid w:val="00623BBF"/>
    <w:rsid w:val="00623C52"/>
    <w:rsid w:val="00623CD9"/>
    <w:rsid w:val="00624692"/>
    <w:rsid w:val="006248CA"/>
    <w:rsid w:val="00624A65"/>
    <w:rsid w:val="00625445"/>
    <w:rsid w:val="00625876"/>
    <w:rsid w:val="0062612B"/>
    <w:rsid w:val="006267F7"/>
    <w:rsid w:val="0062731C"/>
    <w:rsid w:val="006308FC"/>
    <w:rsid w:val="006309E0"/>
    <w:rsid w:val="00630B2D"/>
    <w:rsid w:val="006311F1"/>
    <w:rsid w:val="006314C2"/>
    <w:rsid w:val="0063166A"/>
    <w:rsid w:val="00631843"/>
    <w:rsid w:val="00631C37"/>
    <w:rsid w:val="0063209E"/>
    <w:rsid w:val="006320BA"/>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646"/>
    <w:rsid w:val="0063794E"/>
    <w:rsid w:val="00637AF9"/>
    <w:rsid w:val="00640454"/>
    <w:rsid w:val="006406EE"/>
    <w:rsid w:val="00641023"/>
    <w:rsid w:val="006412EB"/>
    <w:rsid w:val="00641482"/>
    <w:rsid w:val="00641A26"/>
    <w:rsid w:val="00641E21"/>
    <w:rsid w:val="0064274E"/>
    <w:rsid w:val="006429B0"/>
    <w:rsid w:val="00642AF6"/>
    <w:rsid w:val="00642E5B"/>
    <w:rsid w:val="00642EEF"/>
    <w:rsid w:val="0064302D"/>
    <w:rsid w:val="006438FE"/>
    <w:rsid w:val="006440AB"/>
    <w:rsid w:val="00644788"/>
    <w:rsid w:val="00644D2E"/>
    <w:rsid w:val="006459AD"/>
    <w:rsid w:val="006464AC"/>
    <w:rsid w:val="006466C6"/>
    <w:rsid w:val="006469C2"/>
    <w:rsid w:val="00646A3A"/>
    <w:rsid w:val="00646F69"/>
    <w:rsid w:val="00647013"/>
    <w:rsid w:val="0064782A"/>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986"/>
    <w:rsid w:val="00653B3C"/>
    <w:rsid w:val="00653F1C"/>
    <w:rsid w:val="0065423E"/>
    <w:rsid w:val="00654637"/>
    <w:rsid w:val="0065486D"/>
    <w:rsid w:val="00654A03"/>
    <w:rsid w:val="00654BC1"/>
    <w:rsid w:val="00654CF7"/>
    <w:rsid w:val="00654D82"/>
    <w:rsid w:val="00654FEE"/>
    <w:rsid w:val="0065544D"/>
    <w:rsid w:val="006554E5"/>
    <w:rsid w:val="00655915"/>
    <w:rsid w:val="00656380"/>
    <w:rsid w:val="00656AE0"/>
    <w:rsid w:val="00656BDE"/>
    <w:rsid w:val="00656DBF"/>
    <w:rsid w:val="00657160"/>
    <w:rsid w:val="006573F5"/>
    <w:rsid w:val="006576B5"/>
    <w:rsid w:val="006577FA"/>
    <w:rsid w:val="006600B7"/>
    <w:rsid w:val="00660629"/>
    <w:rsid w:val="00660687"/>
    <w:rsid w:val="006608F8"/>
    <w:rsid w:val="00660C93"/>
    <w:rsid w:val="00661B4C"/>
    <w:rsid w:val="00661BE3"/>
    <w:rsid w:val="00662282"/>
    <w:rsid w:val="006629AB"/>
    <w:rsid w:val="0066339D"/>
    <w:rsid w:val="006637F7"/>
    <w:rsid w:val="00663ECC"/>
    <w:rsid w:val="00664431"/>
    <w:rsid w:val="00664474"/>
    <w:rsid w:val="0066448E"/>
    <w:rsid w:val="0066459B"/>
    <w:rsid w:val="00664D95"/>
    <w:rsid w:val="00664FC5"/>
    <w:rsid w:val="00665539"/>
    <w:rsid w:val="00665594"/>
    <w:rsid w:val="0066586D"/>
    <w:rsid w:val="006658F0"/>
    <w:rsid w:val="00665F0E"/>
    <w:rsid w:val="006662BA"/>
    <w:rsid w:val="00666332"/>
    <w:rsid w:val="0066642F"/>
    <w:rsid w:val="006666FD"/>
    <w:rsid w:val="00666DDF"/>
    <w:rsid w:val="006672A7"/>
    <w:rsid w:val="006673D9"/>
    <w:rsid w:val="00667588"/>
    <w:rsid w:val="00667620"/>
    <w:rsid w:val="006678C9"/>
    <w:rsid w:val="00667D51"/>
    <w:rsid w:val="00667DB3"/>
    <w:rsid w:val="006703D5"/>
    <w:rsid w:val="00670491"/>
    <w:rsid w:val="00670B23"/>
    <w:rsid w:val="00670F01"/>
    <w:rsid w:val="00670F08"/>
    <w:rsid w:val="00671112"/>
    <w:rsid w:val="006711CD"/>
    <w:rsid w:val="00671274"/>
    <w:rsid w:val="006714CE"/>
    <w:rsid w:val="00671FC2"/>
    <w:rsid w:val="00672021"/>
    <w:rsid w:val="006724B7"/>
    <w:rsid w:val="00672626"/>
    <w:rsid w:val="00672876"/>
    <w:rsid w:val="006729FC"/>
    <w:rsid w:val="00672DD5"/>
    <w:rsid w:val="00672F78"/>
    <w:rsid w:val="0067339C"/>
    <w:rsid w:val="006734BE"/>
    <w:rsid w:val="006735F3"/>
    <w:rsid w:val="00673A06"/>
    <w:rsid w:val="00673D32"/>
    <w:rsid w:val="00674859"/>
    <w:rsid w:val="00675366"/>
    <w:rsid w:val="006759CB"/>
    <w:rsid w:val="00675D32"/>
    <w:rsid w:val="00675E99"/>
    <w:rsid w:val="006760DF"/>
    <w:rsid w:val="0067611A"/>
    <w:rsid w:val="00676157"/>
    <w:rsid w:val="0067626D"/>
    <w:rsid w:val="0067642C"/>
    <w:rsid w:val="00676A74"/>
    <w:rsid w:val="00676B58"/>
    <w:rsid w:val="00676D5D"/>
    <w:rsid w:val="00680148"/>
    <w:rsid w:val="00680E66"/>
    <w:rsid w:val="00680F5B"/>
    <w:rsid w:val="006815AE"/>
    <w:rsid w:val="00682164"/>
    <w:rsid w:val="006821A3"/>
    <w:rsid w:val="0068230C"/>
    <w:rsid w:val="0068246C"/>
    <w:rsid w:val="00682BA5"/>
    <w:rsid w:val="00682FA5"/>
    <w:rsid w:val="0068316A"/>
    <w:rsid w:val="006834D8"/>
    <w:rsid w:val="006835B1"/>
    <w:rsid w:val="00683AC0"/>
    <w:rsid w:val="00683CCE"/>
    <w:rsid w:val="00683DEA"/>
    <w:rsid w:val="00683F05"/>
    <w:rsid w:val="006843EE"/>
    <w:rsid w:val="00684B43"/>
    <w:rsid w:val="00684D70"/>
    <w:rsid w:val="0068510C"/>
    <w:rsid w:val="006858F0"/>
    <w:rsid w:val="00685937"/>
    <w:rsid w:val="00685DBD"/>
    <w:rsid w:val="0068612F"/>
    <w:rsid w:val="00686EF0"/>
    <w:rsid w:val="006879AC"/>
    <w:rsid w:val="00687B93"/>
    <w:rsid w:val="00687E4C"/>
    <w:rsid w:val="00687F21"/>
    <w:rsid w:val="0069072A"/>
    <w:rsid w:val="00690A36"/>
    <w:rsid w:val="00690B2B"/>
    <w:rsid w:val="00690BA6"/>
    <w:rsid w:val="00690C85"/>
    <w:rsid w:val="0069106C"/>
    <w:rsid w:val="0069113C"/>
    <w:rsid w:val="00691433"/>
    <w:rsid w:val="006914E7"/>
    <w:rsid w:val="006916AA"/>
    <w:rsid w:val="00691C48"/>
    <w:rsid w:val="00691D6E"/>
    <w:rsid w:val="00692436"/>
    <w:rsid w:val="00692D16"/>
    <w:rsid w:val="00692FF7"/>
    <w:rsid w:val="006930BD"/>
    <w:rsid w:val="0069324C"/>
    <w:rsid w:val="006932EF"/>
    <w:rsid w:val="006935B3"/>
    <w:rsid w:val="0069394E"/>
    <w:rsid w:val="00693F3C"/>
    <w:rsid w:val="006943A2"/>
    <w:rsid w:val="00694761"/>
    <w:rsid w:val="00694840"/>
    <w:rsid w:val="00694B05"/>
    <w:rsid w:val="00694DF8"/>
    <w:rsid w:val="0069509B"/>
    <w:rsid w:val="006951E2"/>
    <w:rsid w:val="00695A32"/>
    <w:rsid w:val="006960FC"/>
    <w:rsid w:val="006964C6"/>
    <w:rsid w:val="00696852"/>
    <w:rsid w:val="00697379"/>
    <w:rsid w:val="00697393"/>
    <w:rsid w:val="006976BB"/>
    <w:rsid w:val="006977BF"/>
    <w:rsid w:val="006978ED"/>
    <w:rsid w:val="00697AF3"/>
    <w:rsid w:val="006A015F"/>
    <w:rsid w:val="006A114F"/>
    <w:rsid w:val="006A1624"/>
    <w:rsid w:val="006A184C"/>
    <w:rsid w:val="006A2C78"/>
    <w:rsid w:val="006A3481"/>
    <w:rsid w:val="006A361D"/>
    <w:rsid w:val="006A3870"/>
    <w:rsid w:val="006A3AF9"/>
    <w:rsid w:val="006A433E"/>
    <w:rsid w:val="006A454B"/>
    <w:rsid w:val="006A46C0"/>
    <w:rsid w:val="006A4D83"/>
    <w:rsid w:val="006A4E72"/>
    <w:rsid w:val="006A4F97"/>
    <w:rsid w:val="006A52EE"/>
    <w:rsid w:val="006A5A68"/>
    <w:rsid w:val="006A6E5D"/>
    <w:rsid w:val="006A756A"/>
    <w:rsid w:val="006A7E3F"/>
    <w:rsid w:val="006B020C"/>
    <w:rsid w:val="006B07A9"/>
    <w:rsid w:val="006B1105"/>
    <w:rsid w:val="006B1158"/>
    <w:rsid w:val="006B15AD"/>
    <w:rsid w:val="006B1B76"/>
    <w:rsid w:val="006B21C9"/>
    <w:rsid w:val="006B3446"/>
    <w:rsid w:val="006B38BE"/>
    <w:rsid w:val="006B3921"/>
    <w:rsid w:val="006B3D8C"/>
    <w:rsid w:val="006B43EC"/>
    <w:rsid w:val="006B45EA"/>
    <w:rsid w:val="006B4618"/>
    <w:rsid w:val="006B4AFB"/>
    <w:rsid w:val="006B4F01"/>
    <w:rsid w:val="006B58A1"/>
    <w:rsid w:val="006B5C2D"/>
    <w:rsid w:val="006B60E5"/>
    <w:rsid w:val="006B618C"/>
    <w:rsid w:val="006B70F4"/>
    <w:rsid w:val="006B7470"/>
    <w:rsid w:val="006B74D3"/>
    <w:rsid w:val="006B7656"/>
    <w:rsid w:val="006B7810"/>
    <w:rsid w:val="006B7845"/>
    <w:rsid w:val="006B7867"/>
    <w:rsid w:val="006C00BB"/>
    <w:rsid w:val="006C0638"/>
    <w:rsid w:val="006C09E4"/>
    <w:rsid w:val="006C0B2A"/>
    <w:rsid w:val="006C0ED8"/>
    <w:rsid w:val="006C102B"/>
    <w:rsid w:val="006C1144"/>
    <w:rsid w:val="006C1185"/>
    <w:rsid w:val="006C16F4"/>
    <w:rsid w:val="006C1B63"/>
    <w:rsid w:val="006C1F97"/>
    <w:rsid w:val="006C2872"/>
    <w:rsid w:val="006C2881"/>
    <w:rsid w:val="006C3181"/>
    <w:rsid w:val="006C3DDE"/>
    <w:rsid w:val="006C4C5E"/>
    <w:rsid w:val="006C5054"/>
    <w:rsid w:val="006C57B2"/>
    <w:rsid w:val="006C6B6F"/>
    <w:rsid w:val="006C722C"/>
    <w:rsid w:val="006C7528"/>
    <w:rsid w:val="006C77ED"/>
    <w:rsid w:val="006C783F"/>
    <w:rsid w:val="006C798A"/>
    <w:rsid w:val="006C7A48"/>
    <w:rsid w:val="006C7E40"/>
    <w:rsid w:val="006D05DB"/>
    <w:rsid w:val="006D0874"/>
    <w:rsid w:val="006D0894"/>
    <w:rsid w:val="006D1564"/>
    <w:rsid w:val="006D179A"/>
    <w:rsid w:val="006D1C4F"/>
    <w:rsid w:val="006D1EAB"/>
    <w:rsid w:val="006D21E9"/>
    <w:rsid w:val="006D22F6"/>
    <w:rsid w:val="006D257F"/>
    <w:rsid w:val="006D311A"/>
    <w:rsid w:val="006D341F"/>
    <w:rsid w:val="006D35EA"/>
    <w:rsid w:val="006D37AF"/>
    <w:rsid w:val="006D3A1F"/>
    <w:rsid w:val="006D3A52"/>
    <w:rsid w:val="006D4177"/>
    <w:rsid w:val="006D4336"/>
    <w:rsid w:val="006D4403"/>
    <w:rsid w:val="006D4720"/>
    <w:rsid w:val="006D47E1"/>
    <w:rsid w:val="006D47F0"/>
    <w:rsid w:val="006D4AA4"/>
    <w:rsid w:val="006D4DF2"/>
    <w:rsid w:val="006D4FA9"/>
    <w:rsid w:val="006D5019"/>
    <w:rsid w:val="006D501E"/>
    <w:rsid w:val="006D50CD"/>
    <w:rsid w:val="006D5274"/>
    <w:rsid w:val="006D555C"/>
    <w:rsid w:val="006D5A63"/>
    <w:rsid w:val="006D5B26"/>
    <w:rsid w:val="006D5D56"/>
    <w:rsid w:val="006D66F4"/>
    <w:rsid w:val="006D6D49"/>
    <w:rsid w:val="006D6DB7"/>
    <w:rsid w:val="006D70E0"/>
    <w:rsid w:val="006D7856"/>
    <w:rsid w:val="006D7A8B"/>
    <w:rsid w:val="006E0181"/>
    <w:rsid w:val="006E0F71"/>
    <w:rsid w:val="006E13AE"/>
    <w:rsid w:val="006E16AA"/>
    <w:rsid w:val="006E1C91"/>
    <w:rsid w:val="006E1F6D"/>
    <w:rsid w:val="006E1F92"/>
    <w:rsid w:val="006E2A14"/>
    <w:rsid w:val="006E3227"/>
    <w:rsid w:val="006E3498"/>
    <w:rsid w:val="006E3841"/>
    <w:rsid w:val="006E3C64"/>
    <w:rsid w:val="006E3D8A"/>
    <w:rsid w:val="006E4199"/>
    <w:rsid w:val="006E43F6"/>
    <w:rsid w:val="006E450A"/>
    <w:rsid w:val="006E46D5"/>
    <w:rsid w:val="006E4CA2"/>
    <w:rsid w:val="006E4D80"/>
    <w:rsid w:val="006E4E3E"/>
    <w:rsid w:val="006E50B6"/>
    <w:rsid w:val="006E532B"/>
    <w:rsid w:val="006E5464"/>
    <w:rsid w:val="006E5C85"/>
    <w:rsid w:val="006E5EE8"/>
    <w:rsid w:val="006E6AB5"/>
    <w:rsid w:val="006E6B3E"/>
    <w:rsid w:val="006E6D3C"/>
    <w:rsid w:val="006E6E49"/>
    <w:rsid w:val="006E6FA9"/>
    <w:rsid w:val="006E7108"/>
    <w:rsid w:val="006E718A"/>
    <w:rsid w:val="006E71F1"/>
    <w:rsid w:val="006E78A2"/>
    <w:rsid w:val="006E7D1E"/>
    <w:rsid w:val="006E7FDD"/>
    <w:rsid w:val="006F061A"/>
    <w:rsid w:val="006F0766"/>
    <w:rsid w:val="006F0B1D"/>
    <w:rsid w:val="006F0F53"/>
    <w:rsid w:val="006F195F"/>
    <w:rsid w:val="006F1CEE"/>
    <w:rsid w:val="006F1F96"/>
    <w:rsid w:val="006F21DA"/>
    <w:rsid w:val="006F2870"/>
    <w:rsid w:val="006F28CA"/>
    <w:rsid w:val="006F2D05"/>
    <w:rsid w:val="006F2DD0"/>
    <w:rsid w:val="006F3552"/>
    <w:rsid w:val="006F3AED"/>
    <w:rsid w:val="006F434D"/>
    <w:rsid w:val="006F5A43"/>
    <w:rsid w:val="006F5C63"/>
    <w:rsid w:val="006F618D"/>
    <w:rsid w:val="006F61DF"/>
    <w:rsid w:val="006F650B"/>
    <w:rsid w:val="006F67AF"/>
    <w:rsid w:val="006F69CF"/>
    <w:rsid w:val="006F7098"/>
    <w:rsid w:val="006F70EF"/>
    <w:rsid w:val="00700AC3"/>
    <w:rsid w:val="007014EC"/>
    <w:rsid w:val="007018BB"/>
    <w:rsid w:val="007018F0"/>
    <w:rsid w:val="007019F6"/>
    <w:rsid w:val="00701F04"/>
    <w:rsid w:val="007024FD"/>
    <w:rsid w:val="0070267F"/>
    <w:rsid w:val="00702733"/>
    <w:rsid w:val="00702CAB"/>
    <w:rsid w:val="00703521"/>
    <w:rsid w:val="00703732"/>
    <w:rsid w:val="0070383F"/>
    <w:rsid w:val="00703DA0"/>
    <w:rsid w:val="0070438D"/>
    <w:rsid w:val="00704407"/>
    <w:rsid w:val="00704D58"/>
    <w:rsid w:val="00704FF7"/>
    <w:rsid w:val="007052B0"/>
    <w:rsid w:val="00705558"/>
    <w:rsid w:val="00705618"/>
    <w:rsid w:val="007057C9"/>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162B"/>
    <w:rsid w:val="0071251B"/>
    <w:rsid w:val="007125DE"/>
    <w:rsid w:val="00712750"/>
    <w:rsid w:val="00712967"/>
    <w:rsid w:val="00712E4D"/>
    <w:rsid w:val="0071312F"/>
    <w:rsid w:val="0071384D"/>
    <w:rsid w:val="00713A49"/>
    <w:rsid w:val="00713A52"/>
    <w:rsid w:val="00713B49"/>
    <w:rsid w:val="00713BA4"/>
    <w:rsid w:val="00713BAD"/>
    <w:rsid w:val="00713CCA"/>
    <w:rsid w:val="00713ED4"/>
    <w:rsid w:val="00713EF8"/>
    <w:rsid w:val="00714427"/>
    <w:rsid w:val="00714741"/>
    <w:rsid w:val="00714C37"/>
    <w:rsid w:val="00714C8E"/>
    <w:rsid w:val="007156A6"/>
    <w:rsid w:val="0071574D"/>
    <w:rsid w:val="00715DF7"/>
    <w:rsid w:val="00715E0F"/>
    <w:rsid w:val="00716567"/>
    <w:rsid w:val="00716847"/>
    <w:rsid w:val="00716F33"/>
    <w:rsid w:val="0071747F"/>
    <w:rsid w:val="00717754"/>
    <w:rsid w:val="00717B7A"/>
    <w:rsid w:val="00720327"/>
    <w:rsid w:val="00720BDD"/>
    <w:rsid w:val="0072101F"/>
    <w:rsid w:val="007212CB"/>
    <w:rsid w:val="0072166A"/>
    <w:rsid w:val="00721EE9"/>
    <w:rsid w:val="00721FB6"/>
    <w:rsid w:val="00722732"/>
    <w:rsid w:val="0072369E"/>
    <w:rsid w:val="007238A9"/>
    <w:rsid w:val="00723B94"/>
    <w:rsid w:val="00723E43"/>
    <w:rsid w:val="00724089"/>
    <w:rsid w:val="007240EE"/>
    <w:rsid w:val="007243FC"/>
    <w:rsid w:val="00724512"/>
    <w:rsid w:val="00724D36"/>
    <w:rsid w:val="00724E80"/>
    <w:rsid w:val="00724F48"/>
    <w:rsid w:val="00724FD0"/>
    <w:rsid w:val="00724FE7"/>
    <w:rsid w:val="00725400"/>
    <w:rsid w:val="0072547C"/>
    <w:rsid w:val="00725EF0"/>
    <w:rsid w:val="0072604F"/>
    <w:rsid w:val="007263D3"/>
    <w:rsid w:val="00726BFF"/>
    <w:rsid w:val="00727213"/>
    <w:rsid w:val="0072742F"/>
    <w:rsid w:val="00727F78"/>
    <w:rsid w:val="00730E54"/>
    <w:rsid w:val="0073139C"/>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D2F"/>
    <w:rsid w:val="00734F0F"/>
    <w:rsid w:val="0073510D"/>
    <w:rsid w:val="0073518A"/>
    <w:rsid w:val="00735226"/>
    <w:rsid w:val="00735609"/>
    <w:rsid w:val="00735BA3"/>
    <w:rsid w:val="00735BBB"/>
    <w:rsid w:val="00735C53"/>
    <w:rsid w:val="00736743"/>
    <w:rsid w:val="00736E50"/>
    <w:rsid w:val="007373FD"/>
    <w:rsid w:val="00737A7A"/>
    <w:rsid w:val="00737FE5"/>
    <w:rsid w:val="007401D9"/>
    <w:rsid w:val="00740460"/>
    <w:rsid w:val="0074051D"/>
    <w:rsid w:val="00740765"/>
    <w:rsid w:val="00740F24"/>
    <w:rsid w:val="00741B45"/>
    <w:rsid w:val="00741D80"/>
    <w:rsid w:val="00741E2F"/>
    <w:rsid w:val="00741EC9"/>
    <w:rsid w:val="00742082"/>
    <w:rsid w:val="0074246F"/>
    <w:rsid w:val="007429ED"/>
    <w:rsid w:val="00742A67"/>
    <w:rsid w:val="007430CA"/>
    <w:rsid w:val="007436A4"/>
    <w:rsid w:val="00743DC3"/>
    <w:rsid w:val="00743EC1"/>
    <w:rsid w:val="00743F94"/>
    <w:rsid w:val="007443B6"/>
    <w:rsid w:val="00744E39"/>
    <w:rsid w:val="007450A7"/>
    <w:rsid w:val="00745692"/>
    <w:rsid w:val="007464FB"/>
    <w:rsid w:val="0074704B"/>
    <w:rsid w:val="007474DC"/>
    <w:rsid w:val="00747741"/>
    <w:rsid w:val="00747A9B"/>
    <w:rsid w:val="00747C42"/>
    <w:rsid w:val="00747D86"/>
    <w:rsid w:val="007501D2"/>
    <w:rsid w:val="0075064B"/>
    <w:rsid w:val="00750C6B"/>
    <w:rsid w:val="00750DF9"/>
    <w:rsid w:val="00750EB3"/>
    <w:rsid w:val="00751212"/>
    <w:rsid w:val="0075198E"/>
    <w:rsid w:val="00752066"/>
    <w:rsid w:val="00752071"/>
    <w:rsid w:val="007529C8"/>
    <w:rsid w:val="00753B48"/>
    <w:rsid w:val="00753EB2"/>
    <w:rsid w:val="0075428E"/>
    <w:rsid w:val="007542B0"/>
    <w:rsid w:val="00754429"/>
    <w:rsid w:val="00754696"/>
    <w:rsid w:val="00754B16"/>
    <w:rsid w:val="00754D0A"/>
    <w:rsid w:val="007553B1"/>
    <w:rsid w:val="00756A0A"/>
    <w:rsid w:val="0075719C"/>
    <w:rsid w:val="0075766C"/>
    <w:rsid w:val="007577CE"/>
    <w:rsid w:val="007579E1"/>
    <w:rsid w:val="00757B91"/>
    <w:rsid w:val="007607CE"/>
    <w:rsid w:val="00760AD3"/>
    <w:rsid w:val="00760DF0"/>
    <w:rsid w:val="00760ED5"/>
    <w:rsid w:val="00760F06"/>
    <w:rsid w:val="007615E4"/>
    <w:rsid w:val="0076186B"/>
    <w:rsid w:val="00761E0D"/>
    <w:rsid w:val="00762133"/>
    <w:rsid w:val="0076230C"/>
    <w:rsid w:val="00762B3B"/>
    <w:rsid w:val="00762DD6"/>
    <w:rsid w:val="00762F71"/>
    <w:rsid w:val="00762FDB"/>
    <w:rsid w:val="00763152"/>
    <w:rsid w:val="00763529"/>
    <w:rsid w:val="00763648"/>
    <w:rsid w:val="00763693"/>
    <w:rsid w:val="00763A62"/>
    <w:rsid w:val="007640A5"/>
    <w:rsid w:val="007642FF"/>
    <w:rsid w:val="0076489E"/>
    <w:rsid w:val="007648E6"/>
    <w:rsid w:val="007650A2"/>
    <w:rsid w:val="007654C6"/>
    <w:rsid w:val="00765995"/>
    <w:rsid w:val="00765E01"/>
    <w:rsid w:val="00765E98"/>
    <w:rsid w:val="00766416"/>
    <w:rsid w:val="00766422"/>
    <w:rsid w:val="00766B23"/>
    <w:rsid w:val="00766B5F"/>
    <w:rsid w:val="00766CA5"/>
    <w:rsid w:val="00767582"/>
    <w:rsid w:val="00767D7B"/>
    <w:rsid w:val="00767F3E"/>
    <w:rsid w:val="00770427"/>
    <w:rsid w:val="0077045B"/>
    <w:rsid w:val="00770887"/>
    <w:rsid w:val="007708DC"/>
    <w:rsid w:val="00770982"/>
    <w:rsid w:val="00771C2B"/>
    <w:rsid w:val="007727F1"/>
    <w:rsid w:val="00772CAA"/>
    <w:rsid w:val="00772D55"/>
    <w:rsid w:val="00772EF8"/>
    <w:rsid w:val="007730CC"/>
    <w:rsid w:val="0077322E"/>
    <w:rsid w:val="0077346E"/>
    <w:rsid w:val="00773772"/>
    <w:rsid w:val="00774716"/>
    <w:rsid w:val="0077484D"/>
    <w:rsid w:val="00774DE7"/>
    <w:rsid w:val="007752F8"/>
    <w:rsid w:val="007759E0"/>
    <w:rsid w:val="00775AF6"/>
    <w:rsid w:val="00776409"/>
    <w:rsid w:val="007766A4"/>
    <w:rsid w:val="00776784"/>
    <w:rsid w:val="007767C5"/>
    <w:rsid w:val="00776B05"/>
    <w:rsid w:val="007770A7"/>
    <w:rsid w:val="00777374"/>
    <w:rsid w:val="0077785A"/>
    <w:rsid w:val="00777E17"/>
    <w:rsid w:val="00780319"/>
    <w:rsid w:val="007803D0"/>
    <w:rsid w:val="00780ABC"/>
    <w:rsid w:val="00780C15"/>
    <w:rsid w:val="00780EBC"/>
    <w:rsid w:val="0078138E"/>
    <w:rsid w:val="007815EB"/>
    <w:rsid w:val="00781659"/>
    <w:rsid w:val="0078251F"/>
    <w:rsid w:val="007826DD"/>
    <w:rsid w:val="00783029"/>
    <w:rsid w:val="007830F5"/>
    <w:rsid w:val="007832BD"/>
    <w:rsid w:val="0078359E"/>
    <w:rsid w:val="007837AB"/>
    <w:rsid w:val="007841D6"/>
    <w:rsid w:val="00784A2F"/>
    <w:rsid w:val="00784D35"/>
    <w:rsid w:val="00784E3D"/>
    <w:rsid w:val="007850B5"/>
    <w:rsid w:val="00785EEE"/>
    <w:rsid w:val="00786292"/>
    <w:rsid w:val="00786515"/>
    <w:rsid w:val="007866E5"/>
    <w:rsid w:val="00786C75"/>
    <w:rsid w:val="00786DE5"/>
    <w:rsid w:val="00787276"/>
    <w:rsid w:val="0078727E"/>
    <w:rsid w:val="00787CCA"/>
    <w:rsid w:val="00790251"/>
    <w:rsid w:val="00790C39"/>
    <w:rsid w:val="00791101"/>
    <w:rsid w:val="00791215"/>
    <w:rsid w:val="0079130C"/>
    <w:rsid w:val="007914F3"/>
    <w:rsid w:val="007919BA"/>
    <w:rsid w:val="00791EE4"/>
    <w:rsid w:val="00792348"/>
    <w:rsid w:val="00792849"/>
    <w:rsid w:val="00792BF4"/>
    <w:rsid w:val="00792C85"/>
    <w:rsid w:val="00792DA4"/>
    <w:rsid w:val="00792F8D"/>
    <w:rsid w:val="00793281"/>
    <w:rsid w:val="00793C4E"/>
    <w:rsid w:val="007950CE"/>
    <w:rsid w:val="007957B6"/>
    <w:rsid w:val="007961AA"/>
    <w:rsid w:val="0079645D"/>
    <w:rsid w:val="00796BDD"/>
    <w:rsid w:val="00796C8D"/>
    <w:rsid w:val="00797250"/>
    <w:rsid w:val="007977B0"/>
    <w:rsid w:val="00797848"/>
    <w:rsid w:val="00797A1F"/>
    <w:rsid w:val="00797FF1"/>
    <w:rsid w:val="007A098C"/>
    <w:rsid w:val="007A0B0A"/>
    <w:rsid w:val="007A0DF3"/>
    <w:rsid w:val="007A10A3"/>
    <w:rsid w:val="007A126F"/>
    <w:rsid w:val="007A12F9"/>
    <w:rsid w:val="007A1642"/>
    <w:rsid w:val="007A2B3E"/>
    <w:rsid w:val="007A3260"/>
    <w:rsid w:val="007A3376"/>
    <w:rsid w:val="007A34B2"/>
    <w:rsid w:val="007A35BB"/>
    <w:rsid w:val="007A38E9"/>
    <w:rsid w:val="007A41D4"/>
    <w:rsid w:val="007A4208"/>
    <w:rsid w:val="007A445E"/>
    <w:rsid w:val="007A4A89"/>
    <w:rsid w:val="007A4EC2"/>
    <w:rsid w:val="007A50B2"/>
    <w:rsid w:val="007A62E3"/>
    <w:rsid w:val="007A6B37"/>
    <w:rsid w:val="007A7191"/>
    <w:rsid w:val="007A7205"/>
    <w:rsid w:val="007A7314"/>
    <w:rsid w:val="007A78EA"/>
    <w:rsid w:val="007B008F"/>
    <w:rsid w:val="007B04F5"/>
    <w:rsid w:val="007B10F3"/>
    <w:rsid w:val="007B110E"/>
    <w:rsid w:val="007B3315"/>
    <w:rsid w:val="007B3369"/>
    <w:rsid w:val="007B3549"/>
    <w:rsid w:val="007B3621"/>
    <w:rsid w:val="007B36EF"/>
    <w:rsid w:val="007B442C"/>
    <w:rsid w:val="007B4A82"/>
    <w:rsid w:val="007B523F"/>
    <w:rsid w:val="007B52A7"/>
    <w:rsid w:val="007B5AA6"/>
    <w:rsid w:val="007B6007"/>
    <w:rsid w:val="007B626B"/>
    <w:rsid w:val="007B64AA"/>
    <w:rsid w:val="007B7198"/>
    <w:rsid w:val="007B7302"/>
    <w:rsid w:val="007B7451"/>
    <w:rsid w:val="007B7497"/>
    <w:rsid w:val="007B776B"/>
    <w:rsid w:val="007B7D81"/>
    <w:rsid w:val="007B7F69"/>
    <w:rsid w:val="007C0B1B"/>
    <w:rsid w:val="007C1025"/>
    <w:rsid w:val="007C1321"/>
    <w:rsid w:val="007C1790"/>
    <w:rsid w:val="007C18CB"/>
    <w:rsid w:val="007C1FFB"/>
    <w:rsid w:val="007C2375"/>
    <w:rsid w:val="007C2392"/>
    <w:rsid w:val="007C24EE"/>
    <w:rsid w:val="007C2A25"/>
    <w:rsid w:val="007C2E28"/>
    <w:rsid w:val="007C3B8A"/>
    <w:rsid w:val="007C4568"/>
    <w:rsid w:val="007C4657"/>
    <w:rsid w:val="007C5910"/>
    <w:rsid w:val="007C5951"/>
    <w:rsid w:val="007C59F7"/>
    <w:rsid w:val="007C618E"/>
    <w:rsid w:val="007C6C83"/>
    <w:rsid w:val="007C6DCF"/>
    <w:rsid w:val="007C6E65"/>
    <w:rsid w:val="007C7013"/>
    <w:rsid w:val="007C73AC"/>
    <w:rsid w:val="007C7737"/>
    <w:rsid w:val="007C7BB9"/>
    <w:rsid w:val="007C7C33"/>
    <w:rsid w:val="007C7F1F"/>
    <w:rsid w:val="007D0044"/>
    <w:rsid w:val="007D06F4"/>
    <w:rsid w:val="007D14B1"/>
    <w:rsid w:val="007D18FE"/>
    <w:rsid w:val="007D2455"/>
    <w:rsid w:val="007D32B4"/>
    <w:rsid w:val="007D3AF7"/>
    <w:rsid w:val="007D3E9F"/>
    <w:rsid w:val="007D434E"/>
    <w:rsid w:val="007D45C8"/>
    <w:rsid w:val="007D4B04"/>
    <w:rsid w:val="007D4BA8"/>
    <w:rsid w:val="007D4C28"/>
    <w:rsid w:val="007D4DEE"/>
    <w:rsid w:val="007D569F"/>
    <w:rsid w:val="007D59BC"/>
    <w:rsid w:val="007D5B05"/>
    <w:rsid w:val="007D653F"/>
    <w:rsid w:val="007D6A22"/>
    <w:rsid w:val="007D6F9A"/>
    <w:rsid w:val="007D716C"/>
    <w:rsid w:val="007D79D5"/>
    <w:rsid w:val="007E00E9"/>
    <w:rsid w:val="007E04BF"/>
    <w:rsid w:val="007E0DBB"/>
    <w:rsid w:val="007E0F97"/>
    <w:rsid w:val="007E100E"/>
    <w:rsid w:val="007E127A"/>
    <w:rsid w:val="007E1753"/>
    <w:rsid w:val="007E1904"/>
    <w:rsid w:val="007E1B84"/>
    <w:rsid w:val="007E1DD6"/>
    <w:rsid w:val="007E1F9F"/>
    <w:rsid w:val="007E2108"/>
    <w:rsid w:val="007E22C2"/>
    <w:rsid w:val="007E28C4"/>
    <w:rsid w:val="007E2A21"/>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A09"/>
    <w:rsid w:val="007E5F7B"/>
    <w:rsid w:val="007E66D8"/>
    <w:rsid w:val="007E75C0"/>
    <w:rsid w:val="007E786E"/>
    <w:rsid w:val="007F052C"/>
    <w:rsid w:val="007F07F3"/>
    <w:rsid w:val="007F1203"/>
    <w:rsid w:val="007F1230"/>
    <w:rsid w:val="007F178D"/>
    <w:rsid w:val="007F1A1F"/>
    <w:rsid w:val="007F1D41"/>
    <w:rsid w:val="007F1F03"/>
    <w:rsid w:val="007F24B0"/>
    <w:rsid w:val="007F2625"/>
    <w:rsid w:val="007F2F76"/>
    <w:rsid w:val="007F35DF"/>
    <w:rsid w:val="007F3E5C"/>
    <w:rsid w:val="007F406A"/>
    <w:rsid w:val="007F45BC"/>
    <w:rsid w:val="007F5114"/>
    <w:rsid w:val="007F54B2"/>
    <w:rsid w:val="007F54DE"/>
    <w:rsid w:val="007F5506"/>
    <w:rsid w:val="007F5609"/>
    <w:rsid w:val="007F59DB"/>
    <w:rsid w:val="007F6592"/>
    <w:rsid w:val="007F65F9"/>
    <w:rsid w:val="007F65FF"/>
    <w:rsid w:val="007F68B7"/>
    <w:rsid w:val="007F6C61"/>
    <w:rsid w:val="007F78D5"/>
    <w:rsid w:val="007F7902"/>
    <w:rsid w:val="007F7CD3"/>
    <w:rsid w:val="007F7F48"/>
    <w:rsid w:val="007F7FB5"/>
    <w:rsid w:val="0080016B"/>
    <w:rsid w:val="00801259"/>
    <w:rsid w:val="00801265"/>
    <w:rsid w:val="00801843"/>
    <w:rsid w:val="00801A73"/>
    <w:rsid w:val="008024AE"/>
    <w:rsid w:val="00802E04"/>
    <w:rsid w:val="0080396D"/>
    <w:rsid w:val="00803CEE"/>
    <w:rsid w:val="00803F6D"/>
    <w:rsid w:val="00803F9C"/>
    <w:rsid w:val="00804350"/>
    <w:rsid w:val="0080444A"/>
    <w:rsid w:val="008045CF"/>
    <w:rsid w:val="008045ED"/>
    <w:rsid w:val="00805103"/>
    <w:rsid w:val="008051F0"/>
    <w:rsid w:val="00805E97"/>
    <w:rsid w:val="00805FD3"/>
    <w:rsid w:val="00805FFE"/>
    <w:rsid w:val="00806119"/>
    <w:rsid w:val="00806131"/>
    <w:rsid w:val="008069A6"/>
    <w:rsid w:val="00806CC1"/>
    <w:rsid w:val="00807560"/>
    <w:rsid w:val="00810546"/>
    <w:rsid w:val="00810653"/>
    <w:rsid w:val="00810935"/>
    <w:rsid w:val="00810D7B"/>
    <w:rsid w:val="00810DC0"/>
    <w:rsid w:val="00810E3C"/>
    <w:rsid w:val="00811441"/>
    <w:rsid w:val="00811799"/>
    <w:rsid w:val="00812597"/>
    <w:rsid w:val="00812786"/>
    <w:rsid w:val="008128C4"/>
    <w:rsid w:val="00813038"/>
    <w:rsid w:val="008134F1"/>
    <w:rsid w:val="008138E4"/>
    <w:rsid w:val="00813BBB"/>
    <w:rsid w:val="00814B23"/>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B89"/>
    <w:rsid w:val="0082235A"/>
    <w:rsid w:val="00822B95"/>
    <w:rsid w:val="00822EDB"/>
    <w:rsid w:val="008234DD"/>
    <w:rsid w:val="00823976"/>
    <w:rsid w:val="00823B36"/>
    <w:rsid w:val="00823C82"/>
    <w:rsid w:val="00823E43"/>
    <w:rsid w:val="00823F07"/>
    <w:rsid w:val="00824070"/>
    <w:rsid w:val="008241D8"/>
    <w:rsid w:val="008242AC"/>
    <w:rsid w:val="0082454A"/>
    <w:rsid w:val="00826094"/>
    <w:rsid w:val="008262D2"/>
    <w:rsid w:val="0082661D"/>
    <w:rsid w:val="00830151"/>
    <w:rsid w:val="0083023D"/>
    <w:rsid w:val="00830423"/>
    <w:rsid w:val="008306CF"/>
    <w:rsid w:val="0083082F"/>
    <w:rsid w:val="00830D15"/>
    <w:rsid w:val="0083111B"/>
    <w:rsid w:val="008314D1"/>
    <w:rsid w:val="0083168F"/>
    <w:rsid w:val="00831EED"/>
    <w:rsid w:val="00832056"/>
    <w:rsid w:val="00832190"/>
    <w:rsid w:val="008326E7"/>
    <w:rsid w:val="008328E3"/>
    <w:rsid w:val="00832DEB"/>
    <w:rsid w:val="00833836"/>
    <w:rsid w:val="00834161"/>
    <w:rsid w:val="00834BCD"/>
    <w:rsid w:val="00834FB3"/>
    <w:rsid w:val="00835288"/>
    <w:rsid w:val="008354B6"/>
    <w:rsid w:val="00835CC8"/>
    <w:rsid w:val="00835DBD"/>
    <w:rsid w:val="0083601A"/>
    <w:rsid w:val="00836054"/>
    <w:rsid w:val="008360FD"/>
    <w:rsid w:val="00836272"/>
    <w:rsid w:val="008362B6"/>
    <w:rsid w:val="00836D0F"/>
    <w:rsid w:val="008374FC"/>
    <w:rsid w:val="00837BEB"/>
    <w:rsid w:val="00840198"/>
    <w:rsid w:val="00840441"/>
    <w:rsid w:val="008405E0"/>
    <w:rsid w:val="00840BC5"/>
    <w:rsid w:val="00840C3A"/>
    <w:rsid w:val="00840C3C"/>
    <w:rsid w:val="00840F7F"/>
    <w:rsid w:val="00841150"/>
    <w:rsid w:val="0084199D"/>
    <w:rsid w:val="00841D85"/>
    <w:rsid w:val="00842771"/>
    <w:rsid w:val="00842B7D"/>
    <w:rsid w:val="00842B8C"/>
    <w:rsid w:val="00842D8A"/>
    <w:rsid w:val="00842ECE"/>
    <w:rsid w:val="00843CBA"/>
    <w:rsid w:val="00843EAC"/>
    <w:rsid w:val="008442D2"/>
    <w:rsid w:val="00844697"/>
    <w:rsid w:val="00844985"/>
    <w:rsid w:val="00844A9F"/>
    <w:rsid w:val="00844E9A"/>
    <w:rsid w:val="00845606"/>
    <w:rsid w:val="0084568A"/>
    <w:rsid w:val="00845BDB"/>
    <w:rsid w:val="008461BF"/>
    <w:rsid w:val="008461C8"/>
    <w:rsid w:val="008469B1"/>
    <w:rsid w:val="00846A1C"/>
    <w:rsid w:val="00846E82"/>
    <w:rsid w:val="00846F2F"/>
    <w:rsid w:val="00846F7B"/>
    <w:rsid w:val="00847A74"/>
    <w:rsid w:val="00847E54"/>
    <w:rsid w:val="00850A7B"/>
    <w:rsid w:val="00850E23"/>
    <w:rsid w:val="00850FB1"/>
    <w:rsid w:val="00850FB2"/>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777"/>
    <w:rsid w:val="008549B5"/>
    <w:rsid w:val="00854CCB"/>
    <w:rsid w:val="0085580B"/>
    <w:rsid w:val="00855C1C"/>
    <w:rsid w:val="00856043"/>
    <w:rsid w:val="008562F6"/>
    <w:rsid w:val="00856595"/>
    <w:rsid w:val="00856D8A"/>
    <w:rsid w:val="00856FC6"/>
    <w:rsid w:val="0085756E"/>
    <w:rsid w:val="008575D8"/>
    <w:rsid w:val="00860156"/>
    <w:rsid w:val="00860F01"/>
    <w:rsid w:val="00860F36"/>
    <w:rsid w:val="00861072"/>
    <w:rsid w:val="008612A8"/>
    <w:rsid w:val="008625C0"/>
    <w:rsid w:val="008629B1"/>
    <w:rsid w:val="00862B00"/>
    <w:rsid w:val="00863FA2"/>
    <w:rsid w:val="00864133"/>
    <w:rsid w:val="0086438A"/>
    <w:rsid w:val="00864BAC"/>
    <w:rsid w:val="0086518E"/>
    <w:rsid w:val="00865223"/>
    <w:rsid w:val="00865250"/>
    <w:rsid w:val="00865264"/>
    <w:rsid w:val="0086592B"/>
    <w:rsid w:val="00865D8C"/>
    <w:rsid w:val="00866142"/>
    <w:rsid w:val="0086660F"/>
    <w:rsid w:val="00866972"/>
    <w:rsid w:val="00867040"/>
    <w:rsid w:val="00867071"/>
    <w:rsid w:val="00867198"/>
    <w:rsid w:val="0086751D"/>
    <w:rsid w:val="00867794"/>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531"/>
    <w:rsid w:val="00876987"/>
    <w:rsid w:val="008777AC"/>
    <w:rsid w:val="00877A4E"/>
    <w:rsid w:val="00877F55"/>
    <w:rsid w:val="00880721"/>
    <w:rsid w:val="00880CE6"/>
    <w:rsid w:val="008811AC"/>
    <w:rsid w:val="00881444"/>
    <w:rsid w:val="00881978"/>
    <w:rsid w:val="00881C12"/>
    <w:rsid w:val="00881DA0"/>
    <w:rsid w:val="008828B3"/>
    <w:rsid w:val="00882DCD"/>
    <w:rsid w:val="00883399"/>
    <w:rsid w:val="0088368D"/>
    <w:rsid w:val="00883A3D"/>
    <w:rsid w:val="00883A43"/>
    <w:rsid w:val="00884394"/>
    <w:rsid w:val="0088475C"/>
    <w:rsid w:val="00884DE1"/>
    <w:rsid w:val="008856FD"/>
    <w:rsid w:val="00885C38"/>
    <w:rsid w:val="00886D08"/>
    <w:rsid w:val="00887157"/>
    <w:rsid w:val="00887FDF"/>
    <w:rsid w:val="00891B29"/>
    <w:rsid w:val="00892422"/>
    <w:rsid w:val="0089296D"/>
    <w:rsid w:val="008930F0"/>
    <w:rsid w:val="00893D2C"/>
    <w:rsid w:val="00893F6D"/>
    <w:rsid w:val="0089436E"/>
    <w:rsid w:val="008943A7"/>
    <w:rsid w:val="008947AD"/>
    <w:rsid w:val="00895BF3"/>
    <w:rsid w:val="008967D5"/>
    <w:rsid w:val="00896B27"/>
    <w:rsid w:val="00896B3C"/>
    <w:rsid w:val="00896D37"/>
    <w:rsid w:val="008971B1"/>
    <w:rsid w:val="00897432"/>
    <w:rsid w:val="00897E53"/>
    <w:rsid w:val="008A0382"/>
    <w:rsid w:val="008A0A31"/>
    <w:rsid w:val="008A0DA6"/>
    <w:rsid w:val="008A10A4"/>
    <w:rsid w:val="008A1600"/>
    <w:rsid w:val="008A1EBC"/>
    <w:rsid w:val="008A1FA2"/>
    <w:rsid w:val="008A2E6F"/>
    <w:rsid w:val="008A3859"/>
    <w:rsid w:val="008A40CE"/>
    <w:rsid w:val="008A443A"/>
    <w:rsid w:val="008A478A"/>
    <w:rsid w:val="008A4C9D"/>
    <w:rsid w:val="008A4FD2"/>
    <w:rsid w:val="008A50AB"/>
    <w:rsid w:val="008A5631"/>
    <w:rsid w:val="008A5701"/>
    <w:rsid w:val="008A5DC0"/>
    <w:rsid w:val="008A680B"/>
    <w:rsid w:val="008A68CE"/>
    <w:rsid w:val="008A6F20"/>
    <w:rsid w:val="008A7090"/>
    <w:rsid w:val="008A76B7"/>
    <w:rsid w:val="008B0190"/>
    <w:rsid w:val="008B041F"/>
    <w:rsid w:val="008B0629"/>
    <w:rsid w:val="008B07BC"/>
    <w:rsid w:val="008B1242"/>
    <w:rsid w:val="008B162C"/>
    <w:rsid w:val="008B165E"/>
    <w:rsid w:val="008B16CD"/>
    <w:rsid w:val="008B173A"/>
    <w:rsid w:val="008B19FD"/>
    <w:rsid w:val="008B1C67"/>
    <w:rsid w:val="008B1D0D"/>
    <w:rsid w:val="008B21AD"/>
    <w:rsid w:val="008B2795"/>
    <w:rsid w:val="008B27CF"/>
    <w:rsid w:val="008B2B3C"/>
    <w:rsid w:val="008B320A"/>
    <w:rsid w:val="008B327D"/>
    <w:rsid w:val="008B3C26"/>
    <w:rsid w:val="008B44A8"/>
    <w:rsid w:val="008B4705"/>
    <w:rsid w:val="008B4957"/>
    <w:rsid w:val="008B5D4B"/>
    <w:rsid w:val="008B6A86"/>
    <w:rsid w:val="008B70EF"/>
    <w:rsid w:val="008B7125"/>
    <w:rsid w:val="008C01D1"/>
    <w:rsid w:val="008C022C"/>
    <w:rsid w:val="008C0A2D"/>
    <w:rsid w:val="008C0F0C"/>
    <w:rsid w:val="008C1295"/>
    <w:rsid w:val="008C1E94"/>
    <w:rsid w:val="008C248C"/>
    <w:rsid w:val="008C298A"/>
    <w:rsid w:val="008C2C08"/>
    <w:rsid w:val="008C2F0D"/>
    <w:rsid w:val="008C30EB"/>
    <w:rsid w:val="008C326F"/>
    <w:rsid w:val="008C34B2"/>
    <w:rsid w:val="008C3788"/>
    <w:rsid w:val="008C3C39"/>
    <w:rsid w:val="008C46BF"/>
    <w:rsid w:val="008C48B0"/>
    <w:rsid w:val="008C50E6"/>
    <w:rsid w:val="008C541E"/>
    <w:rsid w:val="008C57A8"/>
    <w:rsid w:val="008C635B"/>
    <w:rsid w:val="008C6976"/>
    <w:rsid w:val="008C6B7D"/>
    <w:rsid w:val="008C7074"/>
    <w:rsid w:val="008C73F7"/>
    <w:rsid w:val="008C750D"/>
    <w:rsid w:val="008C7604"/>
    <w:rsid w:val="008D006B"/>
    <w:rsid w:val="008D02CD"/>
    <w:rsid w:val="008D0DFE"/>
    <w:rsid w:val="008D1038"/>
    <w:rsid w:val="008D1112"/>
    <w:rsid w:val="008D14BB"/>
    <w:rsid w:val="008D176B"/>
    <w:rsid w:val="008D196A"/>
    <w:rsid w:val="008D1A01"/>
    <w:rsid w:val="008D1F29"/>
    <w:rsid w:val="008D25B4"/>
    <w:rsid w:val="008D2835"/>
    <w:rsid w:val="008D3836"/>
    <w:rsid w:val="008D3DDA"/>
    <w:rsid w:val="008D3FF4"/>
    <w:rsid w:val="008D4678"/>
    <w:rsid w:val="008D4831"/>
    <w:rsid w:val="008D48C6"/>
    <w:rsid w:val="008D5173"/>
    <w:rsid w:val="008D53C2"/>
    <w:rsid w:val="008D53D8"/>
    <w:rsid w:val="008D5C9C"/>
    <w:rsid w:val="008D60BA"/>
    <w:rsid w:val="008D653F"/>
    <w:rsid w:val="008D67E9"/>
    <w:rsid w:val="008D6D61"/>
    <w:rsid w:val="008D73C3"/>
    <w:rsid w:val="008D73D2"/>
    <w:rsid w:val="008D78AA"/>
    <w:rsid w:val="008E09C3"/>
    <w:rsid w:val="008E0ACA"/>
    <w:rsid w:val="008E0C42"/>
    <w:rsid w:val="008E1192"/>
    <w:rsid w:val="008E13BD"/>
    <w:rsid w:val="008E182C"/>
    <w:rsid w:val="008E1C6A"/>
    <w:rsid w:val="008E20FF"/>
    <w:rsid w:val="008E272A"/>
    <w:rsid w:val="008E3521"/>
    <w:rsid w:val="008E3A2F"/>
    <w:rsid w:val="008E3AED"/>
    <w:rsid w:val="008E3C48"/>
    <w:rsid w:val="008E3CF5"/>
    <w:rsid w:val="008E3DEE"/>
    <w:rsid w:val="008E4C75"/>
    <w:rsid w:val="008E513C"/>
    <w:rsid w:val="008E56F4"/>
    <w:rsid w:val="008E69DA"/>
    <w:rsid w:val="008E7038"/>
    <w:rsid w:val="008E72DC"/>
    <w:rsid w:val="008E75BF"/>
    <w:rsid w:val="008F0837"/>
    <w:rsid w:val="008F0D04"/>
    <w:rsid w:val="008F0DD5"/>
    <w:rsid w:val="008F1113"/>
    <w:rsid w:val="008F1134"/>
    <w:rsid w:val="008F1581"/>
    <w:rsid w:val="008F15D8"/>
    <w:rsid w:val="008F160D"/>
    <w:rsid w:val="008F164D"/>
    <w:rsid w:val="008F1B20"/>
    <w:rsid w:val="008F1CA8"/>
    <w:rsid w:val="008F1D9B"/>
    <w:rsid w:val="008F1EA8"/>
    <w:rsid w:val="008F1EB5"/>
    <w:rsid w:val="008F209F"/>
    <w:rsid w:val="008F21BA"/>
    <w:rsid w:val="008F222A"/>
    <w:rsid w:val="008F27F3"/>
    <w:rsid w:val="008F29DC"/>
    <w:rsid w:val="008F2B13"/>
    <w:rsid w:val="008F2C55"/>
    <w:rsid w:val="008F320E"/>
    <w:rsid w:val="008F3684"/>
    <w:rsid w:val="008F3E98"/>
    <w:rsid w:val="008F4D07"/>
    <w:rsid w:val="008F4F70"/>
    <w:rsid w:val="008F51BB"/>
    <w:rsid w:val="008F57F6"/>
    <w:rsid w:val="008F5D76"/>
    <w:rsid w:val="008F5E15"/>
    <w:rsid w:val="008F62EF"/>
    <w:rsid w:val="008F6AA6"/>
    <w:rsid w:val="008F6D8B"/>
    <w:rsid w:val="008F6F6F"/>
    <w:rsid w:val="008F7938"/>
    <w:rsid w:val="008F7B9C"/>
    <w:rsid w:val="008F7EBE"/>
    <w:rsid w:val="009006AA"/>
    <w:rsid w:val="009012FB"/>
    <w:rsid w:val="0090161B"/>
    <w:rsid w:val="0090161D"/>
    <w:rsid w:val="009020AD"/>
    <w:rsid w:val="009020C8"/>
    <w:rsid w:val="0090215C"/>
    <w:rsid w:val="00903093"/>
    <w:rsid w:val="0090310A"/>
    <w:rsid w:val="009039C4"/>
    <w:rsid w:val="00903E34"/>
    <w:rsid w:val="00904B30"/>
    <w:rsid w:val="0090512C"/>
    <w:rsid w:val="009051FB"/>
    <w:rsid w:val="0090557C"/>
    <w:rsid w:val="0090562D"/>
    <w:rsid w:val="00905B1C"/>
    <w:rsid w:val="00905E17"/>
    <w:rsid w:val="0090633F"/>
    <w:rsid w:val="0090641A"/>
    <w:rsid w:val="00906A8C"/>
    <w:rsid w:val="0090737E"/>
    <w:rsid w:val="00907E49"/>
    <w:rsid w:val="009108E1"/>
    <w:rsid w:val="00910E84"/>
    <w:rsid w:val="00911411"/>
    <w:rsid w:val="00911B8C"/>
    <w:rsid w:val="00911DA0"/>
    <w:rsid w:val="0091226D"/>
    <w:rsid w:val="0091286D"/>
    <w:rsid w:val="00913197"/>
    <w:rsid w:val="0091353B"/>
    <w:rsid w:val="0091366D"/>
    <w:rsid w:val="00913C26"/>
    <w:rsid w:val="00914035"/>
    <w:rsid w:val="0091437D"/>
    <w:rsid w:val="00914399"/>
    <w:rsid w:val="00914496"/>
    <w:rsid w:val="009144A5"/>
    <w:rsid w:val="009145A3"/>
    <w:rsid w:val="00914882"/>
    <w:rsid w:val="009149DD"/>
    <w:rsid w:val="00914A25"/>
    <w:rsid w:val="00914E08"/>
    <w:rsid w:val="0091562C"/>
    <w:rsid w:val="00915C6E"/>
    <w:rsid w:val="00915CB5"/>
    <w:rsid w:val="00915EB0"/>
    <w:rsid w:val="009160C9"/>
    <w:rsid w:val="0091667E"/>
    <w:rsid w:val="009167E2"/>
    <w:rsid w:val="0091680A"/>
    <w:rsid w:val="00916D65"/>
    <w:rsid w:val="00916F6B"/>
    <w:rsid w:val="009178DA"/>
    <w:rsid w:val="00917990"/>
    <w:rsid w:val="00917A63"/>
    <w:rsid w:val="00917BC5"/>
    <w:rsid w:val="00917C55"/>
    <w:rsid w:val="00920649"/>
    <w:rsid w:val="00921262"/>
    <w:rsid w:val="00921320"/>
    <w:rsid w:val="00921588"/>
    <w:rsid w:val="009223FB"/>
    <w:rsid w:val="00922902"/>
    <w:rsid w:val="00922B1D"/>
    <w:rsid w:val="00922FE6"/>
    <w:rsid w:val="009231A5"/>
    <w:rsid w:val="0092343F"/>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B21"/>
    <w:rsid w:val="00930DB4"/>
    <w:rsid w:val="00930E6C"/>
    <w:rsid w:val="0093163C"/>
    <w:rsid w:val="00931682"/>
    <w:rsid w:val="0093211F"/>
    <w:rsid w:val="00932186"/>
    <w:rsid w:val="00932464"/>
    <w:rsid w:val="009325A8"/>
    <w:rsid w:val="0093296D"/>
    <w:rsid w:val="00932987"/>
    <w:rsid w:val="00933107"/>
    <w:rsid w:val="009333DC"/>
    <w:rsid w:val="009337DB"/>
    <w:rsid w:val="00933BBE"/>
    <w:rsid w:val="00934030"/>
    <w:rsid w:val="009343A4"/>
    <w:rsid w:val="009344DC"/>
    <w:rsid w:val="00934F91"/>
    <w:rsid w:val="00935767"/>
    <w:rsid w:val="00935852"/>
    <w:rsid w:val="0093657A"/>
    <w:rsid w:val="0093667C"/>
    <w:rsid w:val="009366D4"/>
    <w:rsid w:val="009367C4"/>
    <w:rsid w:val="00936CD8"/>
    <w:rsid w:val="00937069"/>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3BBA"/>
    <w:rsid w:val="009440AF"/>
    <w:rsid w:val="009441D9"/>
    <w:rsid w:val="00944627"/>
    <w:rsid w:val="00944890"/>
    <w:rsid w:val="009448F8"/>
    <w:rsid w:val="00944B8F"/>
    <w:rsid w:val="0094633A"/>
    <w:rsid w:val="009463C3"/>
    <w:rsid w:val="00946883"/>
    <w:rsid w:val="00946AE0"/>
    <w:rsid w:val="009474E7"/>
    <w:rsid w:val="00947D06"/>
    <w:rsid w:val="009501B4"/>
    <w:rsid w:val="0095039D"/>
    <w:rsid w:val="009507B3"/>
    <w:rsid w:val="0095090A"/>
    <w:rsid w:val="00950CAC"/>
    <w:rsid w:val="00951176"/>
    <w:rsid w:val="00951C14"/>
    <w:rsid w:val="00951D98"/>
    <w:rsid w:val="00951E83"/>
    <w:rsid w:val="0095270C"/>
    <w:rsid w:val="00952D62"/>
    <w:rsid w:val="00953AB5"/>
    <w:rsid w:val="00953C13"/>
    <w:rsid w:val="00953E5F"/>
    <w:rsid w:val="009543C0"/>
    <w:rsid w:val="009544DF"/>
    <w:rsid w:val="00954BBF"/>
    <w:rsid w:val="00954CB6"/>
    <w:rsid w:val="00954CE2"/>
    <w:rsid w:val="009556AA"/>
    <w:rsid w:val="009557AE"/>
    <w:rsid w:val="009557EA"/>
    <w:rsid w:val="00955A05"/>
    <w:rsid w:val="00955C91"/>
    <w:rsid w:val="00955DC8"/>
    <w:rsid w:val="00955F7B"/>
    <w:rsid w:val="009567AC"/>
    <w:rsid w:val="00956CC1"/>
    <w:rsid w:val="00956E59"/>
    <w:rsid w:val="00957AC8"/>
    <w:rsid w:val="0096006A"/>
    <w:rsid w:val="009606FD"/>
    <w:rsid w:val="00960E05"/>
    <w:rsid w:val="00961073"/>
    <w:rsid w:val="0096184C"/>
    <w:rsid w:val="009619E6"/>
    <w:rsid w:val="00961C92"/>
    <w:rsid w:val="00961D25"/>
    <w:rsid w:val="00962004"/>
    <w:rsid w:val="00962749"/>
    <w:rsid w:val="0096283A"/>
    <w:rsid w:val="00962D3D"/>
    <w:rsid w:val="00962F63"/>
    <w:rsid w:val="00962FD6"/>
    <w:rsid w:val="009635FF"/>
    <w:rsid w:val="00963633"/>
    <w:rsid w:val="00963799"/>
    <w:rsid w:val="00963E5A"/>
    <w:rsid w:val="009645CF"/>
    <w:rsid w:val="00964A12"/>
    <w:rsid w:val="009660E5"/>
    <w:rsid w:val="0096612D"/>
    <w:rsid w:val="009661FC"/>
    <w:rsid w:val="0096631B"/>
    <w:rsid w:val="00966977"/>
    <w:rsid w:val="00966B19"/>
    <w:rsid w:val="00966F1B"/>
    <w:rsid w:val="009672EC"/>
    <w:rsid w:val="00967BB9"/>
    <w:rsid w:val="00967E84"/>
    <w:rsid w:val="00970EB8"/>
    <w:rsid w:val="00970FB3"/>
    <w:rsid w:val="00971228"/>
    <w:rsid w:val="00971857"/>
    <w:rsid w:val="00971C40"/>
    <w:rsid w:val="0097244E"/>
    <w:rsid w:val="0097264F"/>
    <w:rsid w:val="009727C2"/>
    <w:rsid w:val="00972B22"/>
    <w:rsid w:val="00973445"/>
    <w:rsid w:val="00973733"/>
    <w:rsid w:val="0097384D"/>
    <w:rsid w:val="009749AD"/>
    <w:rsid w:val="009750CE"/>
    <w:rsid w:val="00975816"/>
    <w:rsid w:val="00975E09"/>
    <w:rsid w:val="00976910"/>
    <w:rsid w:val="00976DCD"/>
    <w:rsid w:val="00976EDA"/>
    <w:rsid w:val="009772CA"/>
    <w:rsid w:val="009772D1"/>
    <w:rsid w:val="009772DA"/>
    <w:rsid w:val="0097747C"/>
    <w:rsid w:val="0098069D"/>
    <w:rsid w:val="00980A59"/>
    <w:rsid w:val="00980BA8"/>
    <w:rsid w:val="009810FB"/>
    <w:rsid w:val="00981316"/>
    <w:rsid w:val="009814F8"/>
    <w:rsid w:val="009819FE"/>
    <w:rsid w:val="00982109"/>
    <w:rsid w:val="00982E94"/>
    <w:rsid w:val="0098306A"/>
    <w:rsid w:val="00983265"/>
    <w:rsid w:val="00983505"/>
    <w:rsid w:val="00984489"/>
    <w:rsid w:val="0098489A"/>
    <w:rsid w:val="0098490F"/>
    <w:rsid w:val="0098552E"/>
    <w:rsid w:val="00985622"/>
    <w:rsid w:val="00986786"/>
    <w:rsid w:val="00986D0F"/>
    <w:rsid w:val="00986FE2"/>
    <w:rsid w:val="009875A2"/>
    <w:rsid w:val="00987A25"/>
    <w:rsid w:val="00987A4B"/>
    <w:rsid w:val="00987AE4"/>
    <w:rsid w:val="00987CE4"/>
    <w:rsid w:val="00987D06"/>
    <w:rsid w:val="00987F6E"/>
    <w:rsid w:val="00990210"/>
    <w:rsid w:val="00990212"/>
    <w:rsid w:val="00990A2E"/>
    <w:rsid w:val="00990D38"/>
    <w:rsid w:val="00991234"/>
    <w:rsid w:val="00991448"/>
    <w:rsid w:val="00991AB2"/>
    <w:rsid w:val="00991CB3"/>
    <w:rsid w:val="0099209A"/>
    <w:rsid w:val="00992478"/>
    <w:rsid w:val="009926DE"/>
    <w:rsid w:val="00992FD7"/>
    <w:rsid w:val="0099311B"/>
    <w:rsid w:val="0099311D"/>
    <w:rsid w:val="009931B5"/>
    <w:rsid w:val="009933E4"/>
    <w:rsid w:val="0099347A"/>
    <w:rsid w:val="0099382C"/>
    <w:rsid w:val="00993DC6"/>
    <w:rsid w:val="00994293"/>
    <w:rsid w:val="009947C7"/>
    <w:rsid w:val="00994F58"/>
    <w:rsid w:val="009953A7"/>
    <w:rsid w:val="009955F2"/>
    <w:rsid w:val="00995B87"/>
    <w:rsid w:val="00995EA7"/>
    <w:rsid w:val="00995F2D"/>
    <w:rsid w:val="00996230"/>
    <w:rsid w:val="00996BA8"/>
    <w:rsid w:val="00996FC9"/>
    <w:rsid w:val="009970F9"/>
    <w:rsid w:val="00997295"/>
    <w:rsid w:val="009973BB"/>
    <w:rsid w:val="009975EC"/>
    <w:rsid w:val="00997A43"/>
    <w:rsid w:val="00997C45"/>
    <w:rsid w:val="009A03A7"/>
    <w:rsid w:val="009A044E"/>
    <w:rsid w:val="009A067C"/>
    <w:rsid w:val="009A1227"/>
    <w:rsid w:val="009A1307"/>
    <w:rsid w:val="009A158A"/>
    <w:rsid w:val="009A1E9B"/>
    <w:rsid w:val="009A2220"/>
    <w:rsid w:val="009A2248"/>
    <w:rsid w:val="009A269C"/>
    <w:rsid w:val="009A2AD3"/>
    <w:rsid w:val="009A2C3A"/>
    <w:rsid w:val="009A2D3C"/>
    <w:rsid w:val="009A36B2"/>
    <w:rsid w:val="009A38EA"/>
    <w:rsid w:val="009A3E8B"/>
    <w:rsid w:val="009A3FA1"/>
    <w:rsid w:val="009A407E"/>
    <w:rsid w:val="009A4373"/>
    <w:rsid w:val="009A4971"/>
    <w:rsid w:val="009A4AC9"/>
    <w:rsid w:val="009A4D08"/>
    <w:rsid w:val="009A50B6"/>
    <w:rsid w:val="009A5168"/>
    <w:rsid w:val="009A52F8"/>
    <w:rsid w:val="009A55D4"/>
    <w:rsid w:val="009A57DC"/>
    <w:rsid w:val="009A5BBF"/>
    <w:rsid w:val="009A5BCC"/>
    <w:rsid w:val="009A5D58"/>
    <w:rsid w:val="009A5E4F"/>
    <w:rsid w:val="009A6453"/>
    <w:rsid w:val="009A7350"/>
    <w:rsid w:val="009A76FE"/>
    <w:rsid w:val="009A7BBC"/>
    <w:rsid w:val="009A7CDC"/>
    <w:rsid w:val="009B0036"/>
    <w:rsid w:val="009B02F4"/>
    <w:rsid w:val="009B0519"/>
    <w:rsid w:val="009B051D"/>
    <w:rsid w:val="009B0738"/>
    <w:rsid w:val="009B08E4"/>
    <w:rsid w:val="009B0977"/>
    <w:rsid w:val="009B09EA"/>
    <w:rsid w:val="009B15F6"/>
    <w:rsid w:val="009B1713"/>
    <w:rsid w:val="009B1721"/>
    <w:rsid w:val="009B18F4"/>
    <w:rsid w:val="009B1E96"/>
    <w:rsid w:val="009B23DC"/>
    <w:rsid w:val="009B25F5"/>
    <w:rsid w:val="009B27F7"/>
    <w:rsid w:val="009B2E77"/>
    <w:rsid w:val="009B2FC4"/>
    <w:rsid w:val="009B3383"/>
    <w:rsid w:val="009B367E"/>
    <w:rsid w:val="009B3F96"/>
    <w:rsid w:val="009B45A3"/>
    <w:rsid w:val="009B4608"/>
    <w:rsid w:val="009B462D"/>
    <w:rsid w:val="009B46C0"/>
    <w:rsid w:val="009B479F"/>
    <w:rsid w:val="009B4DFD"/>
    <w:rsid w:val="009B50FB"/>
    <w:rsid w:val="009B536C"/>
    <w:rsid w:val="009B62F2"/>
    <w:rsid w:val="009B6D9A"/>
    <w:rsid w:val="009B753E"/>
    <w:rsid w:val="009B78BC"/>
    <w:rsid w:val="009C0765"/>
    <w:rsid w:val="009C0F63"/>
    <w:rsid w:val="009C114E"/>
    <w:rsid w:val="009C12E9"/>
    <w:rsid w:val="009C1784"/>
    <w:rsid w:val="009C2054"/>
    <w:rsid w:val="009C24EB"/>
    <w:rsid w:val="009C2594"/>
    <w:rsid w:val="009C2A6B"/>
    <w:rsid w:val="009C2C3F"/>
    <w:rsid w:val="009C2DE0"/>
    <w:rsid w:val="009C2E5A"/>
    <w:rsid w:val="009C30A3"/>
    <w:rsid w:val="009C318D"/>
    <w:rsid w:val="009C341D"/>
    <w:rsid w:val="009C3B6A"/>
    <w:rsid w:val="009C3FD0"/>
    <w:rsid w:val="009C451B"/>
    <w:rsid w:val="009C547C"/>
    <w:rsid w:val="009C5806"/>
    <w:rsid w:val="009C5F2F"/>
    <w:rsid w:val="009C6341"/>
    <w:rsid w:val="009C653D"/>
    <w:rsid w:val="009C68D1"/>
    <w:rsid w:val="009C6A9E"/>
    <w:rsid w:val="009C6C06"/>
    <w:rsid w:val="009C721E"/>
    <w:rsid w:val="009C7B7E"/>
    <w:rsid w:val="009C7E43"/>
    <w:rsid w:val="009D0188"/>
    <w:rsid w:val="009D06E2"/>
    <w:rsid w:val="009D0ADA"/>
    <w:rsid w:val="009D0CF2"/>
    <w:rsid w:val="009D1292"/>
    <w:rsid w:val="009D192F"/>
    <w:rsid w:val="009D1F8D"/>
    <w:rsid w:val="009D1FAB"/>
    <w:rsid w:val="009D2787"/>
    <w:rsid w:val="009D2C24"/>
    <w:rsid w:val="009D3E39"/>
    <w:rsid w:val="009D4399"/>
    <w:rsid w:val="009D444A"/>
    <w:rsid w:val="009D464E"/>
    <w:rsid w:val="009D4E74"/>
    <w:rsid w:val="009D4F20"/>
    <w:rsid w:val="009D4F9E"/>
    <w:rsid w:val="009D56E3"/>
    <w:rsid w:val="009D59A8"/>
    <w:rsid w:val="009D5B81"/>
    <w:rsid w:val="009D62F2"/>
    <w:rsid w:val="009D6BBC"/>
    <w:rsid w:val="009D7B2B"/>
    <w:rsid w:val="009E0201"/>
    <w:rsid w:val="009E05D6"/>
    <w:rsid w:val="009E0DD4"/>
    <w:rsid w:val="009E12C8"/>
    <w:rsid w:val="009E13D7"/>
    <w:rsid w:val="009E1E3D"/>
    <w:rsid w:val="009E202C"/>
    <w:rsid w:val="009E28B9"/>
    <w:rsid w:val="009E2E3B"/>
    <w:rsid w:val="009E3980"/>
    <w:rsid w:val="009E3B55"/>
    <w:rsid w:val="009E3E89"/>
    <w:rsid w:val="009E43F8"/>
    <w:rsid w:val="009E4599"/>
    <w:rsid w:val="009E469A"/>
    <w:rsid w:val="009E4D02"/>
    <w:rsid w:val="009E5646"/>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38CE"/>
    <w:rsid w:val="009F3C50"/>
    <w:rsid w:val="009F3FDB"/>
    <w:rsid w:val="009F421A"/>
    <w:rsid w:val="009F425D"/>
    <w:rsid w:val="009F42B3"/>
    <w:rsid w:val="009F48AA"/>
    <w:rsid w:val="009F4E34"/>
    <w:rsid w:val="009F532D"/>
    <w:rsid w:val="009F583B"/>
    <w:rsid w:val="009F5ABB"/>
    <w:rsid w:val="009F6253"/>
    <w:rsid w:val="009F6ACC"/>
    <w:rsid w:val="009F6B34"/>
    <w:rsid w:val="009F6B67"/>
    <w:rsid w:val="009F7087"/>
    <w:rsid w:val="009F76C4"/>
    <w:rsid w:val="009F7DA5"/>
    <w:rsid w:val="009F7F00"/>
    <w:rsid w:val="00A00313"/>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C39"/>
    <w:rsid w:val="00A04F4B"/>
    <w:rsid w:val="00A04FFB"/>
    <w:rsid w:val="00A0585A"/>
    <w:rsid w:val="00A05CBF"/>
    <w:rsid w:val="00A05E5A"/>
    <w:rsid w:val="00A0695D"/>
    <w:rsid w:val="00A06E12"/>
    <w:rsid w:val="00A07267"/>
    <w:rsid w:val="00A10AC7"/>
    <w:rsid w:val="00A10AEE"/>
    <w:rsid w:val="00A10D9D"/>
    <w:rsid w:val="00A10DA5"/>
    <w:rsid w:val="00A11319"/>
    <w:rsid w:val="00A11A60"/>
    <w:rsid w:val="00A1248A"/>
    <w:rsid w:val="00A12A2D"/>
    <w:rsid w:val="00A12E81"/>
    <w:rsid w:val="00A13830"/>
    <w:rsid w:val="00A13915"/>
    <w:rsid w:val="00A13C4E"/>
    <w:rsid w:val="00A13F87"/>
    <w:rsid w:val="00A14560"/>
    <w:rsid w:val="00A14628"/>
    <w:rsid w:val="00A14D7C"/>
    <w:rsid w:val="00A14E53"/>
    <w:rsid w:val="00A152D4"/>
    <w:rsid w:val="00A15418"/>
    <w:rsid w:val="00A16B7B"/>
    <w:rsid w:val="00A178E7"/>
    <w:rsid w:val="00A178FD"/>
    <w:rsid w:val="00A17F7B"/>
    <w:rsid w:val="00A20195"/>
    <w:rsid w:val="00A2025F"/>
    <w:rsid w:val="00A20303"/>
    <w:rsid w:val="00A2032E"/>
    <w:rsid w:val="00A20829"/>
    <w:rsid w:val="00A20C72"/>
    <w:rsid w:val="00A225C6"/>
    <w:rsid w:val="00A23ADE"/>
    <w:rsid w:val="00A23B92"/>
    <w:rsid w:val="00A23DE2"/>
    <w:rsid w:val="00A23F13"/>
    <w:rsid w:val="00A240BF"/>
    <w:rsid w:val="00A242E1"/>
    <w:rsid w:val="00A24643"/>
    <w:rsid w:val="00A249A0"/>
    <w:rsid w:val="00A249F7"/>
    <w:rsid w:val="00A24B24"/>
    <w:rsid w:val="00A24B51"/>
    <w:rsid w:val="00A24C80"/>
    <w:rsid w:val="00A24E4F"/>
    <w:rsid w:val="00A252C3"/>
    <w:rsid w:val="00A26FE8"/>
    <w:rsid w:val="00A2728D"/>
    <w:rsid w:val="00A27F83"/>
    <w:rsid w:val="00A3027C"/>
    <w:rsid w:val="00A30A76"/>
    <w:rsid w:val="00A30E02"/>
    <w:rsid w:val="00A30EB9"/>
    <w:rsid w:val="00A31367"/>
    <w:rsid w:val="00A3186F"/>
    <w:rsid w:val="00A32CAE"/>
    <w:rsid w:val="00A3371D"/>
    <w:rsid w:val="00A33C2B"/>
    <w:rsid w:val="00A341C0"/>
    <w:rsid w:val="00A348D3"/>
    <w:rsid w:val="00A3523E"/>
    <w:rsid w:val="00A352BC"/>
    <w:rsid w:val="00A35C4E"/>
    <w:rsid w:val="00A3673A"/>
    <w:rsid w:val="00A36884"/>
    <w:rsid w:val="00A3707D"/>
    <w:rsid w:val="00A37822"/>
    <w:rsid w:val="00A37BB1"/>
    <w:rsid w:val="00A37C8C"/>
    <w:rsid w:val="00A37DB5"/>
    <w:rsid w:val="00A37E59"/>
    <w:rsid w:val="00A37FEC"/>
    <w:rsid w:val="00A40757"/>
    <w:rsid w:val="00A4079A"/>
    <w:rsid w:val="00A40A62"/>
    <w:rsid w:val="00A40BF6"/>
    <w:rsid w:val="00A40C5B"/>
    <w:rsid w:val="00A40D9E"/>
    <w:rsid w:val="00A40E17"/>
    <w:rsid w:val="00A40FEF"/>
    <w:rsid w:val="00A412B4"/>
    <w:rsid w:val="00A415A9"/>
    <w:rsid w:val="00A41767"/>
    <w:rsid w:val="00A417AF"/>
    <w:rsid w:val="00A41830"/>
    <w:rsid w:val="00A42538"/>
    <w:rsid w:val="00A42AAE"/>
    <w:rsid w:val="00A42BE2"/>
    <w:rsid w:val="00A43680"/>
    <w:rsid w:val="00A43CB2"/>
    <w:rsid w:val="00A44286"/>
    <w:rsid w:val="00A4460E"/>
    <w:rsid w:val="00A446ED"/>
    <w:rsid w:val="00A44794"/>
    <w:rsid w:val="00A448EF"/>
    <w:rsid w:val="00A44E0A"/>
    <w:rsid w:val="00A44F16"/>
    <w:rsid w:val="00A4514A"/>
    <w:rsid w:val="00A4544B"/>
    <w:rsid w:val="00A45793"/>
    <w:rsid w:val="00A45AAA"/>
    <w:rsid w:val="00A45D60"/>
    <w:rsid w:val="00A4612A"/>
    <w:rsid w:val="00A461A9"/>
    <w:rsid w:val="00A463B8"/>
    <w:rsid w:val="00A46541"/>
    <w:rsid w:val="00A473A0"/>
    <w:rsid w:val="00A47613"/>
    <w:rsid w:val="00A50017"/>
    <w:rsid w:val="00A5097F"/>
    <w:rsid w:val="00A50A2F"/>
    <w:rsid w:val="00A517D9"/>
    <w:rsid w:val="00A51A64"/>
    <w:rsid w:val="00A51A85"/>
    <w:rsid w:val="00A53E27"/>
    <w:rsid w:val="00A543EB"/>
    <w:rsid w:val="00A54707"/>
    <w:rsid w:val="00A5527F"/>
    <w:rsid w:val="00A555A6"/>
    <w:rsid w:val="00A555DC"/>
    <w:rsid w:val="00A556DE"/>
    <w:rsid w:val="00A55B03"/>
    <w:rsid w:val="00A55DC7"/>
    <w:rsid w:val="00A56028"/>
    <w:rsid w:val="00A562E6"/>
    <w:rsid w:val="00A56DCA"/>
    <w:rsid w:val="00A56EB0"/>
    <w:rsid w:val="00A57135"/>
    <w:rsid w:val="00A57514"/>
    <w:rsid w:val="00A57824"/>
    <w:rsid w:val="00A606AE"/>
    <w:rsid w:val="00A608D2"/>
    <w:rsid w:val="00A60A7C"/>
    <w:rsid w:val="00A60AD2"/>
    <w:rsid w:val="00A60DB5"/>
    <w:rsid w:val="00A60DE3"/>
    <w:rsid w:val="00A60EDD"/>
    <w:rsid w:val="00A61E4C"/>
    <w:rsid w:val="00A61F3B"/>
    <w:rsid w:val="00A62F1B"/>
    <w:rsid w:val="00A63118"/>
    <w:rsid w:val="00A63947"/>
    <w:rsid w:val="00A63F11"/>
    <w:rsid w:val="00A64063"/>
    <w:rsid w:val="00A64B40"/>
    <w:rsid w:val="00A64DD4"/>
    <w:rsid w:val="00A6526E"/>
    <w:rsid w:val="00A6574A"/>
    <w:rsid w:val="00A65B44"/>
    <w:rsid w:val="00A66962"/>
    <w:rsid w:val="00A66988"/>
    <w:rsid w:val="00A66C6F"/>
    <w:rsid w:val="00A66F0B"/>
    <w:rsid w:val="00A67BA0"/>
    <w:rsid w:val="00A70049"/>
    <w:rsid w:val="00A700D2"/>
    <w:rsid w:val="00A71831"/>
    <w:rsid w:val="00A72295"/>
    <w:rsid w:val="00A72310"/>
    <w:rsid w:val="00A72474"/>
    <w:rsid w:val="00A72611"/>
    <w:rsid w:val="00A72FE5"/>
    <w:rsid w:val="00A73091"/>
    <w:rsid w:val="00A73156"/>
    <w:rsid w:val="00A7328B"/>
    <w:rsid w:val="00A73DA1"/>
    <w:rsid w:val="00A73EF0"/>
    <w:rsid w:val="00A74112"/>
    <w:rsid w:val="00A74B3D"/>
    <w:rsid w:val="00A7504B"/>
    <w:rsid w:val="00A7535E"/>
    <w:rsid w:val="00A75A7C"/>
    <w:rsid w:val="00A76160"/>
    <w:rsid w:val="00A76521"/>
    <w:rsid w:val="00A76E0F"/>
    <w:rsid w:val="00A77154"/>
    <w:rsid w:val="00A77462"/>
    <w:rsid w:val="00A775F1"/>
    <w:rsid w:val="00A7792B"/>
    <w:rsid w:val="00A77A11"/>
    <w:rsid w:val="00A77E37"/>
    <w:rsid w:val="00A8034E"/>
    <w:rsid w:val="00A80774"/>
    <w:rsid w:val="00A80BD2"/>
    <w:rsid w:val="00A80E6F"/>
    <w:rsid w:val="00A81005"/>
    <w:rsid w:val="00A81543"/>
    <w:rsid w:val="00A81A39"/>
    <w:rsid w:val="00A825FF"/>
    <w:rsid w:val="00A8294F"/>
    <w:rsid w:val="00A8297B"/>
    <w:rsid w:val="00A8413F"/>
    <w:rsid w:val="00A841C9"/>
    <w:rsid w:val="00A84E08"/>
    <w:rsid w:val="00A851FA"/>
    <w:rsid w:val="00A85204"/>
    <w:rsid w:val="00A85602"/>
    <w:rsid w:val="00A85A19"/>
    <w:rsid w:val="00A8631F"/>
    <w:rsid w:val="00A86452"/>
    <w:rsid w:val="00A87611"/>
    <w:rsid w:val="00A87D49"/>
    <w:rsid w:val="00A90030"/>
    <w:rsid w:val="00A90046"/>
    <w:rsid w:val="00A90542"/>
    <w:rsid w:val="00A909B5"/>
    <w:rsid w:val="00A90A3E"/>
    <w:rsid w:val="00A90AD0"/>
    <w:rsid w:val="00A9101B"/>
    <w:rsid w:val="00A91662"/>
    <w:rsid w:val="00A91A56"/>
    <w:rsid w:val="00A91A5F"/>
    <w:rsid w:val="00A91FD2"/>
    <w:rsid w:val="00A930DF"/>
    <w:rsid w:val="00A93845"/>
    <w:rsid w:val="00A93DD6"/>
    <w:rsid w:val="00A93E60"/>
    <w:rsid w:val="00A94AD1"/>
    <w:rsid w:val="00A94ED5"/>
    <w:rsid w:val="00A9525F"/>
    <w:rsid w:val="00A953AC"/>
    <w:rsid w:val="00A95437"/>
    <w:rsid w:val="00A95523"/>
    <w:rsid w:val="00A95852"/>
    <w:rsid w:val="00A95BDD"/>
    <w:rsid w:val="00A95C9C"/>
    <w:rsid w:val="00A96705"/>
    <w:rsid w:val="00A968C9"/>
    <w:rsid w:val="00A9696C"/>
    <w:rsid w:val="00A977AE"/>
    <w:rsid w:val="00A977B0"/>
    <w:rsid w:val="00AA07C3"/>
    <w:rsid w:val="00AA0987"/>
    <w:rsid w:val="00AA0B24"/>
    <w:rsid w:val="00AA1283"/>
    <w:rsid w:val="00AA1E72"/>
    <w:rsid w:val="00AA274A"/>
    <w:rsid w:val="00AA2948"/>
    <w:rsid w:val="00AA2F11"/>
    <w:rsid w:val="00AA3595"/>
    <w:rsid w:val="00AA3F6D"/>
    <w:rsid w:val="00AA3FD0"/>
    <w:rsid w:val="00AA4582"/>
    <w:rsid w:val="00AA5177"/>
    <w:rsid w:val="00AA54D3"/>
    <w:rsid w:val="00AA55C7"/>
    <w:rsid w:val="00AA5D97"/>
    <w:rsid w:val="00AA6367"/>
    <w:rsid w:val="00AA6792"/>
    <w:rsid w:val="00AA67FF"/>
    <w:rsid w:val="00AA6B21"/>
    <w:rsid w:val="00AA6F87"/>
    <w:rsid w:val="00AA7215"/>
    <w:rsid w:val="00AA7CAF"/>
    <w:rsid w:val="00AB0046"/>
    <w:rsid w:val="00AB08CE"/>
    <w:rsid w:val="00AB0C38"/>
    <w:rsid w:val="00AB1750"/>
    <w:rsid w:val="00AB1878"/>
    <w:rsid w:val="00AB1899"/>
    <w:rsid w:val="00AB1C75"/>
    <w:rsid w:val="00AB1CB6"/>
    <w:rsid w:val="00AB1DE7"/>
    <w:rsid w:val="00AB1E7B"/>
    <w:rsid w:val="00AB241B"/>
    <w:rsid w:val="00AB24F1"/>
    <w:rsid w:val="00AB2F28"/>
    <w:rsid w:val="00AB365E"/>
    <w:rsid w:val="00AB39E2"/>
    <w:rsid w:val="00AB443B"/>
    <w:rsid w:val="00AB44CD"/>
    <w:rsid w:val="00AB4667"/>
    <w:rsid w:val="00AB46C3"/>
    <w:rsid w:val="00AB4E1B"/>
    <w:rsid w:val="00AB4EA7"/>
    <w:rsid w:val="00AB4FEF"/>
    <w:rsid w:val="00AB57F6"/>
    <w:rsid w:val="00AB5AF3"/>
    <w:rsid w:val="00AB5DEE"/>
    <w:rsid w:val="00AB5E4E"/>
    <w:rsid w:val="00AB62E6"/>
    <w:rsid w:val="00AB638D"/>
    <w:rsid w:val="00AB6B43"/>
    <w:rsid w:val="00AB6E51"/>
    <w:rsid w:val="00AB76E0"/>
    <w:rsid w:val="00AB7A71"/>
    <w:rsid w:val="00AB7C65"/>
    <w:rsid w:val="00AC0076"/>
    <w:rsid w:val="00AC0A98"/>
    <w:rsid w:val="00AC0D24"/>
    <w:rsid w:val="00AC14EC"/>
    <w:rsid w:val="00AC1729"/>
    <w:rsid w:val="00AC2954"/>
    <w:rsid w:val="00AC2E5B"/>
    <w:rsid w:val="00AC3200"/>
    <w:rsid w:val="00AC3300"/>
    <w:rsid w:val="00AC3F86"/>
    <w:rsid w:val="00AC414B"/>
    <w:rsid w:val="00AC41AA"/>
    <w:rsid w:val="00AC420C"/>
    <w:rsid w:val="00AC4342"/>
    <w:rsid w:val="00AC4508"/>
    <w:rsid w:val="00AC49A6"/>
    <w:rsid w:val="00AC4BF9"/>
    <w:rsid w:val="00AC50F2"/>
    <w:rsid w:val="00AC535C"/>
    <w:rsid w:val="00AC539F"/>
    <w:rsid w:val="00AC559C"/>
    <w:rsid w:val="00AC563F"/>
    <w:rsid w:val="00AC6147"/>
    <w:rsid w:val="00AC6261"/>
    <w:rsid w:val="00AC63A4"/>
    <w:rsid w:val="00AC645F"/>
    <w:rsid w:val="00AC6DDB"/>
    <w:rsid w:val="00AC779C"/>
    <w:rsid w:val="00AD0275"/>
    <w:rsid w:val="00AD06C1"/>
    <w:rsid w:val="00AD0B87"/>
    <w:rsid w:val="00AD119D"/>
    <w:rsid w:val="00AD12AC"/>
    <w:rsid w:val="00AD1536"/>
    <w:rsid w:val="00AD1C9E"/>
    <w:rsid w:val="00AD27B4"/>
    <w:rsid w:val="00AD3222"/>
    <w:rsid w:val="00AD32F7"/>
    <w:rsid w:val="00AD3A95"/>
    <w:rsid w:val="00AD3DB0"/>
    <w:rsid w:val="00AD44E5"/>
    <w:rsid w:val="00AD4519"/>
    <w:rsid w:val="00AD481E"/>
    <w:rsid w:val="00AD50E2"/>
    <w:rsid w:val="00AD584B"/>
    <w:rsid w:val="00AD5DC0"/>
    <w:rsid w:val="00AD5ED6"/>
    <w:rsid w:val="00AD5F24"/>
    <w:rsid w:val="00AD5FD7"/>
    <w:rsid w:val="00AD6061"/>
    <w:rsid w:val="00AD63D3"/>
    <w:rsid w:val="00AD65BA"/>
    <w:rsid w:val="00AD6851"/>
    <w:rsid w:val="00AD6B5D"/>
    <w:rsid w:val="00AD7027"/>
    <w:rsid w:val="00AD71D9"/>
    <w:rsid w:val="00AD7E85"/>
    <w:rsid w:val="00AE0B67"/>
    <w:rsid w:val="00AE0EE7"/>
    <w:rsid w:val="00AE11ED"/>
    <w:rsid w:val="00AE120E"/>
    <w:rsid w:val="00AE17A1"/>
    <w:rsid w:val="00AE22BE"/>
    <w:rsid w:val="00AE244F"/>
    <w:rsid w:val="00AE24A2"/>
    <w:rsid w:val="00AE2AD5"/>
    <w:rsid w:val="00AE35CD"/>
    <w:rsid w:val="00AE44BF"/>
    <w:rsid w:val="00AE5544"/>
    <w:rsid w:val="00AE6D16"/>
    <w:rsid w:val="00AE6E66"/>
    <w:rsid w:val="00AE70AA"/>
    <w:rsid w:val="00AE73F3"/>
    <w:rsid w:val="00AF0271"/>
    <w:rsid w:val="00AF099F"/>
    <w:rsid w:val="00AF1218"/>
    <w:rsid w:val="00AF1248"/>
    <w:rsid w:val="00AF12CD"/>
    <w:rsid w:val="00AF164B"/>
    <w:rsid w:val="00AF16F5"/>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6AD"/>
    <w:rsid w:val="00AF489E"/>
    <w:rsid w:val="00AF4B35"/>
    <w:rsid w:val="00AF5E98"/>
    <w:rsid w:val="00AF5ED0"/>
    <w:rsid w:val="00AF68D2"/>
    <w:rsid w:val="00AF732C"/>
    <w:rsid w:val="00AF74C8"/>
    <w:rsid w:val="00AF7B4A"/>
    <w:rsid w:val="00AF7C95"/>
    <w:rsid w:val="00AF7DE7"/>
    <w:rsid w:val="00B00085"/>
    <w:rsid w:val="00B00966"/>
    <w:rsid w:val="00B00CC1"/>
    <w:rsid w:val="00B00DE8"/>
    <w:rsid w:val="00B010C7"/>
    <w:rsid w:val="00B011F2"/>
    <w:rsid w:val="00B012DD"/>
    <w:rsid w:val="00B019A1"/>
    <w:rsid w:val="00B01EA9"/>
    <w:rsid w:val="00B0214A"/>
    <w:rsid w:val="00B0247F"/>
    <w:rsid w:val="00B02711"/>
    <w:rsid w:val="00B02A41"/>
    <w:rsid w:val="00B02B0D"/>
    <w:rsid w:val="00B0343C"/>
    <w:rsid w:val="00B036E0"/>
    <w:rsid w:val="00B039F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8A9"/>
    <w:rsid w:val="00B07CFD"/>
    <w:rsid w:val="00B100AC"/>
    <w:rsid w:val="00B103A6"/>
    <w:rsid w:val="00B1053E"/>
    <w:rsid w:val="00B10A61"/>
    <w:rsid w:val="00B10E27"/>
    <w:rsid w:val="00B110AB"/>
    <w:rsid w:val="00B110C1"/>
    <w:rsid w:val="00B110DB"/>
    <w:rsid w:val="00B111AA"/>
    <w:rsid w:val="00B116D4"/>
    <w:rsid w:val="00B12935"/>
    <w:rsid w:val="00B129B7"/>
    <w:rsid w:val="00B12B2D"/>
    <w:rsid w:val="00B13128"/>
    <w:rsid w:val="00B13721"/>
    <w:rsid w:val="00B139AE"/>
    <w:rsid w:val="00B13C4B"/>
    <w:rsid w:val="00B14EA1"/>
    <w:rsid w:val="00B16262"/>
    <w:rsid w:val="00B16A1D"/>
    <w:rsid w:val="00B16BE0"/>
    <w:rsid w:val="00B16C80"/>
    <w:rsid w:val="00B16D2E"/>
    <w:rsid w:val="00B170A3"/>
    <w:rsid w:val="00B175E9"/>
    <w:rsid w:val="00B1783A"/>
    <w:rsid w:val="00B17ADD"/>
    <w:rsid w:val="00B17B02"/>
    <w:rsid w:val="00B17DB6"/>
    <w:rsid w:val="00B17EEC"/>
    <w:rsid w:val="00B20173"/>
    <w:rsid w:val="00B201FA"/>
    <w:rsid w:val="00B20366"/>
    <w:rsid w:val="00B209F4"/>
    <w:rsid w:val="00B20BB9"/>
    <w:rsid w:val="00B20F01"/>
    <w:rsid w:val="00B2122C"/>
    <w:rsid w:val="00B21242"/>
    <w:rsid w:val="00B213AF"/>
    <w:rsid w:val="00B21E9A"/>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5485"/>
    <w:rsid w:val="00B2623A"/>
    <w:rsid w:val="00B26519"/>
    <w:rsid w:val="00B26E23"/>
    <w:rsid w:val="00B26E68"/>
    <w:rsid w:val="00B2757E"/>
    <w:rsid w:val="00B27B66"/>
    <w:rsid w:val="00B3002A"/>
    <w:rsid w:val="00B30909"/>
    <w:rsid w:val="00B30A94"/>
    <w:rsid w:val="00B30B56"/>
    <w:rsid w:val="00B30BDE"/>
    <w:rsid w:val="00B30CDD"/>
    <w:rsid w:val="00B30D6F"/>
    <w:rsid w:val="00B30FF5"/>
    <w:rsid w:val="00B31061"/>
    <w:rsid w:val="00B31322"/>
    <w:rsid w:val="00B31606"/>
    <w:rsid w:val="00B31D49"/>
    <w:rsid w:val="00B32126"/>
    <w:rsid w:val="00B324DE"/>
    <w:rsid w:val="00B329C7"/>
    <w:rsid w:val="00B33729"/>
    <w:rsid w:val="00B33DC4"/>
    <w:rsid w:val="00B3403D"/>
    <w:rsid w:val="00B34BF2"/>
    <w:rsid w:val="00B34F16"/>
    <w:rsid w:val="00B35DC3"/>
    <w:rsid w:val="00B3677B"/>
    <w:rsid w:val="00B369D3"/>
    <w:rsid w:val="00B36A14"/>
    <w:rsid w:val="00B3738D"/>
    <w:rsid w:val="00B378BA"/>
    <w:rsid w:val="00B378F9"/>
    <w:rsid w:val="00B37E05"/>
    <w:rsid w:val="00B37E10"/>
    <w:rsid w:val="00B37F65"/>
    <w:rsid w:val="00B37F8A"/>
    <w:rsid w:val="00B40B2F"/>
    <w:rsid w:val="00B40BE5"/>
    <w:rsid w:val="00B40C9B"/>
    <w:rsid w:val="00B40E29"/>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CE3"/>
    <w:rsid w:val="00B43E7F"/>
    <w:rsid w:val="00B43EAE"/>
    <w:rsid w:val="00B44C1C"/>
    <w:rsid w:val="00B44D0D"/>
    <w:rsid w:val="00B45B56"/>
    <w:rsid w:val="00B45BCB"/>
    <w:rsid w:val="00B45C7E"/>
    <w:rsid w:val="00B45D1C"/>
    <w:rsid w:val="00B46240"/>
    <w:rsid w:val="00B4647C"/>
    <w:rsid w:val="00B466BC"/>
    <w:rsid w:val="00B47048"/>
    <w:rsid w:val="00B4726C"/>
    <w:rsid w:val="00B47270"/>
    <w:rsid w:val="00B476DE"/>
    <w:rsid w:val="00B47730"/>
    <w:rsid w:val="00B50E5D"/>
    <w:rsid w:val="00B50F25"/>
    <w:rsid w:val="00B51846"/>
    <w:rsid w:val="00B5196B"/>
    <w:rsid w:val="00B5197A"/>
    <w:rsid w:val="00B51B93"/>
    <w:rsid w:val="00B52123"/>
    <w:rsid w:val="00B52192"/>
    <w:rsid w:val="00B529DF"/>
    <w:rsid w:val="00B529E2"/>
    <w:rsid w:val="00B52E1C"/>
    <w:rsid w:val="00B53232"/>
    <w:rsid w:val="00B533E2"/>
    <w:rsid w:val="00B534FA"/>
    <w:rsid w:val="00B538A7"/>
    <w:rsid w:val="00B53984"/>
    <w:rsid w:val="00B53EDF"/>
    <w:rsid w:val="00B542CF"/>
    <w:rsid w:val="00B5493B"/>
    <w:rsid w:val="00B5516C"/>
    <w:rsid w:val="00B5559A"/>
    <w:rsid w:val="00B5581C"/>
    <w:rsid w:val="00B55E9E"/>
    <w:rsid w:val="00B565F1"/>
    <w:rsid w:val="00B566E2"/>
    <w:rsid w:val="00B56995"/>
    <w:rsid w:val="00B56C71"/>
    <w:rsid w:val="00B56E2A"/>
    <w:rsid w:val="00B5703E"/>
    <w:rsid w:val="00B573FE"/>
    <w:rsid w:val="00B57DC1"/>
    <w:rsid w:val="00B57E54"/>
    <w:rsid w:val="00B57EE0"/>
    <w:rsid w:val="00B602EC"/>
    <w:rsid w:val="00B6079A"/>
    <w:rsid w:val="00B608A3"/>
    <w:rsid w:val="00B60FE8"/>
    <w:rsid w:val="00B6108F"/>
    <w:rsid w:val="00B6120B"/>
    <w:rsid w:val="00B61317"/>
    <w:rsid w:val="00B61869"/>
    <w:rsid w:val="00B61C85"/>
    <w:rsid w:val="00B62244"/>
    <w:rsid w:val="00B625C3"/>
    <w:rsid w:val="00B62756"/>
    <w:rsid w:val="00B6277B"/>
    <w:rsid w:val="00B62C37"/>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93B"/>
    <w:rsid w:val="00B70BA5"/>
    <w:rsid w:val="00B711C3"/>
    <w:rsid w:val="00B711F0"/>
    <w:rsid w:val="00B714CA"/>
    <w:rsid w:val="00B716C8"/>
    <w:rsid w:val="00B721A5"/>
    <w:rsid w:val="00B721C7"/>
    <w:rsid w:val="00B727AD"/>
    <w:rsid w:val="00B72BCF"/>
    <w:rsid w:val="00B72E9D"/>
    <w:rsid w:val="00B7329D"/>
    <w:rsid w:val="00B73395"/>
    <w:rsid w:val="00B733CE"/>
    <w:rsid w:val="00B7353A"/>
    <w:rsid w:val="00B735D8"/>
    <w:rsid w:val="00B73850"/>
    <w:rsid w:val="00B738DC"/>
    <w:rsid w:val="00B7424D"/>
    <w:rsid w:val="00B74475"/>
    <w:rsid w:val="00B74858"/>
    <w:rsid w:val="00B74A09"/>
    <w:rsid w:val="00B74A3A"/>
    <w:rsid w:val="00B74D9E"/>
    <w:rsid w:val="00B75DEF"/>
    <w:rsid w:val="00B76064"/>
    <w:rsid w:val="00B76D84"/>
    <w:rsid w:val="00B77876"/>
    <w:rsid w:val="00B7788E"/>
    <w:rsid w:val="00B80307"/>
    <w:rsid w:val="00B809F2"/>
    <w:rsid w:val="00B80E88"/>
    <w:rsid w:val="00B81096"/>
    <w:rsid w:val="00B81142"/>
    <w:rsid w:val="00B816B8"/>
    <w:rsid w:val="00B81BBB"/>
    <w:rsid w:val="00B82272"/>
    <w:rsid w:val="00B82360"/>
    <w:rsid w:val="00B82B4F"/>
    <w:rsid w:val="00B82B78"/>
    <w:rsid w:val="00B82EDC"/>
    <w:rsid w:val="00B832B4"/>
    <w:rsid w:val="00B834AF"/>
    <w:rsid w:val="00B83D67"/>
    <w:rsid w:val="00B83E74"/>
    <w:rsid w:val="00B843FE"/>
    <w:rsid w:val="00B849FA"/>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44F"/>
    <w:rsid w:val="00B91710"/>
    <w:rsid w:val="00B91922"/>
    <w:rsid w:val="00B9199C"/>
    <w:rsid w:val="00B9248C"/>
    <w:rsid w:val="00B924EC"/>
    <w:rsid w:val="00B92EF5"/>
    <w:rsid w:val="00B93219"/>
    <w:rsid w:val="00B93271"/>
    <w:rsid w:val="00B9341C"/>
    <w:rsid w:val="00B9351A"/>
    <w:rsid w:val="00B93839"/>
    <w:rsid w:val="00B93FD2"/>
    <w:rsid w:val="00B942AC"/>
    <w:rsid w:val="00B95110"/>
    <w:rsid w:val="00B951F3"/>
    <w:rsid w:val="00B95876"/>
    <w:rsid w:val="00B95D0F"/>
    <w:rsid w:val="00B96172"/>
    <w:rsid w:val="00B9621C"/>
    <w:rsid w:val="00B9632D"/>
    <w:rsid w:val="00B9667A"/>
    <w:rsid w:val="00B97227"/>
    <w:rsid w:val="00B976B5"/>
    <w:rsid w:val="00B979B5"/>
    <w:rsid w:val="00BA057E"/>
    <w:rsid w:val="00BA064E"/>
    <w:rsid w:val="00BA099B"/>
    <w:rsid w:val="00BA0C6C"/>
    <w:rsid w:val="00BA1530"/>
    <w:rsid w:val="00BA173D"/>
    <w:rsid w:val="00BA1942"/>
    <w:rsid w:val="00BA1944"/>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7AE"/>
    <w:rsid w:val="00BB0D2F"/>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AD6"/>
    <w:rsid w:val="00BB5FA3"/>
    <w:rsid w:val="00BB69B8"/>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3FC4"/>
    <w:rsid w:val="00BC4CB2"/>
    <w:rsid w:val="00BC5FC4"/>
    <w:rsid w:val="00BC6426"/>
    <w:rsid w:val="00BC65A3"/>
    <w:rsid w:val="00BC6902"/>
    <w:rsid w:val="00BC6B51"/>
    <w:rsid w:val="00BC7265"/>
    <w:rsid w:val="00BC7453"/>
    <w:rsid w:val="00BC7C00"/>
    <w:rsid w:val="00BD01E6"/>
    <w:rsid w:val="00BD0223"/>
    <w:rsid w:val="00BD0265"/>
    <w:rsid w:val="00BD0457"/>
    <w:rsid w:val="00BD0864"/>
    <w:rsid w:val="00BD0C34"/>
    <w:rsid w:val="00BD0CB2"/>
    <w:rsid w:val="00BD0DFE"/>
    <w:rsid w:val="00BD174A"/>
    <w:rsid w:val="00BD1F2A"/>
    <w:rsid w:val="00BD209D"/>
    <w:rsid w:val="00BD25FB"/>
    <w:rsid w:val="00BD2711"/>
    <w:rsid w:val="00BD2BCE"/>
    <w:rsid w:val="00BD369D"/>
    <w:rsid w:val="00BD3834"/>
    <w:rsid w:val="00BD3B54"/>
    <w:rsid w:val="00BD3B97"/>
    <w:rsid w:val="00BD3E27"/>
    <w:rsid w:val="00BD433A"/>
    <w:rsid w:val="00BD462D"/>
    <w:rsid w:val="00BD4784"/>
    <w:rsid w:val="00BD4A93"/>
    <w:rsid w:val="00BD4A9D"/>
    <w:rsid w:val="00BD4E44"/>
    <w:rsid w:val="00BD6A65"/>
    <w:rsid w:val="00BD6C15"/>
    <w:rsid w:val="00BD6F34"/>
    <w:rsid w:val="00BD712F"/>
    <w:rsid w:val="00BD756E"/>
    <w:rsid w:val="00BD76D4"/>
    <w:rsid w:val="00BD775F"/>
    <w:rsid w:val="00BD7A60"/>
    <w:rsid w:val="00BD7E29"/>
    <w:rsid w:val="00BE040E"/>
    <w:rsid w:val="00BE0851"/>
    <w:rsid w:val="00BE16B2"/>
    <w:rsid w:val="00BE1C49"/>
    <w:rsid w:val="00BE1D60"/>
    <w:rsid w:val="00BE1D66"/>
    <w:rsid w:val="00BE1F9B"/>
    <w:rsid w:val="00BE2024"/>
    <w:rsid w:val="00BE2100"/>
    <w:rsid w:val="00BE2311"/>
    <w:rsid w:val="00BE2721"/>
    <w:rsid w:val="00BE3398"/>
    <w:rsid w:val="00BE3676"/>
    <w:rsid w:val="00BE4005"/>
    <w:rsid w:val="00BE44BE"/>
    <w:rsid w:val="00BE4E66"/>
    <w:rsid w:val="00BE52A7"/>
    <w:rsid w:val="00BE564B"/>
    <w:rsid w:val="00BE58FC"/>
    <w:rsid w:val="00BE5A27"/>
    <w:rsid w:val="00BE5C73"/>
    <w:rsid w:val="00BE6021"/>
    <w:rsid w:val="00BE6677"/>
    <w:rsid w:val="00BE6D00"/>
    <w:rsid w:val="00BE7049"/>
    <w:rsid w:val="00BE708F"/>
    <w:rsid w:val="00BE748D"/>
    <w:rsid w:val="00BE74A3"/>
    <w:rsid w:val="00BE7723"/>
    <w:rsid w:val="00BE7A79"/>
    <w:rsid w:val="00BF10F5"/>
    <w:rsid w:val="00BF1593"/>
    <w:rsid w:val="00BF16D5"/>
    <w:rsid w:val="00BF196E"/>
    <w:rsid w:val="00BF2045"/>
    <w:rsid w:val="00BF3625"/>
    <w:rsid w:val="00BF3781"/>
    <w:rsid w:val="00BF3966"/>
    <w:rsid w:val="00BF3A53"/>
    <w:rsid w:val="00BF3B6B"/>
    <w:rsid w:val="00BF41E2"/>
    <w:rsid w:val="00BF466D"/>
    <w:rsid w:val="00BF4BDF"/>
    <w:rsid w:val="00BF51EA"/>
    <w:rsid w:val="00BF5443"/>
    <w:rsid w:val="00BF5729"/>
    <w:rsid w:val="00BF5936"/>
    <w:rsid w:val="00BF5AE0"/>
    <w:rsid w:val="00BF62D3"/>
    <w:rsid w:val="00BF64F7"/>
    <w:rsid w:val="00BF662F"/>
    <w:rsid w:val="00BF6F7A"/>
    <w:rsid w:val="00BF7316"/>
    <w:rsid w:val="00BF7B15"/>
    <w:rsid w:val="00BF7CC7"/>
    <w:rsid w:val="00BF7DD9"/>
    <w:rsid w:val="00C0025C"/>
    <w:rsid w:val="00C0099A"/>
    <w:rsid w:val="00C00B59"/>
    <w:rsid w:val="00C00BB2"/>
    <w:rsid w:val="00C00CBC"/>
    <w:rsid w:val="00C012E6"/>
    <w:rsid w:val="00C02276"/>
    <w:rsid w:val="00C024A9"/>
    <w:rsid w:val="00C02536"/>
    <w:rsid w:val="00C02C91"/>
    <w:rsid w:val="00C032BF"/>
    <w:rsid w:val="00C03941"/>
    <w:rsid w:val="00C0398A"/>
    <w:rsid w:val="00C03A0A"/>
    <w:rsid w:val="00C03B14"/>
    <w:rsid w:val="00C04181"/>
    <w:rsid w:val="00C0419A"/>
    <w:rsid w:val="00C04331"/>
    <w:rsid w:val="00C04363"/>
    <w:rsid w:val="00C04B0A"/>
    <w:rsid w:val="00C04E9D"/>
    <w:rsid w:val="00C05184"/>
    <w:rsid w:val="00C06809"/>
    <w:rsid w:val="00C06F91"/>
    <w:rsid w:val="00C07085"/>
    <w:rsid w:val="00C07293"/>
    <w:rsid w:val="00C07ACA"/>
    <w:rsid w:val="00C07C2B"/>
    <w:rsid w:val="00C1022A"/>
    <w:rsid w:val="00C10F9E"/>
    <w:rsid w:val="00C1149B"/>
    <w:rsid w:val="00C12A73"/>
    <w:rsid w:val="00C13515"/>
    <w:rsid w:val="00C13E1A"/>
    <w:rsid w:val="00C14078"/>
    <w:rsid w:val="00C14213"/>
    <w:rsid w:val="00C14CAF"/>
    <w:rsid w:val="00C1518C"/>
    <w:rsid w:val="00C156DF"/>
    <w:rsid w:val="00C157CD"/>
    <w:rsid w:val="00C15913"/>
    <w:rsid w:val="00C15AEF"/>
    <w:rsid w:val="00C16110"/>
    <w:rsid w:val="00C1618B"/>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7C7"/>
    <w:rsid w:val="00C22C28"/>
    <w:rsid w:val="00C22CC4"/>
    <w:rsid w:val="00C22CC7"/>
    <w:rsid w:val="00C22E7A"/>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DEF"/>
    <w:rsid w:val="00C27E86"/>
    <w:rsid w:val="00C304B9"/>
    <w:rsid w:val="00C30D70"/>
    <w:rsid w:val="00C30EF8"/>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BF5"/>
    <w:rsid w:val="00C35C17"/>
    <w:rsid w:val="00C35D84"/>
    <w:rsid w:val="00C36431"/>
    <w:rsid w:val="00C3669A"/>
    <w:rsid w:val="00C36700"/>
    <w:rsid w:val="00C36718"/>
    <w:rsid w:val="00C3675D"/>
    <w:rsid w:val="00C36DB2"/>
    <w:rsid w:val="00C370BE"/>
    <w:rsid w:val="00C370E6"/>
    <w:rsid w:val="00C3726E"/>
    <w:rsid w:val="00C373E3"/>
    <w:rsid w:val="00C3755D"/>
    <w:rsid w:val="00C37918"/>
    <w:rsid w:val="00C3796D"/>
    <w:rsid w:val="00C37EB8"/>
    <w:rsid w:val="00C4018A"/>
    <w:rsid w:val="00C40557"/>
    <w:rsid w:val="00C41216"/>
    <w:rsid w:val="00C41F11"/>
    <w:rsid w:val="00C41F29"/>
    <w:rsid w:val="00C420F6"/>
    <w:rsid w:val="00C422BA"/>
    <w:rsid w:val="00C423D5"/>
    <w:rsid w:val="00C4277C"/>
    <w:rsid w:val="00C42992"/>
    <w:rsid w:val="00C42B66"/>
    <w:rsid w:val="00C430C7"/>
    <w:rsid w:val="00C431F9"/>
    <w:rsid w:val="00C4338C"/>
    <w:rsid w:val="00C4366D"/>
    <w:rsid w:val="00C4395A"/>
    <w:rsid w:val="00C43C1A"/>
    <w:rsid w:val="00C43EE2"/>
    <w:rsid w:val="00C441F1"/>
    <w:rsid w:val="00C445D2"/>
    <w:rsid w:val="00C44DA0"/>
    <w:rsid w:val="00C44DA1"/>
    <w:rsid w:val="00C44EEA"/>
    <w:rsid w:val="00C454D3"/>
    <w:rsid w:val="00C45602"/>
    <w:rsid w:val="00C45F7B"/>
    <w:rsid w:val="00C45F9A"/>
    <w:rsid w:val="00C47283"/>
    <w:rsid w:val="00C4733D"/>
    <w:rsid w:val="00C474EF"/>
    <w:rsid w:val="00C47586"/>
    <w:rsid w:val="00C47D8D"/>
    <w:rsid w:val="00C50227"/>
    <w:rsid w:val="00C50296"/>
    <w:rsid w:val="00C50631"/>
    <w:rsid w:val="00C5090E"/>
    <w:rsid w:val="00C50B51"/>
    <w:rsid w:val="00C50B99"/>
    <w:rsid w:val="00C50DB6"/>
    <w:rsid w:val="00C514DD"/>
    <w:rsid w:val="00C5196B"/>
    <w:rsid w:val="00C51B73"/>
    <w:rsid w:val="00C52205"/>
    <w:rsid w:val="00C522AE"/>
    <w:rsid w:val="00C5255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A11"/>
    <w:rsid w:val="00C54BB2"/>
    <w:rsid w:val="00C54FCA"/>
    <w:rsid w:val="00C55A10"/>
    <w:rsid w:val="00C55A6B"/>
    <w:rsid w:val="00C562E5"/>
    <w:rsid w:val="00C5641A"/>
    <w:rsid w:val="00C56BDE"/>
    <w:rsid w:val="00C56F84"/>
    <w:rsid w:val="00C57040"/>
    <w:rsid w:val="00C5705A"/>
    <w:rsid w:val="00C570F8"/>
    <w:rsid w:val="00C571FE"/>
    <w:rsid w:val="00C5757B"/>
    <w:rsid w:val="00C60682"/>
    <w:rsid w:val="00C60B25"/>
    <w:rsid w:val="00C61620"/>
    <w:rsid w:val="00C6163A"/>
    <w:rsid w:val="00C61A8D"/>
    <w:rsid w:val="00C61C61"/>
    <w:rsid w:val="00C61CDC"/>
    <w:rsid w:val="00C62849"/>
    <w:rsid w:val="00C62B54"/>
    <w:rsid w:val="00C63188"/>
    <w:rsid w:val="00C637A9"/>
    <w:rsid w:val="00C63BFF"/>
    <w:rsid w:val="00C63E05"/>
    <w:rsid w:val="00C64362"/>
    <w:rsid w:val="00C64633"/>
    <w:rsid w:val="00C646EF"/>
    <w:rsid w:val="00C647A9"/>
    <w:rsid w:val="00C64EA1"/>
    <w:rsid w:val="00C652D4"/>
    <w:rsid w:val="00C65416"/>
    <w:rsid w:val="00C65450"/>
    <w:rsid w:val="00C65952"/>
    <w:rsid w:val="00C659A2"/>
    <w:rsid w:val="00C65FAA"/>
    <w:rsid w:val="00C660F5"/>
    <w:rsid w:val="00C664A3"/>
    <w:rsid w:val="00C66B1D"/>
    <w:rsid w:val="00C66F48"/>
    <w:rsid w:val="00C66F7C"/>
    <w:rsid w:val="00C67DE6"/>
    <w:rsid w:val="00C70400"/>
    <w:rsid w:val="00C707C2"/>
    <w:rsid w:val="00C70992"/>
    <w:rsid w:val="00C70A90"/>
    <w:rsid w:val="00C70DD2"/>
    <w:rsid w:val="00C70E7B"/>
    <w:rsid w:val="00C70FB7"/>
    <w:rsid w:val="00C712FD"/>
    <w:rsid w:val="00C7158C"/>
    <w:rsid w:val="00C71A83"/>
    <w:rsid w:val="00C71C93"/>
    <w:rsid w:val="00C71ECC"/>
    <w:rsid w:val="00C7257C"/>
    <w:rsid w:val="00C72624"/>
    <w:rsid w:val="00C72B02"/>
    <w:rsid w:val="00C72F1B"/>
    <w:rsid w:val="00C73121"/>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3494"/>
    <w:rsid w:val="00C83498"/>
    <w:rsid w:val="00C83B92"/>
    <w:rsid w:val="00C846DA"/>
    <w:rsid w:val="00C84733"/>
    <w:rsid w:val="00C84919"/>
    <w:rsid w:val="00C853E8"/>
    <w:rsid w:val="00C85452"/>
    <w:rsid w:val="00C860D0"/>
    <w:rsid w:val="00C8701E"/>
    <w:rsid w:val="00C873BC"/>
    <w:rsid w:val="00C87725"/>
    <w:rsid w:val="00C87E68"/>
    <w:rsid w:val="00C87F8A"/>
    <w:rsid w:val="00C9046A"/>
    <w:rsid w:val="00C9048F"/>
    <w:rsid w:val="00C90693"/>
    <w:rsid w:val="00C909DB"/>
    <w:rsid w:val="00C90F2E"/>
    <w:rsid w:val="00C910DB"/>
    <w:rsid w:val="00C91166"/>
    <w:rsid w:val="00C913C1"/>
    <w:rsid w:val="00C917EE"/>
    <w:rsid w:val="00C9192D"/>
    <w:rsid w:val="00C91A45"/>
    <w:rsid w:val="00C92174"/>
    <w:rsid w:val="00C92347"/>
    <w:rsid w:val="00C92EDF"/>
    <w:rsid w:val="00C93859"/>
    <w:rsid w:val="00C93B71"/>
    <w:rsid w:val="00C942FA"/>
    <w:rsid w:val="00C94BBF"/>
    <w:rsid w:val="00C94EC9"/>
    <w:rsid w:val="00C956DB"/>
    <w:rsid w:val="00C95C27"/>
    <w:rsid w:val="00C95DF8"/>
    <w:rsid w:val="00C95E32"/>
    <w:rsid w:val="00C9617A"/>
    <w:rsid w:val="00C96244"/>
    <w:rsid w:val="00C9678B"/>
    <w:rsid w:val="00C9680B"/>
    <w:rsid w:val="00C96981"/>
    <w:rsid w:val="00C96D21"/>
    <w:rsid w:val="00C96F1F"/>
    <w:rsid w:val="00C96FF7"/>
    <w:rsid w:val="00C977E8"/>
    <w:rsid w:val="00C97F61"/>
    <w:rsid w:val="00CA0557"/>
    <w:rsid w:val="00CA0B2C"/>
    <w:rsid w:val="00CA0F20"/>
    <w:rsid w:val="00CA179F"/>
    <w:rsid w:val="00CA17BD"/>
    <w:rsid w:val="00CA1A2A"/>
    <w:rsid w:val="00CA1D02"/>
    <w:rsid w:val="00CA1DC5"/>
    <w:rsid w:val="00CA1DCF"/>
    <w:rsid w:val="00CA22C4"/>
    <w:rsid w:val="00CA2753"/>
    <w:rsid w:val="00CA2BE7"/>
    <w:rsid w:val="00CA2C14"/>
    <w:rsid w:val="00CA2D3F"/>
    <w:rsid w:val="00CA2F18"/>
    <w:rsid w:val="00CA34CE"/>
    <w:rsid w:val="00CA34ED"/>
    <w:rsid w:val="00CA3F79"/>
    <w:rsid w:val="00CA413E"/>
    <w:rsid w:val="00CA4187"/>
    <w:rsid w:val="00CA41AB"/>
    <w:rsid w:val="00CA45AD"/>
    <w:rsid w:val="00CA46B8"/>
    <w:rsid w:val="00CA48B0"/>
    <w:rsid w:val="00CA4B97"/>
    <w:rsid w:val="00CA4D46"/>
    <w:rsid w:val="00CA4EF0"/>
    <w:rsid w:val="00CA56AC"/>
    <w:rsid w:val="00CA5E8D"/>
    <w:rsid w:val="00CA6765"/>
    <w:rsid w:val="00CA680E"/>
    <w:rsid w:val="00CA68C9"/>
    <w:rsid w:val="00CA69AE"/>
    <w:rsid w:val="00CA6B7A"/>
    <w:rsid w:val="00CA71A3"/>
    <w:rsid w:val="00CA75AB"/>
    <w:rsid w:val="00CA78F9"/>
    <w:rsid w:val="00CA7C01"/>
    <w:rsid w:val="00CA7CA8"/>
    <w:rsid w:val="00CA7EB4"/>
    <w:rsid w:val="00CB019A"/>
    <w:rsid w:val="00CB0395"/>
    <w:rsid w:val="00CB0ED7"/>
    <w:rsid w:val="00CB15CA"/>
    <w:rsid w:val="00CB19A5"/>
    <w:rsid w:val="00CB1C7E"/>
    <w:rsid w:val="00CB2A79"/>
    <w:rsid w:val="00CB2E15"/>
    <w:rsid w:val="00CB2E79"/>
    <w:rsid w:val="00CB2FA2"/>
    <w:rsid w:val="00CB3013"/>
    <w:rsid w:val="00CB312F"/>
    <w:rsid w:val="00CB39AF"/>
    <w:rsid w:val="00CB3AA1"/>
    <w:rsid w:val="00CB3CB9"/>
    <w:rsid w:val="00CB4730"/>
    <w:rsid w:val="00CB477E"/>
    <w:rsid w:val="00CB49E4"/>
    <w:rsid w:val="00CB4A79"/>
    <w:rsid w:val="00CB54D4"/>
    <w:rsid w:val="00CB57A1"/>
    <w:rsid w:val="00CB57D8"/>
    <w:rsid w:val="00CB59ED"/>
    <w:rsid w:val="00CB5A40"/>
    <w:rsid w:val="00CB5EAF"/>
    <w:rsid w:val="00CB5FC6"/>
    <w:rsid w:val="00CB6ED8"/>
    <w:rsid w:val="00CB73F9"/>
    <w:rsid w:val="00CB7771"/>
    <w:rsid w:val="00CB7A7A"/>
    <w:rsid w:val="00CB7FEE"/>
    <w:rsid w:val="00CC0687"/>
    <w:rsid w:val="00CC0B06"/>
    <w:rsid w:val="00CC181C"/>
    <w:rsid w:val="00CC1AAA"/>
    <w:rsid w:val="00CC1E51"/>
    <w:rsid w:val="00CC1F5F"/>
    <w:rsid w:val="00CC20C0"/>
    <w:rsid w:val="00CC22C9"/>
    <w:rsid w:val="00CC2882"/>
    <w:rsid w:val="00CC2F61"/>
    <w:rsid w:val="00CC3186"/>
    <w:rsid w:val="00CC341C"/>
    <w:rsid w:val="00CC4022"/>
    <w:rsid w:val="00CC404A"/>
    <w:rsid w:val="00CC4187"/>
    <w:rsid w:val="00CC4216"/>
    <w:rsid w:val="00CC449A"/>
    <w:rsid w:val="00CC4BE9"/>
    <w:rsid w:val="00CC4D42"/>
    <w:rsid w:val="00CC51BE"/>
    <w:rsid w:val="00CC52AC"/>
    <w:rsid w:val="00CC564F"/>
    <w:rsid w:val="00CC5B57"/>
    <w:rsid w:val="00CC5BFC"/>
    <w:rsid w:val="00CC5F6E"/>
    <w:rsid w:val="00CC7420"/>
    <w:rsid w:val="00CC75BE"/>
    <w:rsid w:val="00CC75D4"/>
    <w:rsid w:val="00CC79D5"/>
    <w:rsid w:val="00CC7D7B"/>
    <w:rsid w:val="00CC7D8F"/>
    <w:rsid w:val="00CD031C"/>
    <w:rsid w:val="00CD03D6"/>
    <w:rsid w:val="00CD070B"/>
    <w:rsid w:val="00CD157C"/>
    <w:rsid w:val="00CD1BF5"/>
    <w:rsid w:val="00CD1C94"/>
    <w:rsid w:val="00CD22D3"/>
    <w:rsid w:val="00CD2767"/>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48"/>
    <w:rsid w:val="00CD5355"/>
    <w:rsid w:val="00CD5CE1"/>
    <w:rsid w:val="00CD5D72"/>
    <w:rsid w:val="00CD60FA"/>
    <w:rsid w:val="00CD61A5"/>
    <w:rsid w:val="00CD628F"/>
    <w:rsid w:val="00CD62FE"/>
    <w:rsid w:val="00CD766B"/>
    <w:rsid w:val="00CD7D58"/>
    <w:rsid w:val="00CD7EB6"/>
    <w:rsid w:val="00CD7FBB"/>
    <w:rsid w:val="00CE0350"/>
    <w:rsid w:val="00CE04DE"/>
    <w:rsid w:val="00CE09A2"/>
    <w:rsid w:val="00CE0E84"/>
    <w:rsid w:val="00CE10B1"/>
    <w:rsid w:val="00CE14D6"/>
    <w:rsid w:val="00CE153D"/>
    <w:rsid w:val="00CE1D7B"/>
    <w:rsid w:val="00CE2118"/>
    <w:rsid w:val="00CE243F"/>
    <w:rsid w:val="00CE2551"/>
    <w:rsid w:val="00CE25FD"/>
    <w:rsid w:val="00CE2CE7"/>
    <w:rsid w:val="00CE3175"/>
    <w:rsid w:val="00CE3293"/>
    <w:rsid w:val="00CE3C6D"/>
    <w:rsid w:val="00CE3C82"/>
    <w:rsid w:val="00CE43B1"/>
    <w:rsid w:val="00CE45DB"/>
    <w:rsid w:val="00CE4964"/>
    <w:rsid w:val="00CE4BCF"/>
    <w:rsid w:val="00CE537D"/>
    <w:rsid w:val="00CE5414"/>
    <w:rsid w:val="00CE55AA"/>
    <w:rsid w:val="00CE5E44"/>
    <w:rsid w:val="00CE62B0"/>
    <w:rsid w:val="00CE6540"/>
    <w:rsid w:val="00CE6D9E"/>
    <w:rsid w:val="00CE6DB4"/>
    <w:rsid w:val="00CE70AB"/>
    <w:rsid w:val="00CE7426"/>
    <w:rsid w:val="00CE794B"/>
    <w:rsid w:val="00CE7C39"/>
    <w:rsid w:val="00CF0402"/>
    <w:rsid w:val="00CF05EA"/>
    <w:rsid w:val="00CF088B"/>
    <w:rsid w:val="00CF0FB9"/>
    <w:rsid w:val="00CF21A8"/>
    <w:rsid w:val="00CF2311"/>
    <w:rsid w:val="00CF248F"/>
    <w:rsid w:val="00CF2AB7"/>
    <w:rsid w:val="00CF3061"/>
    <w:rsid w:val="00CF3394"/>
    <w:rsid w:val="00CF3522"/>
    <w:rsid w:val="00CF370F"/>
    <w:rsid w:val="00CF3F37"/>
    <w:rsid w:val="00CF4A46"/>
    <w:rsid w:val="00CF4BD8"/>
    <w:rsid w:val="00CF581A"/>
    <w:rsid w:val="00CF6248"/>
    <w:rsid w:val="00CF63D1"/>
    <w:rsid w:val="00CF74C0"/>
    <w:rsid w:val="00CF75DB"/>
    <w:rsid w:val="00CF7897"/>
    <w:rsid w:val="00CF7997"/>
    <w:rsid w:val="00CF7BFA"/>
    <w:rsid w:val="00D004E3"/>
    <w:rsid w:val="00D009E0"/>
    <w:rsid w:val="00D00DD6"/>
    <w:rsid w:val="00D01230"/>
    <w:rsid w:val="00D013D9"/>
    <w:rsid w:val="00D017A2"/>
    <w:rsid w:val="00D019BF"/>
    <w:rsid w:val="00D01CAD"/>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6B06"/>
    <w:rsid w:val="00D070FF"/>
    <w:rsid w:val="00D075A4"/>
    <w:rsid w:val="00D07D94"/>
    <w:rsid w:val="00D10407"/>
    <w:rsid w:val="00D1058E"/>
    <w:rsid w:val="00D10AE5"/>
    <w:rsid w:val="00D11433"/>
    <w:rsid w:val="00D11542"/>
    <w:rsid w:val="00D11573"/>
    <w:rsid w:val="00D11EC5"/>
    <w:rsid w:val="00D12059"/>
    <w:rsid w:val="00D122E6"/>
    <w:rsid w:val="00D1239D"/>
    <w:rsid w:val="00D125DE"/>
    <w:rsid w:val="00D12DF5"/>
    <w:rsid w:val="00D13777"/>
    <w:rsid w:val="00D13BB6"/>
    <w:rsid w:val="00D13C2D"/>
    <w:rsid w:val="00D140A1"/>
    <w:rsid w:val="00D1459C"/>
    <w:rsid w:val="00D14E96"/>
    <w:rsid w:val="00D151F0"/>
    <w:rsid w:val="00D156B6"/>
    <w:rsid w:val="00D15F8E"/>
    <w:rsid w:val="00D1690E"/>
    <w:rsid w:val="00D172D8"/>
    <w:rsid w:val="00D173A5"/>
    <w:rsid w:val="00D173FA"/>
    <w:rsid w:val="00D178E9"/>
    <w:rsid w:val="00D17AB7"/>
    <w:rsid w:val="00D17B3F"/>
    <w:rsid w:val="00D17BE1"/>
    <w:rsid w:val="00D17E74"/>
    <w:rsid w:val="00D17F1D"/>
    <w:rsid w:val="00D2095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047"/>
    <w:rsid w:val="00D251CF"/>
    <w:rsid w:val="00D252B8"/>
    <w:rsid w:val="00D26621"/>
    <w:rsid w:val="00D267D6"/>
    <w:rsid w:val="00D26BEC"/>
    <w:rsid w:val="00D2729A"/>
    <w:rsid w:val="00D27506"/>
    <w:rsid w:val="00D27E6C"/>
    <w:rsid w:val="00D306E6"/>
    <w:rsid w:val="00D30998"/>
    <w:rsid w:val="00D30F5A"/>
    <w:rsid w:val="00D3198D"/>
    <w:rsid w:val="00D31EC8"/>
    <w:rsid w:val="00D31FC6"/>
    <w:rsid w:val="00D32EAB"/>
    <w:rsid w:val="00D3357B"/>
    <w:rsid w:val="00D337A3"/>
    <w:rsid w:val="00D33C51"/>
    <w:rsid w:val="00D34338"/>
    <w:rsid w:val="00D34688"/>
    <w:rsid w:val="00D35601"/>
    <w:rsid w:val="00D35C7E"/>
    <w:rsid w:val="00D35F3B"/>
    <w:rsid w:val="00D36027"/>
    <w:rsid w:val="00D36337"/>
    <w:rsid w:val="00D363AA"/>
    <w:rsid w:val="00D36522"/>
    <w:rsid w:val="00D366B7"/>
    <w:rsid w:val="00D367F5"/>
    <w:rsid w:val="00D36C23"/>
    <w:rsid w:val="00D36FB2"/>
    <w:rsid w:val="00D37072"/>
    <w:rsid w:val="00D375C7"/>
    <w:rsid w:val="00D3769E"/>
    <w:rsid w:val="00D40081"/>
    <w:rsid w:val="00D407D8"/>
    <w:rsid w:val="00D40E3B"/>
    <w:rsid w:val="00D40EAF"/>
    <w:rsid w:val="00D41034"/>
    <w:rsid w:val="00D4117D"/>
    <w:rsid w:val="00D411A8"/>
    <w:rsid w:val="00D413DA"/>
    <w:rsid w:val="00D418A3"/>
    <w:rsid w:val="00D41B99"/>
    <w:rsid w:val="00D42249"/>
    <w:rsid w:val="00D4244A"/>
    <w:rsid w:val="00D42487"/>
    <w:rsid w:val="00D4341B"/>
    <w:rsid w:val="00D43539"/>
    <w:rsid w:val="00D43FBC"/>
    <w:rsid w:val="00D4432C"/>
    <w:rsid w:val="00D44522"/>
    <w:rsid w:val="00D44CC7"/>
    <w:rsid w:val="00D45865"/>
    <w:rsid w:val="00D45867"/>
    <w:rsid w:val="00D458A5"/>
    <w:rsid w:val="00D4595F"/>
    <w:rsid w:val="00D45CE3"/>
    <w:rsid w:val="00D46157"/>
    <w:rsid w:val="00D4646A"/>
    <w:rsid w:val="00D466A8"/>
    <w:rsid w:val="00D46A18"/>
    <w:rsid w:val="00D46BEF"/>
    <w:rsid w:val="00D47187"/>
    <w:rsid w:val="00D4751A"/>
    <w:rsid w:val="00D477E0"/>
    <w:rsid w:val="00D47805"/>
    <w:rsid w:val="00D47A56"/>
    <w:rsid w:val="00D47DDB"/>
    <w:rsid w:val="00D47FF2"/>
    <w:rsid w:val="00D50011"/>
    <w:rsid w:val="00D500F2"/>
    <w:rsid w:val="00D5017E"/>
    <w:rsid w:val="00D501F5"/>
    <w:rsid w:val="00D50728"/>
    <w:rsid w:val="00D508E4"/>
    <w:rsid w:val="00D50B2C"/>
    <w:rsid w:val="00D50EB3"/>
    <w:rsid w:val="00D50EDE"/>
    <w:rsid w:val="00D519D2"/>
    <w:rsid w:val="00D52284"/>
    <w:rsid w:val="00D528B5"/>
    <w:rsid w:val="00D52C6F"/>
    <w:rsid w:val="00D5322C"/>
    <w:rsid w:val="00D533A1"/>
    <w:rsid w:val="00D533BF"/>
    <w:rsid w:val="00D53841"/>
    <w:rsid w:val="00D53C05"/>
    <w:rsid w:val="00D544C2"/>
    <w:rsid w:val="00D546B8"/>
    <w:rsid w:val="00D55294"/>
    <w:rsid w:val="00D562BC"/>
    <w:rsid w:val="00D567E0"/>
    <w:rsid w:val="00D56ACF"/>
    <w:rsid w:val="00D56BDE"/>
    <w:rsid w:val="00D57152"/>
    <w:rsid w:val="00D571A7"/>
    <w:rsid w:val="00D57692"/>
    <w:rsid w:val="00D576D7"/>
    <w:rsid w:val="00D57AF1"/>
    <w:rsid w:val="00D57CBB"/>
    <w:rsid w:val="00D60236"/>
    <w:rsid w:val="00D6059D"/>
    <w:rsid w:val="00D6063B"/>
    <w:rsid w:val="00D60B43"/>
    <w:rsid w:val="00D60C45"/>
    <w:rsid w:val="00D613F0"/>
    <w:rsid w:val="00D614C7"/>
    <w:rsid w:val="00D61A0C"/>
    <w:rsid w:val="00D61C6D"/>
    <w:rsid w:val="00D61E9C"/>
    <w:rsid w:val="00D61F3D"/>
    <w:rsid w:val="00D61F93"/>
    <w:rsid w:val="00D623A8"/>
    <w:rsid w:val="00D62472"/>
    <w:rsid w:val="00D62545"/>
    <w:rsid w:val="00D62EEF"/>
    <w:rsid w:val="00D6312F"/>
    <w:rsid w:val="00D633BB"/>
    <w:rsid w:val="00D63A3E"/>
    <w:rsid w:val="00D63D69"/>
    <w:rsid w:val="00D640B7"/>
    <w:rsid w:val="00D640F2"/>
    <w:rsid w:val="00D64236"/>
    <w:rsid w:val="00D642AD"/>
    <w:rsid w:val="00D64A40"/>
    <w:rsid w:val="00D64BD4"/>
    <w:rsid w:val="00D64E02"/>
    <w:rsid w:val="00D654E8"/>
    <w:rsid w:val="00D654FB"/>
    <w:rsid w:val="00D65619"/>
    <w:rsid w:val="00D66229"/>
    <w:rsid w:val="00D667D9"/>
    <w:rsid w:val="00D66C42"/>
    <w:rsid w:val="00D6715C"/>
    <w:rsid w:val="00D671FA"/>
    <w:rsid w:val="00D67216"/>
    <w:rsid w:val="00D67780"/>
    <w:rsid w:val="00D701C2"/>
    <w:rsid w:val="00D7055C"/>
    <w:rsid w:val="00D708CD"/>
    <w:rsid w:val="00D709B0"/>
    <w:rsid w:val="00D71468"/>
    <w:rsid w:val="00D71549"/>
    <w:rsid w:val="00D7160C"/>
    <w:rsid w:val="00D71741"/>
    <w:rsid w:val="00D71A0A"/>
    <w:rsid w:val="00D71A70"/>
    <w:rsid w:val="00D71C1F"/>
    <w:rsid w:val="00D71CE6"/>
    <w:rsid w:val="00D71F03"/>
    <w:rsid w:val="00D72304"/>
    <w:rsid w:val="00D7249D"/>
    <w:rsid w:val="00D727B3"/>
    <w:rsid w:val="00D73210"/>
    <w:rsid w:val="00D73AD4"/>
    <w:rsid w:val="00D73C8C"/>
    <w:rsid w:val="00D744AF"/>
    <w:rsid w:val="00D74862"/>
    <w:rsid w:val="00D75172"/>
    <w:rsid w:val="00D7555D"/>
    <w:rsid w:val="00D756D2"/>
    <w:rsid w:val="00D75879"/>
    <w:rsid w:val="00D75908"/>
    <w:rsid w:val="00D75CD0"/>
    <w:rsid w:val="00D75DFA"/>
    <w:rsid w:val="00D75ECA"/>
    <w:rsid w:val="00D760B5"/>
    <w:rsid w:val="00D764EB"/>
    <w:rsid w:val="00D766A9"/>
    <w:rsid w:val="00D7731C"/>
    <w:rsid w:val="00D7733A"/>
    <w:rsid w:val="00D775CD"/>
    <w:rsid w:val="00D778F2"/>
    <w:rsid w:val="00D77AEE"/>
    <w:rsid w:val="00D77C3E"/>
    <w:rsid w:val="00D8005C"/>
    <w:rsid w:val="00D80539"/>
    <w:rsid w:val="00D808EE"/>
    <w:rsid w:val="00D80A72"/>
    <w:rsid w:val="00D80AF5"/>
    <w:rsid w:val="00D81003"/>
    <w:rsid w:val="00D81129"/>
    <w:rsid w:val="00D818D0"/>
    <w:rsid w:val="00D81A7D"/>
    <w:rsid w:val="00D8202C"/>
    <w:rsid w:val="00D82223"/>
    <w:rsid w:val="00D822E5"/>
    <w:rsid w:val="00D82F39"/>
    <w:rsid w:val="00D8300D"/>
    <w:rsid w:val="00D8378B"/>
    <w:rsid w:val="00D839CD"/>
    <w:rsid w:val="00D840BF"/>
    <w:rsid w:val="00D846D9"/>
    <w:rsid w:val="00D8480B"/>
    <w:rsid w:val="00D84B62"/>
    <w:rsid w:val="00D84CF1"/>
    <w:rsid w:val="00D84F1E"/>
    <w:rsid w:val="00D859E0"/>
    <w:rsid w:val="00D85CF7"/>
    <w:rsid w:val="00D86076"/>
    <w:rsid w:val="00D863F7"/>
    <w:rsid w:val="00D87225"/>
    <w:rsid w:val="00D87307"/>
    <w:rsid w:val="00D87322"/>
    <w:rsid w:val="00D8792C"/>
    <w:rsid w:val="00D87974"/>
    <w:rsid w:val="00D87B4D"/>
    <w:rsid w:val="00D87C8F"/>
    <w:rsid w:val="00D87F7F"/>
    <w:rsid w:val="00D90235"/>
    <w:rsid w:val="00D90662"/>
    <w:rsid w:val="00D90712"/>
    <w:rsid w:val="00D9076C"/>
    <w:rsid w:val="00D90F3C"/>
    <w:rsid w:val="00D91043"/>
    <w:rsid w:val="00D911ED"/>
    <w:rsid w:val="00D91651"/>
    <w:rsid w:val="00D91686"/>
    <w:rsid w:val="00D9181C"/>
    <w:rsid w:val="00D91841"/>
    <w:rsid w:val="00D918BC"/>
    <w:rsid w:val="00D9191D"/>
    <w:rsid w:val="00D91A49"/>
    <w:rsid w:val="00D91D95"/>
    <w:rsid w:val="00D91E5A"/>
    <w:rsid w:val="00D92400"/>
    <w:rsid w:val="00D92454"/>
    <w:rsid w:val="00D9270B"/>
    <w:rsid w:val="00D927AB"/>
    <w:rsid w:val="00D93CB6"/>
    <w:rsid w:val="00D94506"/>
    <w:rsid w:val="00D947E8"/>
    <w:rsid w:val="00D94C19"/>
    <w:rsid w:val="00D94FA6"/>
    <w:rsid w:val="00D950AF"/>
    <w:rsid w:val="00D95432"/>
    <w:rsid w:val="00D95DD1"/>
    <w:rsid w:val="00D96A20"/>
    <w:rsid w:val="00D96D76"/>
    <w:rsid w:val="00D97020"/>
    <w:rsid w:val="00D9744D"/>
    <w:rsid w:val="00DA10C4"/>
    <w:rsid w:val="00DA123A"/>
    <w:rsid w:val="00DA2813"/>
    <w:rsid w:val="00DA2C32"/>
    <w:rsid w:val="00DA2DF2"/>
    <w:rsid w:val="00DA31ED"/>
    <w:rsid w:val="00DA36B3"/>
    <w:rsid w:val="00DA467B"/>
    <w:rsid w:val="00DA48C5"/>
    <w:rsid w:val="00DA4DDB"/>
    <w:rsid w:val="00DA53B9"/>
    <w:rsid w:val="00DA64C9"/>
    <w:rsid w:val="00DA6B67"/>
    <w:rsid w:val="00DA7371"/>
    <w:rsid w:val="00DA74CE"/>
    <w:rsid w:val="00DA7705"/>
    <w:rsid w:val="00DA7878"/>
    <w:rsid w:val="00DA7D78"/>
    <w:rsid w:val="00DA7F35"/>
    <w:rsid w:val="00DB005E"/>
    <w:rsid w:val="00DB0592"/>
    <w:rsid w:val="00DB0B44"/>
    <w:rsid w:val="00DB17F3"/>
    <w:rsid w:val="00DB1D21"/>
    <w:rsid w:val="00DB1FA4"/>
    <w:rsid w:val="00DB2A05"/>
    <w:rsid w:val="00DB2C57"/>
    <w:rsid w:val="00DB2DF8"/>
    <w:rsid w:val="00DB3023"/>
    <w:rsid w:val="00DB3562"/>
    <w:rsid w:val="00DB3613"/>
    <w:rsid w:val="00DB3DB1"/>
    <w:rsid w:val="00DB3E6A"/>
    <w:rsid w:val="00DB3FDB"/>
    <w:rsid w:val="00DB4274"/>
    <w:rsid w:val="00DB4843"/>
    <w:rsid w:val="00DB4D86"/>
    <w:rsid w:val="00DB514B"/>
    <w:rsid w:val="00DB5712"/>
    <w:rsid w:val="00DB5C0E"/>
    <w:rsid w:val="00DB5E0E"/>
    <w:rsid w:val="00DB6379"/>
    <w:rsid w:val="00DB64AA"/>
    <w:rsid w:val="00DB657F"/>
    <w:rsid w:val="00DB65C2"/>
    <w:rsid w:val="00DB66CE"/>
    <w:rsid w:val="00DB6952"/>
    <w:rsid w:val="00DB70EE"/>
    <w:rsid w:val="00DB715A"/>
    <w:rsid w:val="00DB7503"/>
    <w:rsid w:val="00DB75A4"/>
    <w:rsid w:val="00DB7827"/>
    <w:rsid w:val="00DB7BF9"/>
    <w:rsid w:val="00DC00C7"/>
    <w:rsid w:val="00DC023B"/>
    <w:rsid w:val="00DC0554"/>
    <w:rsid w:val="00DC07EC"/>
    <w:rsid w:val="00DC07F1"/>
    <w:rsid w:val="00DC0AEF"/>
    <w:rsid w:val="00DC128B"/>
    <w:rsid w:val="00DC1828"/>
    <w:rsid w:val="00DC1A6F"/>
    <w:rsid w:val="00DC22AD"/>
    <w:rsid w:val="00DC2DC5"/>
    <w:rsid w:val="00DC2E98"/>
    <w:rsid w:val="00DC30EA"/>
    <w:rsid w:val="00DC33EC"/>
    <w:rsid w:val="00DC3F9B"/>
    <w:rsid w:val="00DC4D22"/>
    <w:rsid w:val="00DC5B2D"/>
    <w:rsid w:val="00DC6491"/>
    <w:rsid w:val="00DC6E16"/>
    <w:rsid w:val="00DC7045"/>
    <w:rsid w:val="00DC70CD"/>
    <w:rsid w:val="00DC7601"/>
    <w:rsid w:val="00DC7E6F"/>
    <w:rsid w:val="00DD00EA"/>
    <w:rsid w:val="00DD1635"/>
    <w:rsid w:val="00DD1BD3"/>
    <w:rsid w:val="00DD1EFE"/>
    <w:rsid w:val="00DD20DE"/>
    <w:rsid w:val="00DD229D"/>
    <w:rsid w:val="00DD2A3E"/>
    <w:rsid w:val="00DD2E4E"/>
    <w:rsid w:val="00DD36AA"/>
    <w:rsid w:val="00DD3B6A"/>
    <w:rsid w:val="00DD405B"/>
    <w:rsid w:val="00DD45BB"/>
    <w:rsid w:val="00DD4974"/>
    <w:rsid w:val="00DD4991"/>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550"/>
    <w:rsid w:val="00DE176E"/>
    <w:rsid w:val="00DE1EC9"/>
    <w:rsid w:val="00DE23F2"/>
    <w:rsid w:val="00DE24B0"/>
    <w:rsid w:val="00DE28B1"/>
    <w:rsid w:val="00DE38AA"/>
    <w:rsid w:val="00DE4CB8"/>
    <w:rsid w:val="00DE4E7D"/>
    <w:rsid w:val="00DE5A1E"/>
    <w:rsid w:val="00DE5EEE"/>
    <w:rsid w:val="00DE6721"/>
    <w:rsid w:val="00DE6912"/>
    <w:rsid w:val="00DE6E01"/>
    <w:rsid w:val="00DE6F95"/>
    <w:rsid w:val="00DE7140"/>
    <w:rsid w:val="00DE7355"/>
    <w:rsid w:val="00DE77E7"/>
    <w:rsid w:val="00DE7E8B"/>
    <w:rsid w:val="00DF0365"/>
    <w:rsid w:val="00DF04A6"/>
    <w:rsid w:val="00DF0745"/>
    <w:rsid w:val="00DF0790"/>
    <w:rsid w:val="00DF0DF8"/>
    <w:rsid w:val="00DF1011"/>
    <w:rsid w:val="00DF15B6"/>
    <w:rsid w:val="00DF15EC"/>
    <w:rsid w:val="00DF1806"/>
    <w:rsid w:val="00DF1C2D"/>
    <w:rsid w:val="00DF1F17"/>
    <w:rsid w:val="00DF1F85"/>
    <w:rsid w:val="00DF20CE"/>
    <w:rsid w:val="00DF20EA"/>
    <w:rsid w:val="00DF2425"/>
    <w:rsid w:val="00DF2974"/>
    <w:rsid w:val="00DF297F"/>
    <w:rsid w:val="00DF3422"/>
    <w:rsid w:val="00DF3E3B"/>
    <w:rsid w:val="00DF45FF"/>
    <w:rsid w:val="00DF4AC7"/>
    <w:rsid w:val="00DF4CEB"/>
    <w:rsid w:val="00DF52F8"/>
    <w:rsid w:val="00DF7217"/>
    <w:rsid w:val="00DF73CF"/>
    <w:rsid w:val="00DF7557"/>
    <w:rsid w:val="00DF79A3"/>
    <w:rsid w:val="00DF7C8C"/>
    <w:rsid w:val="00E00282"/>
    <w:rsid w:val="00E0043E"/>
    <w:rsid w:val="00E00A75"/>
    <w:rsid w:val="00E00C22"/>
    <w:rsid w:val="00E0156F"/>
    <w:rsid w:val="00E019C8"/>
    <w:rsid w:val="00E01C97"/>
    <w:rsid w:val="00E01CF0"/>
    <w:rsid w:val="00E027C2"/>
    <w:rsid w:val="00E02AD1"/>
    <w:rsid w:val="00E02F4E"/>
    <w:rsid w:val="00E031F0"/>
    <w:rsid w:val="00E0320F"/>
    <w:rsid w:val="00E04064"/>
    <w:rsid w:val="00E045EF"/>
    <w:rsid w:val="00E04E2B"/>
    <w:rsid w:val="00E0514D"/>
    <w:rsid w:val="00E052C4"/>
    <w:rsid w:val="00E05CBA"/>
    <w:rsid w:val="00E06166"/>
    <w:rsid w:val="00E0621A"/>
    <w:rsid w:val="00E06387"/>
    <w:rsid w:val="00E06561"/>
    <w:rsid w:val="00E06583"/>
    <w:rsid w:val="00E0682A"/>
    <w:rsid w:val="00E06C17"/>
    <w:rsid w:val="00E07228"/>
    <w:rsid w:val="00E0766D"/>
    <w:rsid w:val="00E10090"/>
    <w:rsid w:val="00E102DD"/>
    <w:rsid w:val="00E10331"/>
    <w:rsid w:val="00E10935"/>
    <w:rsid w:val="00E10B43"/>
    <w:rsid w:val="00E10C1D"/>
    <w:rsid w:val="00E10D76"/>
    <w:rsid w:val="00E11A6C"/>
    <w:rsid w:val="00E11AE0"/>
    <w:rsid w:val="00E12585"/>
    <w:rsid w:val="00E12613"/>
    <w:rsid w:val="00E126E5"/>
    <w:rsid w:val="00E13C3D"/>
    <w:rsid w:val="00E13CC6"/>
    <w:rsid w:val="00E1421F"/>
    <w:rsid w:val="00E1436D"/>
    <w:rsid w:val="00E14415"/>
    <w:rsid w:val="00E1449F"/>
    <w:rsid w:val="00E14A2C"/>
    <w:rsid w:val="00E14C3C"/>
    <w:rsid w:val="00E15157"/>
    <w:rsid w:val="00E15484"/>
    <w:rsid w:val="00E15680"/>
    <w:rsid w:val="00E15BCB"/>
    <w:rsid w:val="00E1644C"/>
    <w:rsid w:val="00E16730"/>
    <w:rsid w:val="00E16852"/>
    <w:rsid w:val="00E168FA"/>
    <w:rsid w:val="00E16AF6"/>
    <w:rsid w:val="00E16DB7"/>
    <w:rsid w:val="00E177F1"/>
    <w:rsid w:val="00E17D33"/>
    <w:rsid w:val="00E202FC"/>
    <w:rsid w:val="00E203ED"/>
    <w:rsid w:val="00E20A78"/>
    <w:rsid w:val="00E20CD7"/>
    <w:rsid w:val="00E20D09"/>
    <w:rsid w:val="00E2106E"/>
    <w:rsid w:val="00E21495"/>
    <w:rsid w:val="00E21AD7"/>
    <w:rsid w:val="00E22183"/>
    <w:rsid w:val="00E22A38"/>
    <w:rsid w:val="00E22D0F"/>
    <w:rsid w:val="00E23557"/>
    <w:rsid w:val="00E235D5"/>
    <w:rsid w:val="00E23D4C"/>
    <w:rsid w:val="00E23E7D"/>
    <w:rsid w:val="00E24B81"/>
    <w:rsid w:val="00E24C2A"/>
    <w:rsid w:val="00E24F41"/>
    <w:rsid w:val="00E24FFE"/>
    <w:rsid w:val="00E251C3"/>
    <w:rsid w:val="00E252E5"/>
    <w:rsid w:val="00E25EB1"/>
    <w:rsid w:val="00E2604C"/>
    <w:rsid w:val="00E260B0"/>
    <w:rsid w:val="00E26382"/>
    <w:rsid w:val="00E264C0"/>
    <w:rsid w:val="00E264F9"/>
    <w:rsid w:val="00E267AA"/>
    <w:rsid w:val="00E26870"/>
    <w:rsid w:val="00E268C3"/>
    <w:rsid w:val="00E273E5"/>
    <w:rsid w:val="00E278E8"/>
    <w:rsid w:val="00E27FB8"/>
    <w:rsid w:val="00E30064"/>
    <w:rsid w:val="00E301E4"/>
    <w:rsid w:val="00E3078A"/>
    <w:rsid w:val="00E31099"/>
    <w:rsid w:val="00E31801"/>
    <w:rsid w:val="00E319E0"/>
    <w:rsid w:val="00E32209"/>
    <w:rsid w:val="00E3275C"/>
    <w:rsid w:val="00E327B1"/>
    <w:rsid w:val="00E327B9"/>
    <w:rsid w:val="00E32A5A"/>
    <w:rsid w:val="00E32A5E"/>
    <w:rsid w:val="00E32E66"/>
    <w:rsid w:val="00E3307A"/>
    <w:rsid w:val="00E331E4"/>
    <w:rsid w:val="00E3328F"/>
    <w:rsid w:val="00E336AB"/>
    <w:rsid w:val="00E33C15"/>
    <w:rsid w:val="00E3413D"/>
    <w:rsid w:val="00E34633"/>
    <w:rsid w:val="00E3470A"/>
    <w:rsid w:val="00E34C64"/>
    <w:rsid w:val="00E34CED"/>
    <w:rsid w:val="00E35CBE"/>
    <w:rsid w:val="00E35DC5"/>
    <w:rsid w:val="00E36239"/>
    <w:rsid w:val="00E36C10"/>
    <w:rsid w:val="00E36EB8"/>
    <w:rsid w:val="00E374E2"/>
    <w:rsid w:val="00E37695"/>
    <w:rsid w:val="00E37830"/>
    <w:rsid w:val="00E37F55"/>
    <w:rsid w:val="00E40453"/>
    <w:rsid w:val="00E4059C"/>
    <w:rsid w:val="00E405F0"/>
    <w:rsid w:val="00E40680"/>
    <w:rsid w:val="00E40C1A"/>
    <w:rsid w:val="00E40DE8"/>
    <w:rsid w:val="00E41014"/>
    <w:rsid w:val="00E41601"/>
    <w:rsid w:val="00E421F2"/>
    <w:rsid w:val="00E428CB"/>
    <w:rsid w:val="00E4423D"/>
    <w:rsid w:val="00E44378"/>
    <w:rsid w:val="00E449C3"/>
    <w:rsid w:val="00E45020"/>
    <w:rsid w:val="00E450D8"/>
    <w:rsid w:val="00E4528A"/>
    <w:rsid w:val="00E45835"/>
    <w:rsid w:val="00E4591D"/>
    <w:rsid w:val="00E45C08"/>
    <w:rsid w:val="00E464DF"/>
    <w:rsid w:val="00E46502"/>
    <w:rsid w:val="00E46F6A"/>
    <w:rsid w:val="00E471E6"/>
    <w:rsid w:val="00E473AE"/>
    <w:rsid w:val="00E476E0"/>
    <w:rsid w:val="00E47DDE"/>
    <w:rsid w:val="00E50124"/>
    <w:rsid w:val="00E5134D"/>
    <w:rsid w:val="00E519D8"/>
    <w:rsid w:val="00E51DD3"/>
    <w:rsid w:val="00E5209E"/>
    <w:rsid w:val="00E522CD"/>
    <w:rsid w:val="00E5241D"/>
    <w:rsid w:val="00E5271E"/>
    <w:rsid w:val="00E52BC4"/>
    <w:rsid w:val="00E53315"/>
    <w:rsid w:val="00E5334A"/>
    <w:rsid w:val="00E53532"/>
    <w:rsid w:val="00E536C6"/>
    <w:rsid w:val="00E53B8E"/>
    <w:rsid w:val="00E53BBA"/>
    <w:rsid w:val="00E542AA"/>
    <w:rsid w:val="00E543EE"/>
    <w:rsid w:val="00E548D1"/>
    <w:rsid w:val="00E54D9C"/>
    <w:rsid w:val="00E54DFF"/>
    <w:rsid w:val="00E54E59"/>
    <w:rsid w:val="00E55B02"/>
    <w:rsid w:val="00E55D1D"/>
    <w:rsid w:val="00E55EA3"/>
    <w:rsid w:val="00E55FAC"/>
    <w:rsid w:val="00E56130"/>
    <w:rsid w:val="00E563F0"/>
    <w:rsid w:val="00E56574"/>
    <w:rsid w:val="00E565B4"/>
    <w:rsid w:val="00E56D19"/>
    <w:rsid w:val="00E57012"/>
    <w:rsid w:val="00E5737A"/>
    <w:rsid w:val="00E57481"/>
    <w:rsid w:val="00E57704"/>
    <w:rsid w:val="00E5776E"/>
    <w:rsid w:val="00E57954"/>
    <w:rsid w:val="00E57AA2"/>
    <w:rsid w:val="00E57C07"/>
    <w:rsid w:val="00E57D82"/>
    <w:rsid w:val="00E57EE7"/>
    <w:rsid w:val="00E604CA"/>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B6D"/>
    <w:rsid w:val="00E64EDF"/>
    <w:rsid w:val="00E65903"/>
    <w:rsid w:val="00E65958"/>
    <w:rsid w:val="00E65DDD"/>
    <w:rsid w:val="00E65EFB"/>
    <w:rsid w:val="00E6668F"/>
    <w:rsid w:val="00E666DD"/>
    <w:rsid w:val="00E66856"/>
    <w:rsid w:val="00E66B4A"/>
    <w:rsid w:val="00E670C5"/>
    <w:rsid w:val="00E671F0"/>
    <w:rsid w:val="00E67B43"/>
    <w:rsid w:val="00E70402"/>
    <w:rsid w:val="00E707EA"/>
    <w:rsid w:val="00E7123B"/>
    <w:rsid w:val="00E712EA"/>
    <w:rsid w:val="00E71813"/>
    <w:rsid w:val="00E71D96"/>
    <w:rsid w:val="00E722A5"/>
    <w:rsid w:val="00E72478"/>
    <w:rsid w:val="00E726BE"/>
    <w:rsid w:val="00E7292C"/>
    <w:rsid w:val="00E72DBA"/>
    <w:rsid w:val="00E73482"/>
    <w:rsid w:val="00E73537"/>
    <w:rsid w:val="00E740DA"/>
    <w:rsid w:val="00E7455D"/>
    <w:rsid w:val="00E745C0"/>
    <w:rsid w:val="00E747EA"/>
    <w:rsid w:val="00E747EE"/>
    <w:rsid w:val="00E74802"/>
    <w:rsid w:val="00E74B06"/>
    <w:rsid w:val="00E74D9F"/>
    <w:rsid w:val="00E74FA2"/>
    <w:rsid w:val="00E74FCB"/>
    <w:rsid w:val="00E75AAC"/>
    <w:rsid w:val="00E75D1F"/>
    <w:rsid w:val="00E76345"/>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9BE"/>
    <w:rsid w:val="00E81A7F"/>
    <w:rsid w:val="00E81E34"/>
    <w:rsid w:val="00E826D1"/>
    <w:rsid w:val="00E82815"/>
    <w:rsid w:val="00E828CB"/>
    <w:rsid w:val="00E83A5E"/>
    <w:rsid w:val="00E83AFD"/>
    <w:rsid w:val="00E844C3"/>
    <w:rsid w:val="00E845F8"/>
    <w:rsid w:val="00E846DB"/>
    <w:rsid w:val="00E85157"/>
    <w:rsid w:val="00E8521F"/>
    <w:rsid w:val="00E863AA"/>
    <w:rsid w:val="00E86555"/>
    <w:rsid w:val="00E86608"/>
    <w:rsid w:val="00E8695C"/>
    <w:rsid w:val="00E86EAF"/>
    <w:rsid w:val="00E86FEA"/>
    <w:rsid w:val="00E87559"/>
    <w:rsid w:val="00E87A01"/>
    <w:rsid w:val="00E87DDD"/>
    <w:rsid w:val="00E9006C"/>
    <w:rsid w:val="00E9023B"/>
    <w:rsid w:val="00E9047A"/>
    <w:rsid w:val="00E90609"/>
    <w:rsid w:val="00E90B5E"/>
    <w:rsid w:val="00E90C89"/>
    <w:rsid w:val="00E913B3"/>
    <w:rsid w:val="00E918B7"/>
    <w:rsid w:val="00E92565"/>
    <w:rsid w:val="00E925EA"/>
    <w:rsid w:val="00E9260C"/>
    <w:rsid w:val="00E9266C"/>
    <w:rsid w:val="00E926CD"/>
    <w:rsid w:val="00E932D1"/>
    <w:rsid w:val="00E93C7E"/>
    <w:rsid w:val="00E93EB9"/>
    <w:rsid w:val="00E94084"/>
    <w:rsid w:val="00E94113"/>
    <w:rsid w:val="00E943D4"/>
    <w:rsid w:val="00E948BF"/>
    <w:rsid w:val="00E94DAA"/>
    <w:rsid w:val="00E9526E"/>
    <w:rsid w:val="00E96468"/>
    <w:rsid w:val="00E96AEB"/>
    <w:rsid w:val="00E96F68"/>
    <w:rsid w:val="00E970D7"/>
    <w:rsid w:val="00E972EE"/>
    <w:rsid w:val="00E97779"/>
    <w:rsid w:val="00E978CC"/>
    <w:rsid w:val="00E97B84"/>
    <w:rsid w:val="00E97F38"/>
    <w:rsid w:val="00EA0289"/>
    <w:rsid w:val="00EA02D7"/>
    <w:rsid w:val="00EA08EC"/>
    <w:rsid w:val="00EA0FCE"/>
    <w:rsid w:val="00EA18A8"/>
    <w:rsid w:val="00EA1FE5"/>
    <w:rsid w:val="00EA2142"/>
    <w:rsid w:val="00EA2D29"/>
    <w:rsid w:val="00EA3749"/>
    <w:rsid w:val="00EA3CF5"/>
    <w:rsid w:val="00EA3D21"/>
    <w:rsid w:val="00EA48C9"/>
    <w:rsid w:val="00EA4BB6"/>
    <w:rsid w:val="00EA538B"/>
    <w:rsid w:val="00EA59B0"/>
    <w:rsid w:val="00EA6094"/>
    <w:rsid w:val="00EA6224"/>
    <w:rsid w:val="00EA69A5"/>
    <w:rsid w:val="00EA6D93"/>
    <w:rsid w:val="00EA70F7"/>
    <w:rsid w:val="00EA7446"/>
    <w:rsid w:val="00EA7657"/>
    <w:rsid w:val="00EB004D"/>
    <w:rsid w:val="00EB0146"/>
    <w:rsid w:val="00EB02C1"/>
    <w:rsid w:val="00EB0322"/>
    <w:rsid w:val="00EB05F5"/>
    <w:rsid w:val="00EB0ACA"/>
    <w:rsid w:val="00EB126D"/>
    <w:rsid w:val="00EB153B"/>
    <w:rsid w:val="00EB159C"/>
    <w:rsid w:val="00EB17F3"/>
    <w:rsid w:val="00EB1BE8"/>
    <w:rsid w:val="00EB292B"/>
    <w:rsid w:val="00EB2D5C"/>
    <w:rsid w:val="00EB3802"/>
    <w:rsid w:val="00EB3EAF"/>
    <w:rsid w:val="00EB4010"/>
    <w:rsid w:val="00EB46FA"/>
    <w:rsid w:val="00EB48F6"/>
    <w:rsid w:val="00EB4BEB"/>
    <w:rsid w:val="00EB4D75"/>
    <w:rsid w:val="00EB5287"/>
    <w:rsid w:val="00EB6405"/>
    <w:rsid w:val="00EB6587"/>
    <w:rsid w:val="00EB6599"/>
    <w:rsid w:val="00EB66AC"/>
    <w:rsid w:val="00EB69B4"/>
    <w:rsid w:val="00EB6A0D"/>
    <w:rsid w:val="00EB7059"/>
    <w:rsid w:val="00EB75D2"/>
    <w:rsid w:val="00EB7932"/>
    <w:rsid w:val="00EB7E38"/>
    <w:rsid w:val="00EC0214"/>
    <w:rsid w:val="00EC05BA"/>
    <w:rsid w:val="00EC0B35"/>
    <w:rsid w:val="00EC0BAA"/>
    <w:rsid w:val="00EC0D64"/>
    <w:rsid w:val="00EC104C"/>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D15"/>
    <w:rsid w:val="00EC7DAA"/>
    <w:rsid w:val="00EC7DB0"/>
    <w:rsid w:val="00EC7EDB"/>
    <w:rsid w:val="00ED024A"/>
    <w:rsid w:val="00ED0F1A"/>
    <w:rsid w:val="00ED12B0"/>
    <w:rsid w:val="00ED18E9"/>
    <w:rsid w:val="00ED1D36"/>
    <w:rsid w:val="00ED1F83"/>
    <w:rsid w:val="00ED213F"/>
    <w:rsid w:val="00ED2540"/>
    <w:rsid w:val="00ED2B9A"/>
    <w:rsid w:val="00ED2DB8"/>
    <w:rsid w:val="00ED379B"/>
    <w:rsid w:val="00ED3A92"/>
    <w:rsid w:val="00ED4060"/>
    <w:rsid w:val="00ED45E3"/>
    <w:rsid w:val="00ED4783"/>
    <w:rsid w:val="00ED49B3"/>
    <w:rsid w:val="00ED51DE"/>
    <w:rsid w:val="00ED52CD"/>
    <w:rsid w:val="00ED539C"/>
    <w:rsid w:val="00ED53CB"/>
    <w:rsid w:val="00ED5447"/>
    <w:rsid w:val="00ED54B4"/>
    <w:rsid w:val="00ED5993"/>
    <w:rsid w:val="00ED5A24"/>
    <w:rsid w:val="00ED5AC4"/>
    <w:rsid w:val="00ED601F"/>
    <w:rsid w:val="00ED6222"/>
    <w:rsid w:val="00ED689C"/>
    <w:rsid w:val="00ED6D5F"/>
    <w:rsid w:val="00ED6F3C"/>
    <w:rsid w:val="00ED74B3"/>
    <w:rsid w:val="00ED74C3"/>
    <w:rsid w:val="00ED79B4"/>
    <w:rsid w:val="00ED7E44"/>
    <w:rsid w:val="00EE0456"/>
    <w:rsid w:val="00EE08CA"/>
    <w:rsid w:val="00EE0A57"/>
    <w:rsid w:val="00EE0C9C"/>
    <w:rsid w:val="00EE1B4A"/>
    <w:rsid w:val="00EE1C17"/>
    <w:rsid w:val="00EE1D56"/>
    <w:rsid w:val="00EE1F84"/>
    <w:rsid w:val="00EE20B1"/>
    <w:rsid w:val="00EE235A"/>
    <w:rsid w:val="00EE294E"/>
    <w:rsid w:val="00EE35B8"/>
    <w:rsid w:val="00EE3632"/>
    <w:rsid w:val="00EE394D"/>
    <w:rsid w:val="00EE3EC0"/>
    <w:rsid w:val="00EE4129"/>
    <w:rsid w:val="00EE427C"/>
    <w:rsid w:val="00EE4392"/>
    <w:rsid w:val="00EE43C1"/>
    <w:rsid w:val="00EE4B3F"/>
    <w:rsid w:val="00EE4DCC"/>
    <w:rsid w:val="00EE5425"/>
    <w:rsid w:val="00EE559E"/>
    <w:rsid w:val="00EE5BB3"/>
    <w:rsid w:val="00EE620B"/>
    <w:rsid w:val="00EE6D82"/>
    <w:rsid w:val="00EE715D"/>
    <w:rsid w:val="00EE7273"/>
    <w:rsid w:val="00EE74FC"/>
    <w:rsid w:val="00EE7916"/>
    <w:rsid w:val="00EE793A"/>
    <w:rsid w:val="00EE7A69"/>
    <w:rsid w:val="00EE7C99"/>
    <w:rsid w:val="00EF0A64"/>
    <w:rsid w:val="00EF132F"/>
    <w:rsid w:val="00EF1392"/>
    <w:rsid w:val="00EF1464"/>
    <w:rsid w:val="00EF150A"/>
    <w:rsid w:val="00EF18AD"/>
    <w:rsid w:val="00EF19D9"/>
    <w:rsid w:val="00EF2467"/>
    <w:rsid w:val="00EF4844"/>
    <w:rsid w:val="00EF4853"/>
    <w:rsid w:val="00EF4A5A"/>
    <w:rsid w:val="00EF4E5E"/>
    <w:rsid w:val="00EF5112"/>
    <w:rsid w:val="00EF5132"/>
    <w:rsid w:val="00EF5667"/>
    <w:rsid w:val="00EF5D5A"/>
    <w:rsid w:val="00EF5D5C"/>
    <w:rsid w:val="00EF63BB"/>
    <w:rsid w:val="00EF6662"/>
    <w:rsid w:val="00EF6786"/>
    <w:rsid w:val="00EF6D04"/>
    <w:rsid w:val="00EF6D93"/>
    <w:rsid w:val="00EF6EEB"/>
    <w:rsid w:val="00EF72DF"/>
    <w:rsid w:val="00EF73C5"/>
    <w:rsid w:val="00EF760F"/>
    <w:rsid w:val="00EF7671"/>
    <w:rsid w:val="00EF77F0"/>
    <w:rsid w:val="00EF7E34"/>
    <w:rsid w:val="00F00002"/>
    <w:rsid w:val="00F001EC"/>
    <w:rsid w:val="00F003C1"/>
    <w:rsid w:val="00F00918"/>
    <w:rsid w:val="00F009C1"/>
    <w:rsid w:val="00F00EA8"/>
    <w:rsid w:val="00F01186"/>
    <w:rsid w:val="00F011DB"/>
    <w:rsid w:val="00F01A4D"/>
    <w:rsid w:val="00F01EB1"/>
    <w:rsid w:val="00F021AC"/>
    <w:rsid w:val="00F0223F"/>
    <w:rsid w:val="00F029BC"/>
    <w:rsid w:val="00F02BBD"/>
    <w:rsid w:val="00F02C66"/>
    <w:rsid w:val="00F02F44"/>
    <w:rsid w:val="00F0307D"/>
    <w:rsid w:val="00F031F5"/>
    <w:rsid w:val="00F033C6"/>
    <w:rsid w:val="00F036A3"/>
    <w:rsid w:val="00F0373C"/>
    <w:rsid w:val="00F03AD8"/>
    <w:rsid w:val="00F03B42"/>
    <w:rsid w:val="00F042BD"/>
    <w:rsid w:val="00F04921"/>
    <w:rsid w:val="00F04E78"/>
    <w:rsid w:val="00F04FEF"/>
    <w:rsid w:val="00F05361"/>
    <w:rsid w:val="00F05D9F"/>
    <w:rsid w:val="00F05F8B"/>
    <w:rsid w:val="00F0636F"/>
    <w:rsid w:val="00F06854"/>
    <w:rsid w:val="00F07604"/>
    <w:rsid w:val="00F07613"/>
    <w:rsid w:val="00F0767F"/>
    <w:rsid w:val="00F077B6"/>
    <w:rsid w:val="00F0785A"/>
    <w:rsid w:val="00F078EC"/>
    <w:rsid w:val="00F07B9B"/>
    <w:rsid w:val="00F07C18"/>
    <w:rsid w:val="00F11356"/>
    <w:rsid w:val="00F116D0"/>
    <w:rsid w:val="00F11778"/>
    <w:rsid w:val="00F121D1"/>
    <w:rsid w:val="00F12629"/>
    <w:rsid w:val="00F12B69"/>
    <w:rsid w:val="00F1308B"/>
    <w:rsid w:val="00F134C6"/>
    <w:rsid w:val="00F1354C"/>
    <w:rsid w:val="00F138FD"/>
    <w:rsid w:val="00F143DE"/>
    <w:rsid w:val="00F1440B"/>
    <w:rsid w:val="00F14777"/>
    <w:rsid w:val="00F147E6"/>
    <w:rsid w:val="00F14FD5"/>
    <w:rsid w:val="00F152D3"/>
    <w:rsid w:val="00F15440"/>
    <w:rsid w:val="00F15E67"/>
    <w:rsid w:val="00F15EFD"/>
    <w:rsid w:val="00F15EFE"/>
    <w:rsid w:val="00F164DE"/>
    <w:rsid w:val="00F16634"/>
    <w:rsid w:val="00F1663E"/>
    <w:rsid w:val="00F167B3"/>
    <w:rsid w:val="00F16853"/>
    <w:rsid w:val="00F171F9"/>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4AC"/>
    <w:rsid w:val="00F236D5"/>
    <w:rsid w:val="00F238EF"/>
    <w:rsid w:val="00F23EBE"/>
    <w:rsid w:val="00F248C7"/>
    <w:rsid w:val="00F24B8E"/>
    <w:rsid w:val="00F24D6A"/>
    <w:rsid w:val="00F24FFD"/>
    <w:rsid w:val="00F2519E"/>
    <w:rsid w:val="00F2574A"/>
    <w:rsid w:val="00F25763"/>
    <w:rsid w:val="00F2594A"/>
    <w:rsid w:val="00F25CA3"/>
    <w:rsid w:val="00F25F64"/>
    <w:rsid w:val="00F25FC7"/>
    <w:rsid w:val="00F2630A"/>
    <w:rsid w:val="00F263AD"/>
    <w:rsid w:val="00F264B8"/>
    <w:rsid w:val="00F26A5A"/>
    <w:rsid w:val="00F26D06"/>
    <w:rsid w:val="00F26D38"/>
    <w:rsid w:val="00F26E72"/>
    <w:rsid w:val="00F27536"/>
    <w:rsid w:val="00F27880"/>
    <w:rsid w:val="00F27B76"/>
    <w:rsid w:val="00F3040E"/>
    <w:rsid w:val="00F304A8"/>
    <w:rsid w:val="00F309CA"/>
    <w:rsid w:val="00F30B91"/>
    <w:rsid w:val="00F30F5D"/>
    <w:rsid w:val="00F31206"/>
    <w:rsid w:val="00F31532"/>
    <w:rsid w:val="00F3173A"/>
    <w:rsid w:val="00F31861"/>
    <w:rsid w:val="00F32088"/>
    <w:rsid w:val="00F32913"/>
    <w:rsid w:val="00F32A66"/>
    <w:rsid w:val="00F3324D"/>
    <w:rsid w:val="00F33C64"/>
    <w:rsid w:val="00F34210"/>
    <w:rsid w:val="00F34F66"/>
    <w:rsid w:val="00F350C6"/>
    <w:rsid w:val="00F351F7"/>
    <w:rsid w:val="00F3525E"/>
    <w:rsid w:val="00F35885"/>
    <w:rsid w:val="00F35CC0"/>
    <w:rsid w:val="00F36019"/>
    <w:rsid w:val="00F36605"/>
    <w:rsid w:val="00F366FB"/>
    <w:rsid w:val="00F36C9F"/>
    <w:rsid w:val="00F3732D"/>
    <w:rsid w:val="00F375F4"/>
    <w:rsid w:val="00F378A6"/>
    <w:rsid w:val="00F3796D"/>
    <w:rsid w:val="00F37B52"/>
    <w:rsid w:val="00F40202"/>
    <w:rsid w:val="00F40BE9"/>
    <w:rsid w:val="00F40ED3"/>
    <w:rsid w:val="00F411C1"/>
    <w:rsid w:val="00F4123C"/>
    <w:rsid w:val="00F4131E"/>
    <w:rsid w:val="00F4135A"/>
    <w:rsid w:val="00F42164"/>
    <w:rsid w:val="00F42AC0"/>
    <w:rsid w:val="00F43A56"/>
    <w:rsid w:val="00F43DD0"/>
    <w:rsid w:val="00F44203"/>
    <w:rsid w:val="00F445FF"/>
    <w:rsid w:val="00F4463B"/>
    <w:rsid w:val="00F44AF1"/>
    <w:rsid w:val="00F451D4"/>
    <w:rsid w:val="00F4541A"/>
    <w:rsid w:val="00F45AE2"/>
    <w:rsid w:val="00F45BD4"/>
    <w:rsid w:val="00F45EDF"/>
    <w:rsid w:val="00F46184"/>
    <w:rsid w:val="00F4625D"/>
    <w:rsid w:val="00F4638F"/>
    <w:rsid w:val="00F466B3"/>
    <w:rsid w:val="00F467AF"/>
    <w:rsid w:val="00F468E9"/>
    <w:rsid w:val="00F470D0"/>
    <w:rsid w:val="00F473D8"/>
    <w:rsid w:val="00F47643"/>
    <w:rsid w:val="00F47788"/>
    <w:rsid w:val="00F47849"/>
    <w:rsid w:val="00F478EB"/>
    <w:rsid w:val="00F47DD5"/>
    <w:rsid w:val="00F50BA3"/>
    <w:rsid w:val="00F51106"/>
    <w:rsid w:val="00F514E3"/>
    <w:rsid w:val="00F51A14"/>
    <w:rsid w:val="00F521AA"/>
    <w:rsid w:val="00F52501"/>
    <w:rsid w:val="00F52838"/>
    <w:rsid w:val="00F531C9"/>
    <w:rsid w:val="00F53406"/>
    <w:rsid w:val="00F53B78"/>
    <w:rsid w:val="00F53BB4"/>
    <w:rsid w:val="00F54251"/>
    <w:rsid w:val="00F5455E"/>
    <w:rsid w:val="00F547A4"/>
    <w:rsid w:val="00F54897"/>
    <w:rsid w:val="00F548B6"/>
    <w:rsid w:val="00F54D38"/>
    <w:rsid w:val="00F55082"/>
    <w:rsid w:val="00F553BF"/>
    <w:rsid w:val="00F558E6"/>
    <w:rsid w:val="00F55EAA"/>
    <w:rsid w:val="00F5629A"/>
    <w:rsid w:val="00F562A2"/>
    <w:rsid w:val="00F56A10"/>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D25"/>
    <w:rsid w:val="00F62FEE"/>
    <w:rsid w:val="00F630ED"/>
    <w:rsid w:val="00F6367D"/>
    <w:rsid w:val="00F6436A"/>
    <w:rsid w:val="00F6480B"/>
    <w:rsid w:val="00F64A00"/>
    <w:rsid w:val="00F64B26"/>
    <w:rsid w:val="00F64BC9"/>
    <w:rsid w:val="00F651FB"/>
    <w:rsid w:val="00F655F5"/>
    <w:rsid w:val="00F65886"/>
    <w:rsid w:val="00F65A67"/>
    <w:rsid w:val="00F65BDC"/>
    <w:rsid w:val="00F66042"/>
    <w:rsid w:val="00F663E4"/>
    <w:rsid w:val="00F66822"/>
    <w:rsid w:val="00F66A6E"/>
    <w:rsid w:val="00F66D44"/>
    <w:rsid w:val="00F67329"/>
    <w:rsid w:val="00F674DA"/>
    <w:rsid w:val="00F67D3F"/>
    <w:rsid w:val="00F67EE8"/>
    <w:rsid w:val="00F7002C"/>
    <w:rsid w:val="00F700D8"/>
    <w:rsid w:val="00F708F1"/>
    <w:rsid w:val="00F70FDD"/>
    <w:rsid w:val="00F71320"/>
    <w:rsid w:val="00F715E5"/>
    <w:rsid w:val="00F72109"/>
    <w:rsid w:val="00F722BE"/>
    <w:rsid w:val="00F72844"/>
    <w:rsid w:val="00F729DC"/>
    <w:rsid w:val="00F729F1"/>
    <w:rsid w:val="00F72B73"/>
    <w:rsid w:val="00F731D7"/>
    <w:rsid w:val="00F73702"/>
    <w:rsid w:val="00F73BCF"/>
    <w:rsid w:val="00F74166"/>
    <w:rsid w:val="00F752A2"/>
    <w:rsid w:val="00F75776"/>
    <w:rsid w:val="00F75AC3"/>
    <w:rsid w:val="00F75ADB"/>
    <w:rsid w:val="00F75EF5"/>
    <w:rsid w:val="00F7602D"/>
    <w:rsid w:val="00F76363"/>
    <w:rsid w:val="00F7685D"/>
    <w:rsid w:val="00F76C6C"/>
    <w:rsid w:val="00F76D4A"/>
    <w:rsid w:val="00F77119"/>
    <w:rsid w:val="00F77328"/>
    <w:rsid w:val="00F77552"/>
    <w:rsid w:val="00F77E63"/>
    <w:rsid w:val="00F8037E"/>
    <w:rsid w:val="00F803B7"/>
    <w:rsid w:val="00F806C9"/>
    <w:rsid w:val="00F807F7"/>
    <w:rsid w:val="00F8099F"/>
    <w:rsid w:val="00F816F6"/>
    <w:rsid w:val="00F82D8A"/>
    <w:rsid w:val="00F8324B"/>
    <w:rsid w:val="00F83681"/>
    <w:rsid w:val="00F838A8"/>
    <w:rsid w:val="00F83A8A"/>
    <w:rsid w:val="00F84A5A"/>
    <w:rsid w:val="00F85A9D"/>
    <w:rsid w:val="00F85B83"/>
    <w:rsid w:val="00F860D8"/>
    <w:rsid w:val="00F86914"/>
    <w:rsid w:val="00F86B73"/>
    <w:rsid w:val="00F870BF"/>
    <w:rsid w:val="00F8754B"/>
    <w:rsid w:val="00F9012C"/>
    <w:rsid w:val="00F90377"/>
    <w:rsid w:val="00F90ADE"/>
    <w:rsid w:val="00F9176D"/>
    <w:rsid w:val="00F91D3B"/>
    <w:rsid w:val="00F91D8E"/>
    <w:rsid w:val="00F91FB6"/>
    <w:rsid w:val="00F923B9"/>
    <w:rsid w:val="00F927E3"/>
    <w:rsid w:val="00F92F2C"/>
    <w:rsid w:val="00F934BB"/>
    <w:rsid w:val="00F939B6"/>
    <w:rsid w:val="00F93EC8"/>
    <w:rsid w:val="00F9440D"/>
    <w:rsid w:val="00F94A68"/>
    <w:rsid w:val="00F94BC6"/>
    <w:rsid w:val="00F94BC8"/>
    <w:rsid w:val="00F94C99"/>
    <w:rsid w:val="00F96019"/>
    <w:rsid w:val="00F9640C"/>
    <w:rsid w:val="00F9667A"/>
    <w:rsid w:val="00F9727D"/>
    <w:rsid w:val="00F97B70"/>
    <w:rsid w:val="00F97BCC"/>
    <w:rsid w:val="00FA057A"/>
    <w:rsid w:val="00FA0665"/>
    <w:rsid w:val="00FA0A8E"/>
    <w:rsid w:val="00FA189A"/>
    <w:rsid w:val="00FA1A50"/>
    <w:rsid w:val="00FA1D9A"/>
    <w:rsid w:val="00FA1F76"/>
    <w:rsid w:val="00FA26F8"/>
    <w:rsid w:val="00FA276F"/>
    <w:rsid w:val="00FA3509"/>
    <w:rsid w:val="00FA357D"/>
    <w:rsid w:val="00FA3AE6"/>
    <w:rsid w:val="00FA3DDE"/>
    <w:rsid w:val="00FA3E60"/>
    <w:rsid w:val="00FA3EC1"/>
    <w:rsid w:val="00FA40E6"/>
    <w:rsid w:val="00FA4628"/>
    <w:rsid w:val="00FA49E0"/>
    <w:rsid w:val="00FA5819"/>
    <w:rsid w:val="00FA5C9E"/>
    <w:rsid w:val="00FA5D5F"/>
    <w:rsid w:val="00FA66C6"/>
    <w:rsid w:val="00FA6F3D"/>
    <w:rsid w:val="00FA77FB"/>
    <w:rsid w:val="00FA7D36"/>
    <w:rsid w:val="00FB016A"/>
    <w:rsid w:val="00FB055C"/>
    <w:rsid w:val="00FB0C77"/>
    <w:rsid w:val="00FB0D77"/>
    <w:rsid w:val="00FB0D91"/>
    <w:rsid w:val="00FB0E86"/>
    <w:rsid w:val="00FB0F89"/>
    <w:rsid w:val="00FB172B"/>
    <w:rsid w:val="00FB1DC9"/>
    <w:rsid w:val="00FB215F"/>
    <w:rsid w:val="00FB274B"/>
    <w:rsid w:val="00FB2A5E"/>
    <w:rsid w:val="00FB39F2"/>
    <w:rsid w:val="00FB3FE2"/>
    <w:rsid w:val="00FB3FEE"/>
    <w:rsid w:val="00FB4372"/>
    <w:rsid w:val="00FB568A"/>
    <w:rsid w:val="00FB5967"/>
    <w:rsid w:val="00FB5AFD"/>
    <w:rsid w:val="00FB5B5B"/>
    <w:rsid w:val="00FB5C64"/>
    <w:rsid w:val="00FB5D5B"/>
    <w:rsid w:val="00FB6CE2"/>
    <w:rsid w:val="00FB7401"/>
    <w:rsid w:val="00FB77CF"/>
    <w:rsid w:val="00FB7A8F"/>
    <w:rsid w:val="00FB7ACB"/>
    <w:rsid w:val="00FB7F03"/>
    <w:rsid w:val="00FC01EC"/>
    <w:rsid w:val="00FC051A"/>
    <w:rsid w:val="00FC0E47"/>
    <w:rsid w:val="00FC1402"/>
    <w:rsid w:val="00FC15F6"/>
    <w:rsid w:val="00FC194F"/>
    <w:rsid w:val="00FC1B18"/>
    <w:rsid w:val="00FC2295"/>
    <w:rsid w:val="00FC275F"/>
    <w:rsid w:val="00FC29D5"/>
    <w:rsid w:val="00FC2AF3"/>
    <w:rsid w:val="00FC2DCC"/>
    <w:rsid w:val="00FC35FA"/>
    <w:rsid w:val="00FC370E"/>
    <w:rsid w:val="00FC3D15"/>
    <w:rsid w:val="00FC3D4C"/>
    <w:rsid w:val="00FC40E0"/>
    <w:rsid w:val="00FC4846"/>
    <w:rsid w:val="00FC5486"/>
    <w:rsid w:val="00FC58D3"/>
    <w:rsid w:val="00FC6222"/>
    <w:rsid w:val="00FC6EC0"/>
    <w:rsid w:val="00FC7770"/>
    <w:rsid w:val="00FC77C7"/>
    <w:rsid w:val="00FC7F65"/>
    <w:rsid w:val="00FD0D3F"/>
    <w:rsid w:val="00FD0F5C"/>
    <w:rsid w:val="00FD1298"/>
    <w:rsid w:val="00FD1CCA"/>
    <w:rsid w:val="00FD277B"/>
    <w:rsid w:val="00FD2865"/>
    <w:rsid w:val="00FD2CBA"/>
    <w:rsid w:val="00FD362E"/>
    <w:rsid w:val="00FD3816"/>
    <w:rsid w:val="00FD3AEE"/>
    <w:rsid w:val="00FD4281"/>
    <w:rsid w:val="00FD510F"/>
    <w:rsid w:val="00FD56F6"/>
    <w:rsid w:val="00FD5DF2"/>
    <w:rsid w:val="00FD5E28"/>
    <w:rsid w:val="00FD5E9E"/>
    <w:rsid w:val="00FD675A"/>
    <w:rsid w:val="00FD6EA3"/>
    <w:rsid w:val="00FD7514"/>
    <w:rsid w:val="00FD77A4"/>
    <w:rsid w:val="00FE03DA"/>
    <w:rsid w:val="00FE0897"/>
    <w:rsid w:val="00FE0940"/>
    <w:rsid w:val="00FE0989"/>
    <w:rsid w:val="00FE0E36"/>
    <w:rsid w:val="00FE102E"/>
    <w:rsid w:val="00FE1A57"/>
    <w:rsid w:val="00FE1FB4"/>
    <w:rsid w:val="00FE23B0"/>
    <w:rsid w:val="00FE24A9"/>
    <w:rsid w:val="00FE28C4"/>
    <w:rsid w:val="00FE34DC"/>
    <w:rsid w:val="00FE354B"/>
    <w:rsid w:val="00FE371A"/>
    <w:rsid w:val="00FE37E9"/>
    <w:rsid w:val="00FE3D93"/>
    <w:rsid w:val="00FE4329"/>
    <w:rsid w:val="00FE44CB"/>
    <w:rsid w:val="00FE45BD"/>
    <w:rsid w:val="00FE4D06"/>
    <w:rsid w:val="00FE574B"/>
    <w:rsid w:val="00FE655B"/>
    <w:rsid w:val="00FE6632"/>
    <w:rsid w:val="00FE66ED"/>
    <w:rsid w:val="00FE68E7"/>
    <w:rsid w:val="00FE6C64"/>
    <w:rsid w:val="00FE6F3D"/>
    <w:rsid w:val="00FE76FA"/>
    <w:rsid w:val="00FE77D3"/>
    <w:rsid w:val="00FF02F7"/>
    <w:rsid w:val="00FF062D"/>
    <w:rsid w:val="00FF0D5B"/>
    <w:rsid w:val="00FF1329"/>
    <w:rsid w:val="00FF1643"/>
    <w:rsid w:val="00FF1B15"/>
    <w:rsid w:val="00FF1CE1"/>
    <w:rsid w:val="00FF1E0B"/>
    <w:rsid w:val="00FF2021"/>
    <w:rsid w:val="00FF24A7"/>
    <w:rsid w:val="00FF2948"/>
    <w:rsid w:val="00FF2A25"/>
    <w:rsid w:val="00FF2A98"/>
    <w:rsid w:val="00FF2C48"/>
    <w:rsid w:val="00FF2F44"/>
    <w:rsid w:val="00FF314A"/>
    <w:rsid w:val="00FF34CD"/>
    <w:rsid w:val="00FF352D"/>
    <w:rsid w:val="00FF360F"/>
    <w:rsid w:val="00FF3965"/>
    <w:rsid w:val="00FF396F"/>
    <w:rsid w:val="00FF3AA1"/>
    <w:rsid w:val="00FF4397"/>
    <w:rsid w:val="00FF463E"/>
    <w:rsid w:val="00FF4BAF"/>
    <w:rsid w:val="00FF4ED3"/>
    <w:rsid w:val="00FF50D5"/>
    <w:rsid w:val="00FF537D"/>
    <w:rsid w:val="00FF6118"/>
    <w:rsid w:val="00FF64E9"/>
    <w:rsid w:val="00FF6D0A"/>
    <w:rsid w:val="00FF6E50"/>
    <w:rsid w:val="00FF6E89"/>
    <w:rsid w:val="00FF7965"/>
    <w:rsid w:val="00FF799E"/>
    <w:rsid w:val="00FF7AC5"/>
    <w:rsid w:val="00FF7C0E"/>
    <w:rsid w:val="00FF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CE017"/>
  <w15:docId w15:val="{958419AC-E1D3-4081-855A-93506C9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link w:val="Heading2Char"/>
    <w:uiPriority w:val="99"/>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uiPriority w:val="99"/>
    <w:qFormat/>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qFormat/>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Header Char2,Header Char1 Char1,Header Char Char1"/>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 w:type="character" w:customStyle="1" w:styleId="Heading2Char">
    <w:name w:val="Heading 2 Char"/>
    <w:basedOn w:val="DefaultParagraphFont"/>
    <w:link w:val="Heading2"/>
    <w:uiPriority w:val="99"/>
    <w:rsid w:val="0008732B"/>
    <w:rPr>
      <w:rFonts w:ascii="Arial" w:hAnsi="Arial" w:cs="Arial"/>
      <w:b/>
      <w:bCs/>
      <w:i/>
      <w:iCs/>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0327938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Приходи</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помощи </a:t>
            </a:r>
            <a:r>
              <a:rPr lang="bg-BG" sz="1000" b="1" i="0" u="none" strike="noStrike" baseline="0">
                <a:solidFill>
                  <a:srgbClr val="000000"/>
                </a:solidFill>
                <a:latin typeface="Times New Roman"/>
                <a:cs typeface="Times New Roman"/>
              </a:rPr>
              <a:t>и дарения </a:t>
            </a:r>
            <a:r>
              <a:rPr lang="en-US" sz="1000" b="1" i="0" u="none" strike="noStrike" baseline="0">
                <a:solidFill>
                  <a:srgbClr val="000000"/>
                </a:solidFill>
                <a:latin typeface="Times New Roman"/>
                <a:cs typeface="Times New Roman"/>
              </a:rPr>
              <a:t>по консолидираната фискална програма</a:t>
            </a:r>
          </a:p>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 </a:t>
            </a:r>
            <a:r>
              <a:rPr lang="bg-BG" sz="1000" b="1" i="0" u="none" strike="noStrike" baseline="0">
                <a:solidFill>
                  <a:srgbClr val="000000"/>
                </a:solidFill>
                <a:latin typeface="Times New Roman"/>
                <a:cs typeface="Times New Roman"/>
              </a:rPr>
              <a:t>към септември </a:t>
            </a:r>
            <a:r>
              <a:rPr lang="bg-BG" sz="1000" b="1" i="0" u="none" strike="noStrike" kern="1200" baseline="0">
                <a:solidFill>
                  <a:srgbClr val="000000"/>
                </a:solidFill>
                <a:latin typeface="Times New Roman"/>
                <a:cs typeface="Times New Roman"/>
              </a:rPr>
              <a:t>2023</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г. и </a:t>
            </a:r>
            <a:r>
              <a:rPr lang="en-US" sz="1000" b="1" i="0" u="none" strike="noStrike" kern="1200" baseline="0">
                <a:solidFill>
                  <a:srgbClr val="000000"/>
                </a:solidFill>
                <a:latin typeface="Times New Roman"/>
                <a:cs typeface="Times New Roman"/>
              </a:rPr>
              <a:t>2024</a:t>
            </a:r>
            <a:r>
              <a:rPr lang="en-US" sz="1000" b="1" i="0" u="none" strike="noStrike" baseline="0">
                <a:solidFill>
                  <a:srgbClr val="000000"/>
                </a:solidFill>
                <a:latin typeface="Times New Roman"/>
                <a:cs typeface="Times New Roman"/>
              </a:rPr>
              <a:t> г.</a:t>
            </a:r>
          </a:p>
        </c:rich>
      </c:tx>
      <c:layout>
        <c:manualLayout>
          <c:xMode val="edge"/>
          <c:yMode val="edge"/>
          <c:x val="0.20118264226098204"/>
          <c:y val="1.05446002923104E-3"/>
        </c:manualLayout>
      </c:layout>
      <c:overlay val="0"/>
      <c:spPr>
        <a:noFill/>
        <a:ln w="25398">
          <a:noFill/>
        </a:ln>
      </c:spPr>
    </c:title>
    <c:autoTitleDeleted val="0"/>
    <c:view3D>
      <c:rotX val="24"/>
      <c:rotY val="40"/>
      <c:depthPercent val="100"/>
      <c:rAngAx val="1"/>
    </c:view3D>
    <c:floor>
      <c:thickness val="0"/>
      <c:spPr>
        <a:solidFill>
          <a:srgbClr val="C0C0C0"/>
        </a:solidFill>
        <a:ln w="3175">
          <a:solidFill>
            <a:srgbClr val="000000"/>
          </a:solidFill>
          <a:prstDash val="solid"/>
        </a:ln>
      </c:spPr>
    </c:floor>
    <c:side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sideWall>
    <c:back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backWall>
    <c:plotArea>
      <c:layout>
        <c:manualLayout>
          <c:layoutTarget val="inner"/>
          <c:xMode val="edge"/>
          <c:yMode val="edge"/>
          <c:x val="0.25095340355182877"/>
          <c:y val="0.14577781142741791"/>
          <c:w val="0.69015203420858928"/>
          <c:h val="0.70997457994915991"/>
        </c:manualLayout>
      </c:layout>
      <c:bar3DChart>
        <c:barDir val="bar"/>
        <c:grouping val="clustered"/>
        <c:varyColors val="0"/>
        <c:ser>
          <c:idx val="1"/>
          <c:order val="0"/>
          <c:tx>
            <c:strRef>
              <c:f>data!$C$1</c:f>
              <c:strCache>
                <c:ptCount val="1"/>
                <c:pt idx="0">
                  <c:v> септември 2024 г.</c:v>
                </c:pt>
              </c:strCache>
            </c:strRef>
          </c:tx>
          <c:spPr>
            <a:pattFill prst="pct80">
              <a:fgClr>
                <a:srgbClr val="C0C0C0"/>
              </a:fgClr>
              <a:bgClr>
                <a:srgbClr val="993366"/>
              </a:bgClr>
            </a:pattFill>
            <a:ln w="12699">
              <a:solidFill>
                <a:srgbClr val="000000"/>
              </a:solidFill>
              <a:prstDash val="solid"/>
            </a:ln>
          </c:spPr>
          <c:invertIfNegative val="0"/>
          <c:dLbls>
            <c:dLbl>
              <c:idx val="0"/>
              <c:layout>
                <c:manualLayout>
                  <c:x val="4.0443808160343575E-3"/>
                  <c:y val="3.53987364951474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8AE-41B8-BEE4-4AD26CFF6CF7}"/>
                </c:ext>
              </c:extLst>
            </c:dLbl>
            <c:dLbl>
              <c:idx val="1"/>
              <c:layout>
                <c:manualLayout>
                  <c:x val="4.5585447652376834E-3"/>
                  <c:y val="-1.145814258682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8AE-41B8-BEE4-4AD26CFF6CF7}"/>
                </c:ext>
              </c:extLst>
            </c:dLbl>
            <c:dLbl>
              <c:idx val="2"/>
              <c:layout>
                <c:manualLayout>
                  <c:x val="1.2604221002343161E-2"/>
                  <c:y val="2.667166604174529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8AE-41B8-BEE4-4AD26CFF6CF7}"/>
                </c:ext>
              </c:extLst>
            </c:dLbl>
            <c:dLbl>
              <c:idx val="3"/>
              <c:layout>
                <c:manualLayout>
                  <c:x val="6.0304690174597742E-3"/>
                  <c:y val="2.80712894759117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8AE-41B8-BEE4-4AD26CFF6CF7}"/>
                </c:ext>
              </c:extLst>
            </c:dLbl>
            <c:dLbl>
              <c:idx val="4"/>
              <c:layout>
                <c:manualLayout>
                  <c:x val="2.3125925238610349E-2"/>
                  <c:y val="-1.8085892418365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AE-41B8-BEE4-4AD26CFF6CF7}"/>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AE-41B8-BEE4-4AD26CFF6CF7}"/>
                </c:ext>
              </c:extLst>
            </c:dLbl>
            <c:dLbl>
              <c:idx val="6"/>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AE-41B8-BEE4-4AD26CFF6CF7}"/>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data!$C$3:$C$6</c:f>
              <c:numCache>
                <c:formatCode>#,#00.0</c:formatCode>
                <c:ptCount val="4"/>
                <c:pt idx="0">
                  <c:v>52031.262739000005</c:v>
                </c:pt>
                <c:pt idx="1">
                  <c:v>42291.948314000001</c:v>
                </c:pt>
                <c:pt idx="2">
                  <c:v>7218.7985170000002</c:v>
                </c:pt>
                <c:pt idx="3">
                  <c:v>2520.5159079999999</c:v>
                </c:pt>
              </c:numCache>
            </c:numRef>
          </c:val>
          <c:extLst>
            <c:ext xmlns:c16="http://schemas.microsoft.com/office/drawing/2014/chart" uri="{C3380CC4-5D6E-409C-BE32-E72D297353CC}">
              <c16:uniqueId val="{00000007-98AE-41B8-BEE4-4AD26CFF6CF7}"/>
            </c:ext>
          </c:extLst>
        </c:ser>
        <c:ser>
          <c:idx val="0"/>
          <c:order val="1"/>
          <c:tx>
            <c:strRef>
              <c:f>data!$B$1</c:f>
              <c:strCache>
                <c:ptCount val="1"/>
                <c:pt idx="0">
                  <c:v> септември 2023 г.</c:v>
                </c:pt>
              </c:strCache>
            </c:strRef>
          </c:tx>
          <c:spPr>
            <a:pattFill prst="pct80">
              <a:fgClr>
                <a:srgbClr val="000000"/>
              </a:fgClr>
              <a:bgClr>
                <a:sysClr val="window" lastClr="FFFFFF"/>
              </a:bgClr>
            </a:pattFill>
            <a:ln w="12699">
              <a:solidFill>
                <a:srgbClr val="000000"/>
              </a:solidFill>
              <a:prstDash val="solid"/>
            </a:ln>
          </c:spPr>
          <c:invertIfNegative val="0"/>
          <c:dLbls>
            <c:dLbl>
              <c:idx val="0"/>
              <c:layout>
                <c:manualLayout>
                  <c:x val="1.2627753917124E-2"/>
                  <c:y val="-1.9986800341818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8AE-41B8-BEE4-4AD26CFF6CF7}"/>
                </c:ext>
              </c:extLst>
            </c:dLbl>
            <c:dLbl>
              <c:idx val="1"/>
              <c:layout>
                <c:manualLayout>
                  <c:x val="1.1606385376070541E-2"/>
                  <c:y val="-3.35359061222000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8AE-41B8-BEE4-4AD26CFF6CF7}"/>
                </c:ext>
              </c:extLst>
            </c:dLbl>
            <c:dLbl>
              <c:idx val="2"/>
              <c:layout>
                <c:manualLayout>
                  <c:x val="9.1593598118849696E-3"/>
                  <c:y val="-3.13707215169536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8AE-41B8-BEE4-4AD26CFF6CF7}"/>
                </c:ext>
              </c:extLst>
            </c:dLbl>
            <c:dLbl>
              <c:idx val="3"/>
              <c:layout>
                <c:manualLayout>
                  <c:x val="8.213454296473811E-3"/>
                  <c:y val="-2.64973329946659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8AE-41B8-BEE4-4AD26CFF6CF7}"/>
                </c:ext>
              </c:extLst>
            </c:dLbl>
            <c:dLbl>
              <c:idx val="4"/>
              <c:layout>
                <c:manualLayout>
                  <c:x val="8.090605209302942E-3"/>
                  <c:y val="-1.2366513447686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AE-41B8-BEE4-4AD26CFF6CF7}"/>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AE-41B8-BEE4-4AD26CFF6CF7}"/>
                </c:ext>
              </c:extLst>
            </c:dLbl>
            <c:dLbl>
              <c:idx val="6"/>
              <c:layout>
                <c:manualLayout>
                  <c:xMode val="edge"/>
                  <c:yMode val="edge"/>
                  <c:x val="7.1599180932872524E-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8AE-41B8-BEE4-4AD26CFF6CF7}"/>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data!$A$3:$A$6</c:f>
              <c:strCache>
                <c:ptCount val="4"/>
                <c:pt idx="0">
                  <c:v>Общо приходи, помощи и дарения</c:v>
                </c:pt>
                <c:pt idx="1">
                  <c:v>Данъчни приходи</c:v>
                </c:pt>
                <c:pt idx="2">
                  <c:v>Неданъчни приходи</c:v>
                </c:pt>
                <c:pt idx="3">
                  <c:v>Помощи и дарения</c:v>
                </c:pt>
              </c:strCache>
            </c:strRef>
          </c:cat>
          <c:val>
            <c:numRef>
              <c:f>data!$B$3:$B$6</c:f>
              <c:numCache>
                <c:formatCode>#,#00.0</c:formatCode>
                <c:ptCount val="4"/>
                <c:pt idx="0">
                  <c:v>47653.669117999998</c:v>
                </c:pt>
                <c:pt idx="1">
                  <c:v>37374.008298000001</c:v>
                </c:pt>
                <c:pt idx="2">
                  <c:v>8584.5233430000008</c:v>
                </c:pt>
                <c:pt idx="3">
                  <c:v>1695.1374769999998</c:v>
                </c:pt>
              </c:numCache>
            </c:numRef>
          </c:val>
          <c:extLst>
            <c:ext xmlns:c16="http://schemas.microsoft.com/office/drawing/2014/chart" uri="{C3380CC4-5D6E-409C-BE32-E72D297353CC}">
              <c16:uniqueId val="{0000000F-98AE-41B8-BEE4-4AD26CFF6CF7}"/>
            </c:ext>
          </c:extLst>
        </c:ser>
        <c:dLbls>
          <c:showLegendKey val="0"/>
          <c:showVal val="0"/>
          <c:showCatName val="0"/>
          <c:showSerName val="0"/>
          <c:showPercent val="0"/>
          <c:showBubbleSize val="0"/>
        </c:dLbls>
        <c:gapWidth val="150"/>
        <c:gapDepth val="273"/>
        <c:shape val="cylinder"/>
        <c:axId val="338561664"/>
        <c:axId val="338571648"/>
        <c:axId val="0"/>
      </c:bar3DChart>
      <c:catAx>
        <c:axId val="338561664"/>
        <c:scaling>
          <c:orientation val="minMax"/>
        </c:scaling>
        <c:delete val="0"/>
        <c:axPos val="l"/>
        <c:numFmt formatCode="General" sourceLinked="1"/>
        <c:majorTickMark val="out"/>
        <c:minorTickMark val="none"/>
        <c:tickLblPos val="low"/>
        <c:spPr>
          <a:ln w="9524">
            <a:noFill/>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338571648"/>
        <c:crosses val="autoZero"/>
        <c:auto val="1"/>
        <c:lblAlgn val="ctr"/>
        <c:lblOffset val="100"/>
        <c:noMultiLvlLbl val="0"/>
      </c:catAx>
      <c:valAx>
        <c:axId val="338571648"/>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0.91324272509414584"/>
              <c:y val="0.92457285581237825"/>
            </c:manualLayout>
          </c:layout>
          <c:overlay val="0"/>
          <c:spPr>
            <a:noFill/>
            <a:ln w="25398">
              <a:noFill/>
            </a:ln>
          </c:spPr>
        </c:title>
        <c:numFmt formatCode="General"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338561664"/>
        <c:crosses val="autoZero"/>
        <c:crossBetween val="between"/>
      </c:valAx>
      <c:spPr>
        <a:noFill/>
        <a:ln>
          <a:noFill/>
        </a:ln>
      </c:spPr>
    </c:plotArea>
    <c:legend>
      <c:legendPos val="r"/>
      <c:layout>
        <c:manualLayout>
          <c:xMode val="edge"/>
          <c:yMode val="edge"/>
          <c:x val="6.9073947278329327E-3"/>
          <c:y val="0.87270298873931074"/>
          <c:w val="0.14668503937007876"/>
          <c:h val="0.12342223351113368"/>
        </c:manualLayout>
      </c:layout>
      <c:overlay val="0"/>
      <c:spPr>
        <a:solidFill>
          <a:srgbClr val="FFFFFF"/>
        </a:solidFill>
        <a:ln w="3175">
          <a:solidFill>
            <a:srgbClr val="000000"/>
          </a:solidFill>
          <a:prstDash val="solid"/>
        </a:ln>
      </c:spPr>
      <c:txPr>
        <a:bodyPr/>
        <a:lstStyle/>
        <a:p>
          <a:pPr>
            <a:defRPr sz="69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a:ea typeface="Times New Roman"/>
                <a:cs typeface="Times New Roman"/>
              </a:defRPr>
            </a:pPr>
            <a:r>
              <a:rPr lang="bg-BG" sz="1000"/>
              <a:t>Разходи по консолидираната фискална програма </a:t>
            </a:r>
            <a:r>
              <a:rPr lang="bg-BG" sz="1000" b="1" i="0" u="none" strike="noStrike" kern="1200" baseline="0">
                <a:solidFill>
                  <a:srgbClr val="000000"/>
                </a:solidFill>
                <a:latin typeface="Times New Roman"/>
                <a:cs typeface="Times New Roman"/>
              </a:rPr>
              <a:t>към септември 2023 </a:t>
            </a:r>
            <a:r>
              <a:rPr lang="bg-BG" sz="1000"/>
              <a:t>г. и </a:t>
            </a:r>
            <a:r>
              <a:rPr lang="bg-BG" sz="1000" b="1" i="0" u="none" strike="noStrike" kern="1200" baseline="0">
                <a:solidFill>
                  <a:srgbClr val="000000"/>
                </a:solidFill>
                <a:latin typeface="Times New Roman"/>
                <a:cs typeface="Times New Roman"/>
              </a:rPr>
              <a:t>2024</a:t>
            </a:r>
            <a:r>
              <a:rPr lang="bg-BG" sz="1000"/>
              <a:t> г.</a:t>
            </a:r>
          </a:p>
        </c:rich>
      </c:tx>
      <c:layout>
        <c:manualLayout>
          <c:xMode val="edge"/>
          <c:yMode val="edge"/>
          <c:x val="0.16410406246389012"/>
          <c:y val="3.585301837270342E-3"/>
        </c:manualLayout>
      </c:layout>
      <c:overlay val="0"/>
      <c:spPr>
        <a:noFill/>
        <a:ln w="25399">
          <a:noFill/>
        </a:ln>
      </c:spPr>
    </c:title>
    <c:autoTitleDeleted val="0"/>
    <c:view3D>
      <c:rotX val="30"/>
      <c:hPercent val="41"/>
      <c:rotY val="40"/>
      <c:depthPercent val="100"/>
      <c:rAngAx val="1"/>
    </c:view3D>
    <c:floor>
      <c:thickness val="0"/>
      <c:spPr>
        <a:gradFill>
          <a:gsLst>
            <a:gs pos="0">
              <a:sysClr val="window" lastClr="FFFFFF"/>
            </a:gs>
            <a:gs pos="92000">
              <a:sysClr val="window" lastClr="FFFFFF">
                <a:lumMod val="50000"/>
              </a:sysClr>
            </a:gs>
          </a:gsLst>
          <a:lin ang="2700000" scaled="1"/>
        </a:gradFill>
        <a:ln w="3175">
          <a:solidFill>
            <a:srgbClr val="000000"/>
          </a:solidFill>
          <a:prstDash val="solid"/>
        </a:ln>
      </c:spPr>
    </c:floor>
    <c:sideWall>
      <c:thickness val="0"/>
      <c:spPr>
        <a:gradFill>
          <a:gsLst>
            <a:gs pos="0">
              <a:sysClr val="window" lastClr="FFFFFF">
                <a:alpha val="24000"/>
                <a:lumMod val="50000"/>
                <a:lumOff val="50000"/>
              </a:sysClr>
            </a:gs>
            <a:gs pos="100000">
              <a:sysClr val="window" lastClr="FFFFFF">
                <a:lumMod val="50000"/>
              </a:sysClr>
            </a:gs>
          </a:gsLst>
          <a:lin ang="2700000" scaled="1"/>
        </a:gradFill>
        <a:ln w="3175">
          <a:solidFill>
            <a:srgbClr val="FFFFFF"/>
          </a:solidFill>
          <a:prstDash val="solid"/>
        </a:ln>
      </c:spPr>
    </c:sideWall>
    <c:backWall>
      <c:thickness val="0"/>
      <c:spPr>
        <a:gradFill>
          <a:gsLst>
            <a:gs pos="0">
              <a:sysClr val="window" lastClr="FFFFFF">
                <a:alpha val="24000"/>
                <a:lumMod val="50000"/>
                <a:lumOff val="50000"/>
              </a:sysClr>
            </a:gs>
            <a:gs pos="100000">
              <a:sysClr val="window" lastClr="FFFFFF">
                <a:lumMod val="50000"/>
              </a:sysClr>
            </a:gs>
          </a:gsLst>
          <a:lin ang="2700000" scaled="1"/>
        </a:gradFill>
        <a:ln w="3175">
          <a:solidFill>
            <a:srgbClr val="FFFFFF"/>
          </a:solidFill>
          <a:prstDash val="solid"/>
        </a:ln>
      </c:spPr>
    </c:backWall>
    <c:plotArea>
      <c:layout>
        <c:manualLayout>
          <c:layoutTarget val="inner"/>
          <c:xMode val="edge"/>
          <c:yMode val="edge"/>
          <c:x val="0.11039325374101672"/>
          <c:y val="0.12191676040494938"/>
          <c:w val="0.88751398999653341"/>
          <c:h val="0.62436895388076485"/>
        </c:manualLayout>
      </c:layout>
      <c:bar3DChart>
        <c:barDir val="col"/>
        <c:grouping val="clustered"/>
        <c:varyColors val="0"/>
        <c:ser>
          <c:idx val="0"/>
          <c:order val="0"/>
          <c:tx>
            <c:strRef>
              <c:f>data!$B$1</c:f>
              <c:strCache>
                <c:ptCount val="1"/>
                <c:pt idx="0">
                  <c:v>септември 2023 г.</c:v>
                </c:pt>
              </c:strCache>
            </c:strRef>
          </c:tx>
          <c:spPr>
            <a:pattFill prst="pct5">
              <a:fgClr>
                <a:srgbClr val="000000"/>
              </a:fgClr>
              <a:bgClr>
                <a:sysClr val="windowText" lastClr="000000">
                  <a:lumMod val="65000"/>
                  <a:lumOff val="35000"/>
                </a:sysClr>
              </a:bgClr>
            </a:pattFill>
            <a:ln w="12700">
              <a:solidFill>
                <a:srgbClr val="000000"/>
              </a:solidFill>
              <a:prstDash val="solid"/>
            </a:ln>
          </c:spPr>
          <c:invertIfNegative val="0"/>
          <c:dLbls>
            <c:dLbl>
              <c:idx val="0"/>
              <c:layout>
                <c:manualLayout>
                  <c:x val="7.3754921259844451E-3"/>
                  <c:y val="0.177831851663703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419-4938-9481-C967AC27D904}"/>
                </c:ext>
              </c:extLst>
            </c:dLbl>
            <c:dLbl>
              <c:idx val="1"/>
              <c:layout>
                <c:manualLayout>
                  <c:x val="6.1202427821523912E-3"/>
                  <c:y val="0.16377106087545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419-4938-9481-C967AC27D904}"/>
                </c:ext>
              </c:extLst>
            </c:dLbl>
            <c:dLbl>
              <c:idx val="2"/>
              <c:layout>
                <c:manualLayout>
                  <c:x val="2.7818241469817085E-3"/>
                  <c:y val="-3.33191093048852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419-4938-9481-C967AC27D904}"/>
                </c:ext>
              </c:extLst>
            </c:dLbl>
            <c:dLbl>
              <c:idx val="3"/>
              <c:layout>
                <c:manualLayout>
                  <c:x val="1.0317257217847769E-2"/>
                  <c:y val="-2.069223605113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419-4938-9481-C967AC27D904}"/>
                </c:ext>
              </c:extLst>
            </c:dLbl>
            <c:dLbl>
              <c:idx val="4"/>
              <c:layout>
                <c:manualLayout>
                  <c:x val="1.6023129921259843E-2"/>
                  <c:y val="-3.35477097620861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419-4938-9481-C967AC27D904}"/>
                </c:ext>
              </c:extLst>
            </c:dLbl>
            <c:dLbl>
              <c:idx val="5"/>
              <c:layout>
                <c:manualLayout>
                  <c:x val="1.8415952722890771E-2"/>
                  <c:y val="-2.63831742517596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419-4938-9481-C967AC27D904}"/>
                </c:ext>
              </c:extLst>
            </c:dLbl>
            <c:dLbl>
              <c:idx val="6"/>
              <c:layout>
                <c:manualLayout>
                  <c:xMode val="edge"/>
                  <c:yMode val="edge"/>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19-4938-9481-C967AC27D904}"/>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 тек.
и капит. трансф. за чужбина</c:v>
                </c:pt>
                <c:pt idx="3">
                  <c:v>Капиталови разходи*</c:v>
                </c:pt>
                <c:pt idx="4">
                  <c:v>Лихви</c:v>
                </c:pt>
                <c:pt idx="5">
                  <c:v>Вноска в бюджета на  ЕС</c:v>
                </c:pt>
              </c:strCache>
            </c:strRef>
          </c:cat>
          <c:val>
            <c:numRef>
              <c:f>data!$B$3:$B$8</c:f>
              <c:numCache>
                <c:formatCode>#,##0.0</c:formatCode>
                <c:ptCount val="6"/>
                <c:pt idx="0">
                  <c:v>48496.401291999995</c:v>
                </c:pt>
                <c:pt idx="1">
                  <c:v>42800.097963</c:v>
                </c:pt>
                <c:pt idx="2">
                  <c:v>46.400215000000003</c:v>
                </c:pt>
                <c:pt idx="3">
                  <c:v>3664.2752259999997</c:v>
                </c:pt>
                <c:pt idx="4">
                  <c:v>733.54572499999995</c:v>
                </c:pt>
                <c:pt idx="5">
                  <c:v>1252.082163</c:v>
                </c:pt>
              </c:numCache>
            </c:numRef>
          </c:val>
          <c:extLst>
            <c:ext xmlns:c16="http://schemas.microsoft.com/office/drawing/2014/chart" uri="{C3380CC4-5D6E-409C-BE32-E72D297353CC}">
              <c16:uniqueId val="{00000007-7419-4938-9481-C967AC27D904}"/>
            </c:ext>
          </c:extLst>
        </c:ser>
        <c:ser>
          <c:idx val="1"/>
          <c:order val="1"/>
          <c:tx>
            <c:strRef>
              <c:f>data!$C$1</c:f>
              <c:strCache>
                <c:ptCount val="1"/>
                <c:pt idx="0">
                  <c:v>септември 2024 г.</c:v>
                </c:pt>
              </c:strCache>
            </c:strRef>
          </c:tx>
          <c:spPr>
            <a:pattFill prst="pct80">
              <a:fgClr>
                <a:srgbClr val="C0C0C0"/>
              </a:fgClr>
              <a:bgClr>
                <a:sysClr val="windowText" lastClr="000000">
                  <a:lumMod val="65000"/>
                  <a:lumOff val="35000"/>
                </a:sysClr>
              </a:bgClr>
            </a:pattFill>
            <a:ln w="12700">
              <a:solidFill>
                <a:srgbClr val="000000"/>
              </a:solidFill>
              <a:prstDash val="solid"/>
            </a:ln>
          </c:spPr>
          <c:invertIfNegative val="0"/>
          <c:dLbls>
            <c:dLbl>
              <c:idx val="0"/>
              <c:layout>
                <c:manualLayout>
                  <c:x val="9.3784974991333626E-3"/>
                  <c:y val="0.177014152300729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419-4938-9481-C967AC27D904}"/>
                </c:ext>
              </c:extLst>
            </c:dLbl>
            <c:dLbl>
              <c:idx val="1"/>
              <c:layout>
                <c:manualLayout>
                  <c:x val="9.8586969081694981E-3"/>
                  <c:y val="0.175726755085846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419-4938-9481-C967AC27D904}"/>
                </c:ext>
              </c:extLst>
            </c:dLbl>
            <c:dLbl>
              <c:idx val="2"/>
              <c:layout>
                <c:manualLayout>
                  <c:x val="1.3761646981627297E-2"/>
                  <c:y val="-2.78503090339514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419-4938-9481-C967AC27D904}"/>
                </c:ext>
              </c:extLst>
            </c:dLbl>
            <c:dLbl>
              <c:idx val="3"/>
              <c:layout>
                <c:manualLayout>
                  <c:x val="1.1285428944023429E-2"/>
                  <c:y val="-1.83772028496437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419-4938-9481-C967AC27D904}"/>
                </c:ext>
              </c:extLst>
            </c:dLbl>
            <c:dLbl>
              <c:idx val="4"/>
              <c:layout>
                <c:manualLayout>
                  <c:x val="2.7460301837270402E-2"/>
                  <c:y val="-4.79061891457121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419-4938-9481-C967AC27D904}"/>
                </c:ext>
              </c:extLst>
            </c:dLbl>
            <c:dLbl>
              <c:idx val="5"/>
              <c:layout>
                <c:manualLayout>
                  <c:x val="3.0156260750382247E-2"/>
                  <c:y val="-2.8191126375121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7419-4938-9481-C967AC27D904}"/>
                </c:ext>
              </c:extLst>
            </c:dLbl>
            <c:dLbl>
              <c:idx val="6"/>
              <c:layout>
                <c:manualLayout>
                  <c:xMode val="edge"/>
                  <c:yMode val="edge"/>
                  <c:x val="0.930081300813008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19-4938-9481-C967AC27D904}"/>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data!$A$3:$A$8</c:f>
              <c:strCache>
                <c:ptCount val="6"/>
                <c:pt idx="0">
                  <c:v>Общо разходи</c:v>
                </c:pt>
                <c:pt idx="1">
                  <c:v>Текущи нелихв. разходи</c:v>
                </c:pt>
                <c:pt idx="2">
                  <c:v>Предост. тек.
и капит. трансф. за чужбина</c:v>
                </c:pt>
                <c:pt idx="3">
                  <c:v>Капиталови разходи*</c:v>
                </c:pt>
                <c:pt idx="4">
                  <c:v>Лихви</c:v>
                </c:pt>
                <c:pt idx="5">
                  <c:v>Вноска в бюджета на  ЕС</c:v>
                </c:pt>
              </c:strCache>
            </c:strRef>
          </c:cat>
          <c:val>
            <c:numRef>
              <c:f>data!$C$3:$C$8</c:f>
              <c:numCache>
                <c:formatCode>#,##0.0</c:formatCode>
                <c:ptCount val="6"/>
                <c:pt idx="0">
                  <c:v>54861.117473999991</c:v>
                </c:pt>
                <c:pt idx="1">
                  <c:v>49111.904828999999</c:v>
                </c:pt>
                <c:pt idx="2">
                  <c:v>31.828183000000003</c:v>
                </c:pt>
                <c:pt idx="3" formatCode="#,##0.0_ ;\-#,##0.0\ ">
                  <c:v>3701.0123919999996</c:v>
                </c:pt>
                <c:pt idx="4">
                  <c:v>895.43474500000002</c:v>
                </c:pt>
                <c:pt idx="5">
                  <c:v>1120.9373250000001</c:v>
                </c:pt>
              </c:numCache>
            </c:numRef>
          </c:val>
          <c:extLst>
            <c:ext xmlns:c16="http://schemas.microsoft.com/office/drawing/2014/chart" uri="{C3380CC4-5D6E-409C-BE32-E72D297353CC}">
              <c16:uniqueId val="{0000000F-7419-4938-9481-C967AC27D904}"/>
            </c:ext>
          </c:extLst>
        </c:ser>
        <c:dLbls>
          <c:showLegendKey val="0"/>
          <c:showVal val="0"/>
          <c:showCatName val="0"/>
          <c:showSerName val="0"/>
          <c:showPercent val="0"/>
          <c:showBubbleSize val="0"/>
        </c:dLbls>
        <c:gapWidth val="150"/>
        <c:shape val="cylinder"/>
        <c:axId val="339244544"/>
        <c:axId val="339246080"/>
        <c:axId val="0"/>
      </c:bar3DChart>
      <c:catAx>
        <c:axId val="339244544"/>
        <c:scaling>
          <c:orientation val="minMax"/>
        </c:scaling>
        <c:delete val="0"/>
        <c:axPos val="b"/>
        <c:numFmt formatCode="General" sourceLinked="1"/>
        <c:majorTickMark val="out"/>
        <c:minorTickMark val="none"/>
        <c:tickLblPos val="low"/>
        <c:spPr>
          <a:ln w="9525">
            <a:noFill/>
          </a:ln>
        </c:spPr>
        <c:txPr>
          <a:bodyPr rot="0" vert="horz"/>
          <a:lstStyle/>
          <a:p>
            <a:pPr>
              <a:defRPr sz="990" b="1" i="0" u="none" strike="noStrike" baseline="2000">
                <a:solidFill>
                  <a:srgbClr val="000000"/>
                </a:solidFill>
                <a:latin typeface="Times New Roman"/>
                <a:ea typeface="Times New Roman"/>
                <a:cs typeface="Times New Roman"/>
              </a:defRPr>
            </a:pPr>
            <a:endParaRPr lang="bg-BG"/>
          </a:p>
        </c:txPr>
        <c:crossAx val="339246080"/>
        <c:crosses val="autoZero"/>
        <c:auto val="1"/>
        <c:lblAlgn val="ctr"/>
        <c:lblOffset val="100"/>
        <c:tickMarkSkip val="1"/>
        <c:noMultiLvlLbl val="0"/>
      </c:catAx>
      <c:valAx>
        <c:axId val="339246080"/>
        <c:scaling>
          <c:orientation val="minMax"/>
        </c:scaling>
        <c:delete val="0"/>
        <c:axPos val="l"/>
        <c:majorGridlines>
          <c:spPr>
            <a:ln>
              <a:solidFill>
                <a:sysClr val="windowText" lastClr="000000">
                  <a:lumMod val="50000"/>
                  <a:lumOff val="50000"/>
                </a:sysClr>
              </a:solidFill>
            </a:ln>
          </c:spPr>
        </c:majorGridlines>
        <c:minorGridlines>
          <c:spPr>
            <a:ln>
              <a:noFill/>
            </a:ln>
          </c:spPr>
        </c:minorGridlines>
        <c:title>
          <c:tx>
            <c:rich>
              <a:bodyPr rot="0" vert="horz"/>
              <a:lstStyle/>
              <a:p>
                <a:pPr algn="ct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0.15621221263017518"/>
              <c:y val="0.10784139482564679"/>
            </c:manualLayout>
          </c:layout>
          <c:overlay val="0"/>
          <c:spPr>
            <a:noFill/>
            <a:ln w="25399">
              <a:noFill/>
            </a:ln>
          </c:spPr>
        </c:title>
        <c:numFmt formatCode="#,##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339244544"/>
        <c:crosses val="autoZero"/>
        <c:crossBetween val="between"/>
      </c:valAx>
      <c:spPr>
        <a:noFill/>
        <a:ln w="25399">
          <a:noFill/>
        </a:ln>
      </c:spPr>
    </c:plotArea>
    <c:legend>
      <c:legendPos val="r"/>
      <c:legendEntry>
        <c:idx val="0"/>
        <c:txPr>
          <a:bodyPr/>
          <a:lstStyle/>
          <a:p>
            <a:pPr>
              <a:defRPr sz="70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0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6.2893081761007516E-3"/>
          <c:y val="0.91250477411253827"/>
          <c:w val="0.13829049670677956"/>
          <c:h val="8.7496437945256841E-2"/>
        </c:manualLayout>
      </c:layout>
      <c:overlay val="0"/>
      <c:spPr>
        <a:solidFill>
          <a:srgbClr val="FFFFFF"/>
        </a:solidFill>
        <a:ln w="3175">
          <a:solidFill>
            <a:srgbClr val="000000"/>
          </a:solidFill>
          <a:prstDash val="solid"/>
        </a:ln>
      </c:spPr>
      <c:txPr>
        <a:bodyPr/>
        <a:lstStyle/>
        <a:p>
          <a:pPr>
            <a:defRPr sz="70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445823790098539E-2"/>
          <c:y val="3.8309849426716412E-2"/>
          <c:w val="0.89567461554396921"/>
          <c:h val="0.71149402758355551"/>
        </c:manualLayout>
      </c:layout>
      <c:barChart>
        <c:barDir val="col"/>
        <c:grouping val="clustered"/>
        <c:varyColors val="0"/>
        <c:ser>
          <c:idx val="0"/>
          <c:order val="0"/>
          <c:tx>
            <c:strRef>
              <c:f>Sheet1!$B$36</c:f>
              <c:strCache>
                <c:ptCount val="1"/>
                <c:pt idx="0">
                  <c:v> септември 2023 г.</c:v>
                </c:pt>
              </c:strCache>
            </c:strRef>
          </c:tx>
          <c:spPr>
            <a:pattFill prst="pct5">
              <a:fgClr>
                <a:srgbClr val="FFFFFF"/>
              </a:fgClr>
              <a:bgClr>
                <a:srgbClr val="000000"/>
              </a:bgClr>
            </a:pattFill>
            <a:ln w="12683">
              <a:solidFill>
                <a:srgbClr val="000000"/>
              </a:solidFill>
              <a:prstDash val="solid"/>
            </a:ln>
          </c:spPr>
          <c:invertIfNegative val="0"/>
          <c:dLbls>
            <c:dLbl>
              <c:idx val="1"/>
              <c:layout>
                <c:manualLayout>
                  <c:x val="-2.3872045834328003E-3"/>
                  <c:y val="6.283214845914239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00-4FFA-8542-34006F2C7272}"/>
                </c:ext>
              </c:extLst>
            </c:dLbl>
            <c:dLbl>
              <c:idx val="2"/>
              <c:layout>
                <c:manualLayout>
                  <c:x val="-6.9311473759411748E-5"/>
                  <c:y val="0.2391052967596689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800-4FFA-8542-34006F2C7272}"/>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800-4FFA-8542-34006F2C7272}"/>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00-4FFA-8542-34006F2C7272}"/>
                </c:ext>
              </c:extLst>
            </c:dLbl>
            <c:numFmt formatCode="#,##0.0" sourceLinked="0"/>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Sheet1!$A$38:$A$41</c:f>
              <c:strCache>
                <c:ptCount val="4"/>
                <c:pt idx="0">
                  <c:v>Нелихвени разходи</c:v>
                </c:pt>
                <c:pt idx="1">
                  <c:v>Лихвени р-ди</c:v>
                </c:pt>
                <c:pt idx="2">
                  <c:v>Нето предоставени трансфери за др. бюджети</c:v>
                </c:pt>
                <c:pt idx="3">
                  <c:v>Вноска в бюджета на ЕС</c:v>
                </c:pt>
              </c:strCache>
            </c:strRef>
          </c:cat>
          <c:val>
            <c:numRef>
              <c:f>Sheet1!$B$38:$B$41</c:f>
              <c:numCache>
                <c:formatCode>#,##0.0</c:formatCode>
                <c:ptCount val="4"/>
                <c:pt idx="0">
                  <c:v>11398.819990000004</c:v>
                </c:pt>
                <c:pt idx="1">
                  <c:v>699.15896400000008</c:v>
                </c:pt>
                <c:pt idx="2">
                  <c:v>16754.393706000003</c:v>
                </c:pt>
                <c:pt idx="3">
                  <c:v>1252.082163</c:v>
                </c:pt>
              </c:numCache>
            </c:numRef>
          </c:val>
          <c:extLst>
            <c:ext xmlns:c16="http://schemas.microsoft.com/office/drawing/2014/chart" uri="{C3380CC4-5D6E-409C-BE32-E72D297353CC}">
              <c16:uniqueId val="{00000004-0800-4FFA-8542-34006F2C7272}"/>
            </c:ext>
          </c:extLst>
        </c:ser>
        <c:ser>
          <c:idx val="1"/>
          <c:order val="1"/>
          <c:tx>
            <c:strRef>
              <c:f>Sheet1!$C$36</c:f>
              <c:strCache>
                <c:ptCount val="1"/>
                <c:pt idx="0">
                  <c:v> септември 2024 г.</c:v>
                </c:pt>
              </c:strCache>
            </c:strRef>
          </c:tx>
          <c:spPr>
            <a:pattFill prst="smConfetti">
              <a:fgClr>
                <a:srgbClr val="333333"/>
              </a:fgClr>
              <a:bgClr>
                <a:srgbClr val="FFFFFF"/>
              </a:bgClr>
            </a:pattFill>
            <a:ln w="12683">
              <a:solidFill>
                <a:srgbClr val="000000"/>
              </a:solidFill>
              <a:prstDash val="solid"/>
            </a:ln>
          </c:spPr>
          <c:invertIfNegative val="0"/>
          <c:dLbls>
            <c:dLbl>
              <c:idx val="0"/>
              <c:layout>
                <c:manualLayout>
                  <c:x val="0"/>
                  <c:y val="0.2297464551321570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800-4FFA-8542-34006F2C7272}"/>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800-4FFA-8542-34006F2C7272}"/>
                </c:ext>
              </c:extLst>
            </c:dLbl>
            <c:dLbl>
              <c:idx val="2"/>
              <c:layout>
                <c:manualLayout>
                  <c:x val="-1.391301731981767E-4"/>
                  <c:y val="0.1886261319984008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800-4FFA-8542-34006F2C7272}"/>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800-4FFA-8542-34006F2C7272}"/>
                </c:ext>
              </c:extLst>
            </c:dLbl>
            <c:dLbl>
              <c:idx val="4"/>
              <c:layout>
                <c:manualLayout>
                  <c:x val="2.8449113763692161E-4"/>
                  <c:y val="0.127920631014873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00-4FFA-8542-34006F2C7272}"/>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800-4FFA-8542-34006F2C7272}"/>
                </c:ext>
              </c:extLst>
            </c:dLbl>
            <c:numFmt formatCode="#,##0.0" sourceLinked="0"/>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Sheet1!$A$38:$A$41</c:f>
              <c:strCache>
                <c:ptCount val="4"/>
                <c:pt idx="0">
                  <c:v>Нелихвени разходи</c:v>
                </c:pt>
                <c:pt idx="1">
                  <c:v>Лихвени р-ди</c:v>
                </c:pt>
                <c:pt idx="2">
                  <c:v>Нето предоставени трансфери за др. бюджети</c:v>
                </c:pt>
                <c:pt idx="3">
                  <c:v>Вноска в бюджета на ЕС</c:v>
                </c:pt>
              </c:strCache>
            </c:strRef>
          </c:cat>
          <c:val>
            <c:numRef>
              <c:f>Sheet1!$C$38:$C$41</c:f>
              <c:numCache>
                <c:formatCode>#,##0.0</c:formatCode>
                <c:ptCount val="4"/>
                <c:pt idx="0">
                  <c:v>13194.225932999998</c:v>
                </c:pt>
                <c:pt idx="1">
                  <c:v>854.79843299999993</c:v>
                </c:pt>
                <c:pt idx="2">
                  <c:v>20168.045574000003</c:v>
                </c:pt>
                <c:pt idx="3">
                  <c:v>1120.9373250000001</c:v>
                </c:pt>
              </c:numCache>
            </c:numRef>
          </c:val>
          <c:extLst>
            <c:ext xmlns:c16="http://schemas.microsoft.com/office/drawing/2014/chart" uri="{C3380CC4-5D6E-409C-BE32-E72D297353CC}">
              <c16:uniqueId val="{0000000B-0800-4FFA-8542-34006F2C7272}"/>
            </c:ext>
          </c:extLst>
        </c:ser>
        <c:dLbls>
          <c:showLegendKey val="0"/>
          <c:showVal val="0"/>
          <c:showCatName val="0"/>
          <c:showSerName val="0"/>
          <c:showPercent val="0"/>
          <c:showBubbleSize val="0"/>
        </c:dLbls>
        <c:gapWidth val="150"/>
        <c:axId val="338605952"/>
        <c:axId val="338607488"/>
      </c:barChart>
      <c:catAx>
        <c:axId val="338605952"/>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338607488"/>
        <c:crosses val="autoZero"/>
        <c:auto val="1"/>
        <c:lblAlgn val="ctr"/>
        <c:lblOffset val="100"/>
        <c:tickLblSkip val="1"/>
        <c:tickMarkSkip val="1"/>
        <c:noMultiLvlLbl val="0"/>
      </c:catAx>
      <c:valAx>
        <c:axId val="338607488"/>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 ##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338605952"/>
        <c:crosses val="autoZero"/>
        <c:crossBetween val="between"/>
      </c:valAx>
      <c:spPr>
        <a:solidFill>
          <a:srgbClr val="FFFFFF"/>
        </a:solidFill>
        <a:ln w="6350">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1124317291663843"/>
          <c:y val="0.88645019657037905"/>
          <c:w val="0.27244520424619906"/>
          <c:h val="0.11128011559010316"/>
        </c:manualLayout>
      </c:layout>
      <c:overlay val="0"/>
      <c:spPr>
        <a:solidFill>
          <a:srgbClr val="FFFFFF"/>
        </a:solidFill>
        <a:ln w="3171">
          <a:solidFill>
            <a:sysClr val="window" lastClr="FFFFFF">
              <a:lumMod val="85000"/>
            </a:sysClr>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ED9F-D8AD-45D8-BDDA-C8BDBB50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31</Pages>
  <Words>17211</Words>
  <Characters>89544</Characters>
  <Application>Microsoft Office Word</Application>
  <DocSecurity>0</DocSecurity>
  <Lines>746</Lines>
  <Paragraphs>213</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КБПА ВД</cp:lastModifiedBy>
  <cp:revision>832</cp:revision>
  <cp:lastPrinted>2024-11-07T12:23:00Z</cp:lastPrinted>
  <dcterms:created xsi:type="dcterms:W3CDTF">2023-11-07T14:06:00Z</dcterms:created>
  <dcterms:modified xsi:type="dcterms:W3CDTF">2024-11-07T12:29:00Z</dcterms:modified>
</cp:coreProperties>
</file>