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rawings/drawing1.xml" ContentType="application/vnd.openxmlformats-officedocument.drawingml.chartshapes+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theme/themeOverride3.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15" w:rsidRPr="00B56B53" w:rsidRDefault="00B14BE9" w:rsidP="008314D1">
      <w:pPr>
        <w:pStyle w:val="Title"/>
        <w:pBdr>
          <w:bottom w:val="double" w:sz="6" w:space="0" w:color="auto"/>
        </w:pBdr>
      </w:pPr>
      <w:r w:rsidRPr="00B56B53">
        <w:rPr>
          <w:lang w:val="ru-RU"/>
        </w:rPr>
        <w:t xml:space="preserve"> </w:t>
      </w:r>
      <w:r w:rsidR="00063E15" w:rsidRPr="00B56B53">
        <w:t>М И Н И С Т Е Р С Т В О   Н А   Ф И Н А Н С И Т Е</w:t>
      </w:r>
    </w:p>
    <w:p w:rsidR="005F7245" w:rsidRPr="00B56B53" w:rsidRDefault="005F7245" w:rsidP="00063E15">
      <w:pPr>
        <w:rPr>
          <w:sz w:val="16"/>
          <w:szCs w:val="16"/>
        </w:rPr>
      </w:pPr>
    </w:p>
    <w:p w:rsidR="0019151C" w:rsidRPr="00B56B53" w:rsidRDefault="0019151C" w:rsidP="0019151C"/>
    <w:p w:rsidR="00E10331" w:rsidRPr="00B56B53" w:rsidRDefault="00E10331" w:rsidP="0019151C"/>
    <w:p w:rsidR="00E9260C" w:rsidRPr="00B56B53" w:rsidRDefault="00E9260C" w:rsidP="009B536C">
      <w:pPr>
        <w:pStyle w:val="Heading1"/>
        <w:rPr>
          <w:sz w:val="24"/>
        </w:rPr>
      </w:pPr>
      <w:r w:rsidRPr="00B56B53">
        <w:rPr>
          <w:sz w:val="24"/>
        </w:rPr>
        <w:t>ИНФОРМАЦИЯ</w:t>
      </w:r>
    </w:p>
    <w:p w:rsidR="00E9260C" w:rsidRPr="00B56B53" w:rsidRDefault="00E9260C" w:rsidP="009B536C">
      <w:pPr>
        <w:jc w:val="center"/>
        <w:rPr>
          <w:b/>
          <w:bCs/>
        </w:rPr>
      </w:pPr>
      <w:r w:rsidRPr="00B56B53">
        <w:rPr>
          <w:b/>
          <w:bCs/>
        </w:rPr>
        <w:t xml:space="preserve">ЗА </w:t>
      </w:r>
      <w:r w:rsidR="004E7BF8" w:rsidRPr="00B56B53">
        <w:rPr>
          <w:b/>
          <w:bCs/>
        </w:rPr>
        <w:t xml:space="preserve">КАСОВОТО </w:t>
      </w:r>
      <w:r w:rsidRPr="00B56B53">
        <w:rPr>
          <w:b/>
          <w:bCs/>
        </w:rPr>
        <w:t xml:space="preserve">ИЗПЪЛНЕНИЕ НА </w:t>
      </w:r>
      <w:r w:rsidR="004E7BF8" w:rsidRPr="00B56B53">
        <w:rPr>
          <w:b/>
          <w:bCs/>
        </w:rPr>
        <w:t>ДЪРЖАВНИЯ</w:t>
      </w:r>
      <w:r w:rsidRPr="00B56B53">
        <w:rPr>
          <w:b/>
          <w:bCs/>
        </w:rPr>
        <w:t xml:space="preserve"> БЮДЖЕТ</w:t>
      </w:r>
      <w:r w:rsidR="004E7BF8" w:rsidRPr="00B56B53">
        <w:rPr>
          <w:b/>
          <w:bCs/>
        </w:rPr>
        <w:t xml:space="preserve"> И НА ОСНОВНИТЕ ПОКАЗАТЕЛИ НА КОНСОЛИДИРАНАТА ФИСКАЛНА ПРОГРАМА </w:t>
      </w:r>
    </w:p>
    <w:p w:rsidR="003F47AB" w:rsidRPr="00B56B53" w:rsidRDefault="003F47AB" w:rsidP="003F47AB">
      <w:pPr>
        <w:jc w:val="center"/>
        <w:rPr>
          <w:b/>
          <w:bCs/>
        </w:rPr>
      </w:pPr>
      <w:r w:rsidRPr="00B56B53">
        <w:rPr>
          <w:b/>
          <w:bCs/>
        </w:rPr>
        <w:t>ЗА 20</w:t>
      </w:r>
      <w:r w:rsidR="006D5D56" w:rsidRPr="00B56B53">
        <w:rPr>
          <w:b/>
          <w:bCs/>
        </w:rPr>
        <w:t>2</w:t>
      </w:r>
      <w:r w:rsidR="008D7032" w:rsidRPr="00B56B53">
        <w:rPr>
          <w:b/>
          <w:bCs/>
          <w:lang w:val="ru-RU"/>
        </w:rPr>
        <w:t>5</w:t>
      </w:r>
      <w:r w:rsidRPr="00B56B53">
        <w:rPr>
          <w:b/>
          <w:bCs/>
        </w:rPr>
        <w:t xml:space="preserve"> ГОДИНА</w:t>
      </w:r>
    </w:p>
    <w:p w:rsidR="00430A35" w:rsidRPr="00C25B8B" w:rsidRDefault="00430A35" w:rsidP="003A06C5">
      <w:pPr>
        <w:rPr>
          <w:b/>
          <w:bCs/>
          <w:color w:val="0070C0"/>
        </w:rPr>
      </w:pPr>
    </w:p>
    <w:p w:rsidR="00E10331" w:rsidRPr="00C25B8B" w:rsidRDefault="00E10331" w:rsidP="003A06C5">
      <w:pPr>
        <w:rPr>
          <w:b/>
          <w:bCs/>
          <w:color w:val="0070C0"/>
        </w:rPr>
      </w:pPr>
    </w:p>
    <w:p w:rsidR="00E10331" w:rsidRPr="00C25B8B" w:rsidRDefault="00E10331" w:rsidP="003A06C5">
      <w:pPr>
        <w:rPr>
          <w:b/>
          <w:bCs/>
          <w:color w:val="0070C0"/>
        </w:rPr>
      </w:pPr>
    </w:p>
    <w:p w:rsidR="00A07483" w:rsidRPr="002E3D00" w:rsidRDefault="00A07483" w:rsidP="00A07483">
      <w:pPr>
        <w:spacing w:after="210"/>
        <w:jc w:val="both"/>
        <w:rPr>
          <w:b/>
          <w:color w:val="000000" w:themeColor="text1"/>
          <w:u w:val="single"/>
        </w:rPr>
      </w:pPr>
      <w:r w:rsidRPr="002E3D00">
        <w:rPr>
          <w:b/>
          <w:color w:val="000000" w:themeColor="text1"/>
          <w:u w:val="single"/>
        </w:rPr>
        <w:t>Преглед на икономическата среда</w:t>
      </w:r>
    </w:p>
    <w:p w:rsidR="00044584" w:rsidRPr="00C315D4" w:rsidRDefault="00044584" w:rsidP="00044584">
      <w:pPr>
        <w:shd w:val="clear" w:color="auto" w:fill="FFFFFF"/>
        <w:spacing w:after="120"/>
        <w:jc w:val="both"/>
        <w:rPr>
          <w:color w:val="000000" w:themeColor="text1"/>
        </w:rPr>
      </w:pPr>
      <w:r w:rsidRPr="00C315D4">
        <w:rPr>
          <w:color w:val="000000" w:themeColor="text1"/>
        </w:rPr>
        <w:t>През деветмесечието на 2025 г. реалният растеж на брутния вътрешен продукт достигна 3,1 % и бе движен от вътрешното търсене. Потреблението на домакинствата се повиши с 8,5 %, подкрепено от нарастването на реалния разполагаем доход. При публичното потребление също бе отчетен растеж от 8,5 %. Инвестициите в основен капитал се увеличиха с 9,7 %</w:t>
      </w:r>
      <w:r w:rsidR="00044543">
        <w:rPr>
          <w:color w:val="000000" w:themeColor="text1"/>
          <w:lang w:val="en-US"/>
        </w:rPr>
        <w:t>,</w:t>
      </w:r>
      <w:r w:rsidRPr="00C315D4">
        <w:rPr>
          <w:color w:val="000000" w:themeColor="text1"/>
        </w:rPr>
        <w:t xml:space="preserve"> като положителен принос имаха както частните инвестиции, така и  публичните капиталови разходи. Износът на стоки и услуги спадна с 4,6 %, а вносът нарасна с 3,6 %. </w:t>
      </w:r>
    </w:p>
    <w:p w:rsidR="00044584" w:rsidRPr="00C315D4" w:rsidRDefault="00044584" w:rsidP="00044584">
      <w:pPr>
        <w:shd w:val="clear" w:color="auto" w:fill="FFFFFF"/>
        <w:spacing w:after="120"/>
        <w:jc w:val="both"/>
        <w:rPr>
          <w:color w:val="000000" w:themeColor="text1"/>
        </w:rPr>
      </w:pPr>
      <w:r w:rsidRPr="00C315D4">
        <w:rPr>
          <w:color w:val="000000" w:themeColor="text1"/>
        </w:rPr>
        <w:t>През 2025 г. заетостта ускори своя растеж в сравнение с предходните три години. За периода януари-септември 2025 г. заетите се увеличиха с 2,1 % спрямо същия период на предходната година, като основен принос за това имаха дейностите от сферата на услугите, където броят на заетите се увеличи с 4,1 %, и в строителството - с 5,7 %. В промишлеността и в аграрния сектор броят на заетите намаля съответно с 2 % и с 2,9 %.</w:t>
      </w:r>
    </w:p>
    <w:p w:rsidR="00044584" w:rsidRPr="00C315D4" w:rsidRDefault="00044584" w:rsidP="00044584">
      <w:pPr>
        <w:shd w:val="clear" w:color="auto" w:fill="FFFFFF"/>
        <w:spacing w:after="120"/>
        <w:jc w:val="both"/>
        <w:rPr>
          <w:color w:val="000000" w:themeColor="text1"/>
        </w:rPr>
      </w:pPr>
      <w:r w:rsidRPr="00C315D4">
        <w:rPr>
          <w:color w:val="000000" w:themeColor="text1"/>
        </w:rPr>
        <w:t>В същото време безработицата съществено намаля в сравнение с предходната година. Коефициентът на безработица за деветте месеца на 2025 г. бе 3,6 % или с 0,7 пр. п. по-ниско спрямо същия период на 2024 г. Стойността на този показател за България е с 2,4 пр. п. по-ниска в сравнение със средното ниво в ЕС-27. Коефициентът на икономическа активност на населението във възрастовата група 15-64 г. за същия период бе 73,6 % и намалява спрямо достигнатото през предходната година равнище (74,2 %). Все по-остър се очертава проблемът с недостига на работна сила като условие за разширяване на бизнес дейността, като традиционно най-силно той е заявен от предприемачите в строителството и промишлеността.</w:t>
      </w:r>
    </w:p>
    <w:p w:rsidR="00044584" w:rsidRPr="00C315D4" w:rsidRDefault="00044584" w:rsidP="00044584">
      <w:pPr>
        <w:shd w:val="clear" w:color="auto" w:fill="FFFFFF"/>
        <w:spacing w:after="120"/>
        <w:jc w:val="both"/>
        <w:rPr>
          <w:color w:val="000000" w:themeColor="text1"/>
        </w:rPr>
      </w:pPr>
      <w:r w:rsidRPr="00C315D4">
        <w:rPr>
          <w:color w:val="000000" w:themeColor="text1"/>
        </w:rPr>
        <w:t>За първите девет месеца на 2025 г. реалната производителност на труда нарасна с 1</w:t>
      </w:r>
      <w:r w:rsidR="00155A70">
        <w:rPr>
          <w:color w:val="000000" w:themeColor="text1"/>
        </w:rPr>
        <w:t>,0</w:t>
      </w:r>
      <w:r w:rsidRPr="00C315D4">
        <w:rPr>
          <w:color w:val="000000" w:themeColor="text1"/>
        </w:rPr>
        <w:t xml:space="preserve"> %, а номиналният растеж на компенсацията на един нает достигна 10,1 %. От съществено значение за растежа на доходите от труд в страната бяха взетото решение през април за увеличаване на възнаграждението на служителите в бюджетните организации от началото на годината и увеличението на минималната работна заплата. С продължаващата изпреварваща тенденция на увеличение на компенсацията на един нает над растежа на реалната производителност на труда, номиналните разходи за труд на единица продукция (НРТЕП) достигнаха нарастване от 11,5 %. Номиналното увеличение на средната работна заплата в страната достигна 11,7 % за деветмесечието на 2025 г.</w:t>
      </w:r>
      <w:r w:rsidR="00044543">
        <w:rPr>
          <w:color w:val="000000" w:themeColor="text1"/>
        </w:rPr>
        <w:t>,</w:t>
      </w:r>
      <w:r w:rsidRPr="00C315D4">
        <w:rPr>
          <w:color w:val="000000" w:themeColor="text1"/>
        </w:rPr>
        <w:t xml:space="preserve"> като растежът на заплатите в обществения сектор леко изпревари този на заплатите в частния. Реалният растеж на средната работна заплата възлезе на 8</w:t>
      </w:r>
      <w:r w:rsidR="00155A70">
        <w:rPr>
          <w:color w:val="000000" w:themeColor="text1"/>
        </w:rPr>
        <w:t>,0</w:t>
      </w:r>
      <w:r w:rsidRPr="00C315D4">
        <w:rPr>
          <w:color w:val="000000" w:themeColor="text1"/>
        </w:rPr>
        <w:t xml:space="preserve"> % (</w:t>
      </w:r>
      <w:proofErr w:type="spellStart"/>
      <w:r w:rsidRPr="00C315D4">
        <w:rPr>
          <w:color w:val="000000" w:themeColor="text1"/>
        </w:rPr>
        <w:t>дефлиран</w:t>
      </w:r>
      <w:proofErr w:type="spellEnd"/>
      <w:r w:rsidRPr="00C315D4">
        <w:rPr>
          <w:color w:val="000000" w:themeColor="text1"/>
        </w:rPr>
        <w:t xml:space="preserve"> с ХИПЦ).</w:t>
      </w:r>
    </w:p>
    <w:p w:rsidR="00044584" w:rsidRPr="00C315D4" w:rsidRDefault="00044584" w:rsidP="00044584">
      <w:pPr>
        <w:shd w:val="clear" w:color="auto" w:fill="FFFFFF"/>
        <w:spacing w:after="120"/>
        <w:jc w:val="both"/>
        <w:rPr>
          <w:color w:val="000000" w:themeColor="text1"/>
        </w:rPr>
      </w:pPr>
      <w:r w:rsidRPr="00C315D4">
        <w:rPr>
          <w:color w:val="000000" w:themeColor="text1"/>
        </w:rPr>
        <w:t>Годишният темп на инфлация отчете известно ускорение през годината до септември от 4</w:t>
      </w:r>
      <w:r w:rsidR="00155A70">
        <w:rPr>
          <w:color w:val="000000" w:themeColor="text1"/>
        </w:rPr>
        <w:t>,</w:t>
      </w:r>
      <w:r w:rsidRPr="00C315D4">
        <w:rPr>
          <w:color w:val="000000" w:themeColor="text1"/>
        </w:rPr>
        <w:t>1</w:t>
      </w:r>
      <w:r w:rsidR="00810B19">
        <w:rPr>
          <w:color w:val="000000" w:themeColor="text1"/>
        </w:rPr>
        <w:t xml:space="preserve"> </w:t>
      </w:r>
      <w:r w:rsidRPr="00C315D4">
        <w:rPr>
          <w:color w:val="000000" w:themeColor="text1"/>
        </w:rPr>
        <w:t>%, но след това се забави до 3,5 % към декември според ХИПЦ. Всички основни компоненти на индекса имаха положителен принос</w:t>
      </w:r>
      <w:r w:rsidR="00810B19">
        <w:rPr>
          <w:color w:val="000000" w:themeColor="text1"/>
        </w:rPr>
        <w:t xml:space="preserve">. </w:t>
      </w:r>
      <w:r w:rsidRPr="00C315D4">
        <w:rPr>
          <w:color w:val="000000" w:themeColor="text1"/>
        </w:rPr>
        <w:t>Базисната инфлация</w:t>
      </w:r>
      <w:r w:rsidR="009D47D5">
        <w:rPr>
          <w:rStyle w:val="FootnoteReference"/>
          <w:color w:val="000000" w:themeColor="text1"/>
        </w:rPr>
        <w:footnoteReference w:id="2"/>
      </w:r>
      <w:r w:rsidR="009D47D5">
        <w:rPr>
          <w:color w:val="000000" w:themeColor="text1"/>
        </w:rPr>
        <w:t xml:space="preserve"> </w:t>
      </w:r>
      <w:r w:rsidRPr="00C315D4">
        <w:rPr>
          <w:color w:val="000000" w:themeColor="text1"/>
        </w:rPr>
        <w:t>беше 2,5 % на годишна база в края на 2025 г. Средногодишната инфлация за 2025 г. беше като тази в края на годината - 3,5 %.</w:t>
      </w:r>
    </w:p>
    <w:p w:rsidR="00044584" w:rsidRPr="00C315D4" w:rsidRDefault="00044584" w:rsidP="00044584">
      <w:pPr>
        <w:shd w:val="clear" w:color="auto" w:fill="FFFFFF"/>
        <w:spacing w:after="120"/>
        <w:jc w:val="both"/>
        <w:rPr>
          <w:color w:val="000000" w:themeColor="text1"/>
        </w:rPr>
      </w:pPr>
      <w:r w:rsidRPr="00C315D4">
        <w:rPr>
          <w:color w:val="000000" w:themeColor="text1"/>
        </w:rPr>
        <w:t>Слабият икономически растеж в ЕС наред с планираните прекъсвания в работата на големи производствени и експортни компании в България в секторите на горивата и преработката на цветни метали повлияха на външната търговия. Износът на стоки продължи да намалява (с</w:t>
      </w:r>
      <w:r w:rsidR="0097778D">
        <w:rPr>
          <w:color w:val="000000" w:themeColor="text1"/>
        </w:rPr>
        <w:t xml:space="preserve"> номинален спад от </w:t>
      </w:r>
      <w:r w:rsidRPr="00C315D4">
        <w:rPr>
          <w:color w:val="000000" w:themeColor="text1"/>
        </w:rPr>
        <w:t>3,6</w:t>
      </w:r>
      <w:r>
        <w:rPr>
          <w:color w:val="000000" w:themeColor="text1"/>
        </w:rPr>
        <w:t> </w:t>
      </w:r>
      <w:r w:rsidRPr="00C315D4">
        <w:rPr>
          <w:color w:val="000000" w:themeColor="text1"/>
        </w:rPr>
        <w:t xml:space="preserve">% на годишна база през януари-ноември 2025 г.), докато вносът, подкрепен от вътрешното търсене, се увеличи с 5,3 %. Това беше основният фактор за нарастването на </w:t>
      </w:r>
      <w:r w:rsidRPr="00C315D4">
        <w:rPr>
          <w:color w:val="000000" w:themeColor="text1"/>
        </w:rPr>
        <w:lastRenderedPageBreak/>
        <w:t>дефицита по текущата сметка до 4,</w:t>
      </w:r>
      <w:r w:rsidR="00EF46BA">
        <w:rPr>
          <w:color w:val="000000" w:themeColor="text1"/>
        </w:rPr>
        <w:t>5</w:t>
      </w:r>
      <w:r w:rsidR="00EF46BA" w:rsidRPr="00C315D4">
        <w:rPr>
          <w:color w:val="000000" w:themeColor="text1"/>
        </w:rPr>
        <w:t xml:space="preserve"> </w:t>
      </w:r>
      <w:r w:rsidRPr="00C315D4">
        <w:rPr>
          <w:color w:val="000000" w:themeColor="text1"/>
        </w:rPr>
        <w:t xml:space="preserve">% от </w:t>
      </w:r>
      <w:r w:rsidRPr="00EF46BA">
        <w:rPr>
          <w:color w:val="000000" w:themeColor="text1"/>
        </w:rPr>
        <w:t>БВП. Входящите преки чуждестранни инвестиции за същия период достигнаха 3,</w:t>
      </w:r>
      <w:r w:rsidR="00EF46BA" w:rsidRPr="00EF46BA">
        <w:rPr>
          <w:color w:val="000000" w:themeColor="text1"/>
        </w:rPr>
        <w:t xml:space="preserve">4 </w:t>
      </w:r>
      <w:r w:rsidRPr="00EF46BA">
        <w:rPr>
          <w:color w:val="000000" w:themeColor="text1"/>
        </w:rPr>
        <w:t>% от БВП</w:t>
      </w:r>
      <w:r w:rsidRPr="00C315D4">
        <w:rPr>
          <w:color w:val="000000" w:themeColor="text1"/>
        </w:rPr>
        <w:t>, спрямо 2,9 % година по-рано.</w:t>
      </w:r>
    </w:p>
    <w:p w:rsidR="00044584" w:rsidRPr="00C315D4" w:rsidRDefault="00044584" w:rsidP="00044584">
      <w:pPr>
        <w:shd w:val="clear" w:color="auto" w:fill="FFFFFF"/>
        <w:spacing w:after="120"/>
        <w:jc w:val="both"/>
        <w:rPr>
          <w:color w:val="000000" w:themeColor="text1"/>
        </w:rPr>
      </w:pPr>
      <w:r w:rsidRPr="00C315D4">
        <w:rPr>
          <w:color w:val="000000" w:themeColor="text1"/>
        </w:rPr>
        <w:t>Брутните международни валутни резерви на страната продължиха да осигуряват стабилното функциониране на Паричния съвет, като пазарната им стойност към края на 2025 г. възлезе на 40,1 млрд. евро. Кредитът за частния сектор се ускори през 2025 г. и в края на декември нарасна на годишна база с 15,4 % при 14,7 % в края на предходната година. Водеща роля за това имаха кредитите за домакинства, чийто темп на растеж достигна 21,1 % спрямо 20,8 % в края на декември 2024 г. Жилищните кредити, подкрепени от ниските лихвени проценти, ръста на доходите и не на последно място от двуцифрения ръст на цените на жилищата (15,4 % през третото тримесечие), нараснаха на годишна база с 28,2 %, което е леко забавяне спрямо 29,1 % в края на 2024 г. Потребителските кредити се ускориха леко през 2025 г. с ръст от 13</w:t>
      </w:r>
      <w:r>
        <w:rPr>
          <w:color w:val="000000" w:themeColor="text1"/>
        </w:rPr>
        <w:t>,3 %, при 11,9 </w:t>
      </w:r>
      <w:r w:rsidRPr="00C315D4">
        <w:rPr>
          <w:color w:val="000000" w:themeColor="text1"/>
        </w:rPr>
        <w:t xml:space="preserve">% в края на предходната година. За динамиката на двата типа кредити допринесе и изчерпването на базовия ефект от извършената през декември 2024 г. </w:t>
      </w:r>
      <w:proofErr w:type="spellStart"/>
      <w:r w:rsidRPr="00C315D4">
        <w:rPr>
          <w:color w:val="000000" w:themeColor="text1"/>
        </w:rPr>
        <w:t>прекласификация</w:t>
      </w:r>
      <w:proofErr w:type="spellEnd"/>
      <w:r w:rsidRPr="00C315D4">
        <w:rPr>
          <w:color w:val="000000" w:themeColor="text1"/>
        </w:rPr>
        <w:t xml:space="preserve"> на част от потребителските кредити в жилищни. Кредитите за нефинансови предприятия повториха през 2025 г. темпа си на растеж от 10,1 % от предходната година. При тях ръстът се дължеше изцяло на редовните кредити, които повишиха значително темпа</w:t>
      </w:r>
      <w:r>
        <w:rPr>
          <w:color w:val="000000" w:themeColor="text1"/>
        </w:rPr>
        <w:t xml:space="preserve"> си на растеж до 13,5 % при 3,9 </w:t>
      </w:r>
      <w:r w:rsidRPr="00C315D4">
        <w:rPr>
          <w:color w:val="000000" w:themeColor="text1"/>
        </w:rPr>
        <w:t>% година по-рано.</w:t>
      </w:r>
    </w:p>
    <w:p w:rsidR="00044584" w:rsidRPr="004E6A73" w:rsidRDefault="00044584" w:rsidP="00177400">
      <w:pPr>
        <w:spacing w:before="240"/>
        <w:jc w:val="both"/>
        <w:rPr>
          <w:b/>
          <w:color w:val="000000" w:themeColor="text1"/>
          <w:u w:val="single"/>
        </w:rPr>
      </w:pPr>
      <w:r w:rsidRPr="004E6A73">
        <w:rPr>
          <w:b/>
          <w:color w:val="000000" w:themeColor="text1"/>
          <w:u w:val="single"/>
        </w:rPr>
        <w:t>Бюджетна позиция</w:t>
      </w:r>
    </w:p>
    <w:p w:rsidR="00044584" w:rsidRPr="00A37900" w:rsidRDefault="00044584" w:rsidP="00044584">
      <w:pPr>
        <w:shd w:val="clear" w:color="auto" w:fill="FFFFFF"/>
        <w:spacing w:after="150"/>
        <w:jc w:val="both"/>
        <w:rPr>
          <w:color w:val="000000" w:themeColor="text1"/>
          <w:sz w:val="2"/>
          <w:szCs w:val="2"/>
        </w:rPr>
      </w:pPr>
    </w:p>
    <w:p w:rsidR="00044584" w:rsidRPr="003519CC" w:rsidRDefault="00044584" w:rsidP="00044584">
      <w:pPr>
        <w:shd w:val="clear" w:color="auto" w:fill="FFFFFF"/>
        <w:spacing w:after="150"/>
        <w:jc w:val="both"/>
        <w:rPr>
          <w:color w:val="000000" w:themeColor="text1"/>
        </w:rPr>
      </w:pPr>
      <w:r w:rsidRPr="002B3DE2">
        <w:rPr>
          <w:color w:val="000000" w:themeColor="text1"/>
        </w:rPr>
        <w:t>Фискалната рамка към внесения в НС в началото на 2025 г. законопроект за държавния бюджет за 2025 г. (РМС 88/</w:t>
      </w:r>
      <w:r w:rsidRPr="002B3DE2">
        <w:rPr>
          <w:color w:val="000000" w:themeColor="text1"/>
          <w:lang w:val="en-US"/>
        </w:rPr>
        <w:t>24</w:t>
      </w:r>
      <w:r w:rsidRPr="002B3DE2">
        <w:rPr>
          <w:color w:val="000000" w:themeColor="text1"/>
        </w:rPr>
        <w:t>.02.2025 г.) бе изготвена при допускане индикативният размер на салдото по КФП да възлезе на дефицит в размер на 6 435,2 млн. лв. (</w:t>
      </w:r>
      <w:r w:rsidRPr="002B3DE2">
        <w:rPr>
          <w:color w:val="000000" w:themeColor="text1"/>
          <w:lang w:val="en-US"/>
        </w:rPr>
        <w:t>3</w:t>
      </w:r>
      <w:r w:rsidRPr="002B3DE2">
        <w:rPr>
          <w:color w:val="000000" w:themeColor="text1"/>
        </w:rPr>
        <w:t>,</w:t>
      </w:r>
      <w:r w:rsidRPr="002B3DE2">
        <w:rPr>
          <w:color w:val="000000" w:themeColor="text1"/>
          <w:lang w:val="en-US"/>
        </w:rPr>
        <w:t>0</w:t>
      </w:r>
      <w:r w:rsidRPr="002B3DE2">
        <w:rPr>
          <w:color w:val="000000" w:themeColor="text1"/>
        </w:rPr>
        <w:t xml:space="preserve"> % от прогнозния БВП).</w:t>
      </w:r>
      <w:r w:rsidRPr="003519CC">
        <w:rPr>
          <w:color w:val="000000" w:themeColor="text1"/>
        </w:rPr>
        <w:t xml:space="preserve"> </w:t>
      </w:r>
    </w:p>
    <w:p w:rsidR="00044584" w:rsidRPr="00853ABB" w:rsidRDefault="00044584" w:rsidP="00853ABB">
      <w:pPr>
        <w:pStyle w:val="FootnoteText"/>
        <w:jc w:val="both"/>
        <w:rPr>
          <w:color w:val="000000" w:themeColor="text1"/>
          <w:sz w:val="24"/>
          <w:szCs w:val="24"/>
          <w:lang w:val="bg-BG"/>
        </w:rPr>
      </w:pPr>
      <w:r w:rsidRPr="00853ABB">
        <w:rPr>
          <w:color w:val="000000" w:themeColor="text1"/>
          <w:sz w:val="24"/>
          <w:szCs w:val="24"/>
          <w:lang w:val="bg-BG"/>
        </w:rPr>
        <w:t>На база на данните от месечните отчети за касовото изпълнение на бюджетите на първостепенните разпоредители с бюджет салдото по консолидираната фискална програма за 2025 г. е отрицателно в размер на 6</w:t>
      </w:r>
      <w:r w:rsidR="00A91F90" w:rsidRPr="00853ABB">
        <w:rPr>
          <w:color w:val="000000" w:themeColor="text1"/>
          <w:sz w:val="24"/>
          <w:szCs w:val="24"/>
          <w:lang w:val="bg-BG"/>
        </w:rPr>
        <w:t> </w:t>
      </w:r>
      <w:r w:rsidRPr="00853ABB">
        <w:rPr>
          <w:color w:val="000000" w:themeColor="text1"/>
          <w:sz w:val="24"/>
          <w:szCs w:val="24"/>
          <w:lang w:val="bg-BG"/>
        </w:rPr>
        <w:t>828</w:t>
      </w:r>
      <w:r w:rsidR="00A91F90" w:rsidRPr="00853ABB">
        <w:rPr>
          <w:color w:val="000000" w:themeColor="text1"/>
          <w:sz w:val="24"/>
          <w:szCs w:val="24"/>
          <w:lang w:val="bg-BG"/>
        </w:rPr>
        <w:t>,3</w:t>
      </w:r>
      <w:r w:rsidR="00853ABB" w:rsidRPr="00853ABB">
        <w:rPr>
          <w:color w:val="000000" w:themeColor="text1"/>
          <w:sz w:val="24"/>
          <w:szCs w:val="24"/>
          <w:lang w:val="bg-BG"/>
        </w:rPr>
        <w:t xml:space="preserve"> млн. </w:t>
      </w:r>
      <w:proofErr w:type="spellStart"/>
      <w:r w:rsidR="00853ABB" w:rsidRPr="00853ABB">
        <w:rPr>
          <w:color w:val="000000" w:themeColor="text1"/>
          <w:sz w:val="24"/>
          <w:szCs w:val="24"/>
          <w:lang w:val="bg-BG"/>
        </w:rPr>
        <w:t>лв</w:t>
      </w:r>
      <w:proofErr w:type="spellEnd"/>
      <w:r w:rsidR="00853ABB" w:rsidRPr="00853ABB">
        <w:rPr>
          <w:color w:val="000000" w:themeColor="text1"/>
          <w:sz w:val="24"/>
          <w:szCs w:val="24"/>
          <w:lang w:val="bg-BG"/>
        </w:rPr>
        <w:t xml:space="preserve">., </w:t>
      </w:r>
      <w:proofErr w:type="spellStart"/>
      <w:r w:rsidR="00853ABB" w:rsidRPr="00853ABB">
        <w:rPr>
          <w:color w:val="000000" w:themeColor="text1"/>
          <w:sz w:val="24"/>
          <w:szCs w:val="24"/>
          <w:lang w:val="bg-BG"/>
        </w:rPr>
        <w:t>което</w:t>
      </w:r>
      <w:proofErr w:type="spellEnd"/>
      <w:r w:rsidR="00853ABB" w:rsidRPr="00853ABB">
        <w:rPr>
          <w:color w:val="000000" w:themeColor="text1"/>
          <w:sz w:val="24"/>
          <w:szCs w:val="24"/>
          <w:lang w:val="bg-BG"/>
        </w:rPr>
        <w:t xml:space="preserve"> </w:t>
      </w:r>
      <w:proofErr w:type="spellStart"/>
      <w:r w:rsidR="00853ABB" w:rsidRPr="00853ABB">
        <w:rPr>
          <w:color w:val="000000" w:themeColor="text1"/>
          <w:sz w:val="24"/>
          <w:szCs w:val="24"/>
          <w:lang w:val="bg-BG"/>
        </w:rPr>
        <w:t>представлява</w:t>
      </w:r>
      <w:proofErr w:type="spellEnd"/>
      <w:r w:rsidR="00853ABB" w:rsidRPr="00853ABB">
        <w:rPr>
          <w:color w:val="000000" w:themeColor="text1"/>
          <w:sz w:val="24"/>
          <w:szCs w:val="24"/>
          <w:lang w:val="bg-BG"/>
        </w:rPr>
        <w:t xml:space="preserve"> </w:t>
      </w:r>
      <w:r w:rsidRPr="00853ABB">
        <w:rPr>
          <w:color w:val="000000" w:themeColor="text1"/>
          <w:sz w:val="24"/>
          <w:szCs w:val="24"/>
          <w:lang w:val="bg-BG"/>
        </w:rPr>
        <w:t>3,</w:t>
      </w:r>
      <w:r w:rsidR="00E55626" w:rsidRPr="00853ABB">
        <w:rPr>
          <w:color w:val="000000" w:themeColor="text1"/>
          <w:sz w:val="24"/>
          <w:szCs w:val="24"/>
          <w:lang w:val="bg-BG"/>
        </w:rPr>
        <w:t xml:space="preserve">0 </w:t>
      </w:r>
      <w:r w:rsidRPr="00853ABB">
        <w:rPr>
          <w:color w:val="000000" w:themeColor="text1"/>
          <w:sz w:val="24"/>
          <w:szCs w:val="24"/>
          <w:lang w:val="bg-BG"/>
        </w:rPr>
        <w:t xml:space="preserve">% от БВП </w:t>
      </w:r>
      <w:r w:rsidR="00853ABB" w:rsidRPr="00853ABB">
        <w:rPr>
          <w:color w:val="000000" w:themeColor="text1"/>
          <w:sz w:val="24"/>
          <w:szCs w:val="24"/>
          <w:lang w:val="bg-BG"/>
        </w:rPr>
        <w:t>(</w:t>
      </w:r>
      <w:r w:rsidR="00853ABB" w:rsidRPr="00853ABB">
        <w:rPr>
          <w:color w:val="000000" w:themeColor="text1"/>
          <w:sz w:val="24"/>
          <w:szCs w:val="24"/>
          <w:lang w:val="bg-BG"/>
        </w:rPr>
        <w:t xml:space="preserve">БВП, вкл. за IV </w:t>
      </w:r>
      <w:proofErr w:type="spellStart"/>
      <w:r w:rsidR="00853ABB" w:rsidRPr="00853ABB">
        <w:rPr>
          <w:color w:val="000000" w:themeColor="text1"/>
          <w:sz w:val="24"/>
          <w:szCs w:val="24"/>
          <w:lang w:val="bg-BG"/>
        </w:rPr>
        <w:t>тримесечие</w:t>
      </w:r>
      <w:proofErr w:type="spellEnd"/>
      <w:r w:rsidR="00853ABB" w:rsidRPr="00853ABB">
        <w:rPr>
          <w:color w:val="000000" w:themeColor="text1"/>
          <w:sz w:val="24"/>
          <w:szCs w:val="24"/>
          <w:lang w:val="bg-BG"/>
        </w:rPr>
        <w:t xml:space="preserve"> </w:t>
      </w:r>
      <w:proofErr w:type="spellStart"/>
      <w:r w:rsidR="00853ABB" w:rsidRPr="00853ABB">
        <w:rPr>
          <w:color w:val="000000" w:themeColor="text1"/>
          <w:sz w:val="24"/>
          <w:szCs w:val="24"/>
          <w:lang w:val="bg-BG"/>
        </w:rPr>
        <w:t>на</w:t>
      </w:r>
      <w:proofErr w:type="spellEnd"/>
      <w:r w:rsidR="00853ABB" w:rsidRPr="00853ABB">
        <w:rPr>
          <w:color w:val="000000" w:themeColor="text1"/>
          <w:sz w:val="24"/>
          <w:szCs w:val="24"/>
          <w:lang w:val="bg-BG"/>
        </w:rPr>
        <w:t xml:space="preserve"> 2025 г. - </w:t>
      </w:r>
      <w:proofErr w:type="spellStart"/>
      <w:r w:rsidR="00853ABB" w:rsidRPr="00853ABB">
        <w:rPr>
          <w:color w:val="000000" w:themeColor="text1"/>
          <w:sz w:val="24"/>
          <w:szCs w:val="24"/>
          <w:lang w:val="bg-BG"/>
        </w:rPr>
        <w:t>експресни</w:t>
      </w:r>
      <w:proofErr w:type="spellEnd"/>
      <w:r w:rsidR="00853ABB" w:rsidRPr="00853ABB">
        <w:rPr>
          <w:color w:val="000000" w:themeColor="text1"/>
          <w:sz w:val="24"/>
          <w:szCs w:val="24"/>
          <w:lang w:val="bg-BG"/>
        </w:rPr>
        <w:t xml:space="preserve"> оценки на НСИ</w:t>
      </w:r>
      <w:r w:rsidR="00952CF9">
        <w:rPr>
          <w:color w:val="000000" w:themeColor="text1"/>
          <w:sz w:val="24"/>
          <w:szCs w:val="24"/>
          <w:lang w:val="bg-BG"/>
        </w:rPr>
        <w:t xml:space="preserve"> публикувани на</w:t>
      </w:r>
      <w:r w:rsidR="00853ABB" w:rsidRPr="00853ABB">
        <w:rPr>
          <w:color w:val="000000" w:themeColor="text1"/>
          <w:sz w:val="24"/>
          <w:szCs w:val="24"/>
          <w:lang w:val="bg-BG"/>
        </w:rPr>
        <w:t xml:space="preserve"> 13.02.2026 г.</w:t>
      </w:r>
      <w:r w:rsidR="00853ABB">
        <w:rPr>
          <w:color w:val="000000" w:themeColor="text1"/>
          <w:sz w:val="24"/>
          <w:szCs w:val="24"/>
          <w:lang w:val="bg-BG"/>
        </w:rPr>
        <w:t>). Бюджетното салдо се</w:t>
      </w:r>
      <w:r w:rsidRPr="00853ABB">
        <w:rPr>
          <w:color w:val="000000" w:themeColor="text1"/>
          <w:sz w:val="24"/>
          <w:szCs w:val="24"/>
          <w:lang w:val="bg-BG"/>
        </w:rPr>
        <w:t xml:space="preserve"> </w:t>
      </w:r>
      <w:proofErr w:type="spellStart"/>
      <w:r w:rsidRPr="00853ABB">
        <w:rPr>
          <w:color w:val="000000" w:themeColor="text1"/>
          <w:sz w:val="24"/>
          <w:szCs w:val="24"/>
          <w:lang w:val="bg-BG"/>
        </w:rPr>
        <w:t>формира</w:t>
      </w:r>
      <w:proofErr w:type="spellEnd"/>
      <w:r w:rsidRPr="00853ABB">
        <w:rPr>
          <w:color w:val="000000" w:themeColor="text1"/>
          <w:sz w:val="24"/>
          <w:szCs w:val="24"/>
          <w:lang w:val="bg-BG"/>
        </w:rPr>
        <w:t xml:space="preserve"> </w:t>
      </w:r>
      <w:proofErr w:type="spellStart"/>
      <w:r w:rsidRPr="00853ABB">
        <w:rPr>
          <w:color w:val="000000" w:themeColor="text1"/>
          <w:sz w:val="24"/>
          <w:szCs w:val="24"/>
          <w:lang w:val="bg-BG"/>
        </w:rPr>
        <w:t>от</w:t>
      </w:r>
      <w:proofErr w:type="spellEnd"/>
      <w:r w:rsidRPr="00853ABB">
        <w:rPr>
          <w:color w:val="000000" w:themeColor="text1"/>
          <w:sz w:val="24"/>
          <w:szCs w:val="24"/>
          <w:lang w:val="bg-BG"/>
        </w:rPr>
        <w:t xml:space="preserve"> </w:t>
      </w:r>
      <w:proofErr w:type="spellStart"/>
      <w:r w:rsidRPr="00853ABB">
        <w:rPr>
          <w:color w:val="000000" w:themeColor="text1"/>
          <w:sz w:val="24"/>
          <w:szCs w:val="24"/>
          <w:lang w:val="bg-BG"/>
        </w:rPr>
        <w:t>дефицит</w:t>
      </w:r>
      <w:proofErr w:type="spellEnd"/>
      <w:r w:rsidRPr="00853ABB">
        <w:rPr>
          <w:color w:val="000000" w:themeColor="text1"/>
          <w:sz w:val="24"/>
          <w:szCs w:val="24"/>
          <w:lang w:val="bg-BG"/>
        </w:rPr>
        <w:t xml:space="preserve"> </w:t>
      </w:r>
      <w:proofErr w:type="spellStart"/>
      <w:r w:rsidRPr="00853ABB">
        <w:rPr>
          <w:color w:val="000000" w:themeColor="text1"/>
          <w:sz w:val="24"/>
          <w:szCs w:val="24"/>
          <w:lang w:val="bg-BG"/>
        </w:rPr>
        <w:t>по</w:t>
      </w:r>
      <w:proofErr w:type="spellEnd"/>
      <w:r w:rsidRPr="00853ABB">
        <w:rPr>
          <w:color w:val="000000" w:themeColor="text1"/>
          <w:sz w:val="24"/>
          <w:szCs w:val="24"/>
          <w:lang w:val="bg-BG"/>
        </w:rPr>
        <w:t xml:space="preserve"> </w:t>
      </w:r>
      <w:proofErr w:type="spellStart"/>
      <w:r w:rsidRPr="00853ABB">
        <w:rPr>
          <w:color w:val="000000" w:themeColor="text1"/>
          <w:sz w:val="24"/>
          <w:szCs w:val="24"/>
          <w:lang w:val="bg-BG"/>
        </w:rPr>
        <w:t>националния</w:t>
      </w:r>
      <w:proofErr w:type="spellEnd"/>
      <w:r w:rsidRPr="00853ABB">
        <w:rPr>
          <w:color w:val="000000" w:themeColor="text1"/>
          <w:sz w:val="24"/>
          <w:szCs w:val="24"/>
          <w:lang w:val="bg-BG"/>
        </w:rPr>
        <w:t xml:space="preserve"> </w:t>
      </w:r>
      <w:proofErr w:type="spellStart"/>
      <w:r w:rsidRPr="00853ABB">
        <w:rPr>
          <w:color w:val="000000" w:themeColor="text1"/>
          <w:sz w:val="24"/>
          <w:szCs w:val="24"/>
          <w:lang w:val="bg-BG"/>
        </w:rPr>
        <w:t>бюджет</w:t>
      </w:r>
      <w:proofErr w:type="spellEnd"/>
      <w:r w:rsidRPr="00853ABB">
        <w:rPr>
          <w:color w:val="000000" w:themeColor="text1"/>
          <w:sz w:val="24"/>
          <w:szCs w:val="24"/>
          <w:lang w:val="bg-BG"/>
        </w:rPr>
        <w:t xml:space="preserve"> в </w:t>
      </w:r>
      <w:proofErr w:type="spellStart"/>
      <w:r w:rsidRPr="00853ABB">
        <w:rPr>
          <w:color w:val="000000" w:themeColor="text1"/>
          <w:sz w:val="24"/>
          <w:szCs w:val="24"/>
          <w:lang w:val="bg-BG"/>
        </w:rPr>
        <w:t>размер</w:t>
      </w:r>
      <w:proofErr w:type="spellEnd"/>
      <w:r w:rsidRPr="00853ABB">
        <w:rPr>
          <w:color w:val="000000" w:themeColor="text1"/>
          <w:sz w:val="24"/>
          <w:szCs w:val="24"/>
          <w:lang w:val="bg-BG"/>
        </w:rPr>
        <w:t xml:space="preserve"> </w:t>
      </w:r>
      <w:proofErr w:type="spellStart"/>
      <w:r w:rsidRPr="00853ABB">
        <w:rPr>
          <w:color w:val="000000" w:themeColor="text1"/>
          <w:sz w:val="24"/>
          <w:szCs w:val="24"/>
          <w:lang w:val="bg-BG"/>
        </w:rPr>
        <w:t>на</w:t>
      </w:r>
      <w:proofErr w:type="spellEnd"/>
      <w:r w:rsidRPr="00853ABB">
        <w:rPr>
          <w:color w:val="000000" w:themeColor="text1"/>
          <w:sz w:val="24"/>
          <w:szCs w:val="24"/>
          <w:lang w:val="bg-BG"/>
        </w:rPr>
        <w:t xml:space="preserve"> 5 371,</w:t>
      </w:r>
      <w:r w:rsidR="00A91F90" w:rsidRPr="00853ABB">
        <w:rPr>
          <w:color w:val="000000" w:themeColor="text1"/>
          <w:sz w:val="24"/>
          <w:szCs w:val="24"/>
          <w:lang w:val="bg-BG"/>
        </w:rPr>
        <w:t>4</w:t>
      </w:r>
      <w:r w:rsidRPr="00853ABB">
        <w:rPr>
          <w:color w:val="000000" w:themeColor="text1"/>
          <w:sz w:val="24"/>
          <w:szCs w:val="24"/>
          <w:lang w:val="bg-BG"/>
        </w:rPr>
        <w:t xml:space="preserve"> </w:t>
      </w:r>
      <w:proofErr w:type="spellStart"/>
      <w:r w:rsidRPr="00853ABB">
        <w:rPr>
          <w:color w:val="000000" w:themeColor="text1"/>
          <w:sz w:val="24"/>
          <w:szCs w:val="24"/>
          <w:lang w:val="bg-BG"/>
        </w:rPr>
        <w:t>млн</w:t>
      </w:r>
      <w:proofErr w:type="spellEnd"/>
      <w:r w:rsidRPr="00853ABB">
        <w:rPr>
          <w:color w:val="000000" w:themeColor="text1"/>
          <w:sz w:val="24"/>
          <w:szCs w:val="24"/>
          <w:lang w:val="bg-BG"/>
        </w:rPr>
        <w:t xml:space="preserve">. лв. и дефицит по европейските средства в размер на 1 457,0 млн. лв. </w:t>
      </w:r>
      <w:r w:rsidR="00AE06A0" w:rsidRPr="00853ABB">
        <w:rPr>
          <w:color w:val="000000" w:themeColor="text1"/>
          <w:sz w:val="24"/>
          <w:szCs w:val="24"/>
          <w:lang w:val="bg-BG"/>
        </w:rPr>
        <w:t>Бюджетното салдо по КФП за годината на касова основа е в съответствие с ограничителя във фискалното правило по чл. 27, ал. 4 от ЗПФ.</w:t>
      </w:r>
    </w:p>
    <w:p w:rsidR="00044584" w:rsidRDefault="00044584" w:rsidP="00044584">
      <w:pPr>
        <w:spacing w:after="210"/>
        <w:jc w:val="both"/>
        <w:rPr>
          <w:color w:val="000000" w:themeColor="text1"/>
        </w:rPr>
      </w:pPr>
      <w:r w:rsidRPr="00104A12">
        <w:rPr>
          <w:color w:val="000000" w:themeColor="text1"/>
        </w:rPr>
        <w:t>Заложените в ЗДБРБ за 2025 г. ограничители по отношение на държавния дълг са спазени. В номинално изражение държавният дълг към края на 2025 г. възлиза на 61,4 млрд. лв. (27,</w:t>
      </w:r>
      <w:r w:rsidR="00FE410E">
        <w:rPr>
          <w:color w:val="000000" w:themeColor="text1"/>
        </w:rPr>
        <w:t>1</w:t>
      </w:r>
      <w:r w:rsidR="00767736" w:rsidRPr="00104A12">
        <w:rPr>
          <w:color w:val="000000" w:themeColor="text1"/>
        </w:rPr>
        <w:t xml:space="preserve"> </w:t>
      </w:r>
      <w:r w:rsidRPr="00104A12">
        <w:rPr>
          <w:color w:val="000000" w:themeColor="text1"/>
        </w:rPr>
        <w:t>% от БВП).</w:t>
      </w:r>
    </w:p>
    <w:p w:rsidR="00044584" w:rsidRPr="00C304AE" w:rsidRDefault="00044584" w:rsidP="00177400">
      <w:pPr>
        <w:spacing w:before="240"/>
        <w:jc w:val="both"/>
        <w:rPr>
          <w:b/>
          <w:color w:val="000000" w:themeColor="text1"/>
          <w:u w:val="single"/>
        </w:rPr>
      </w:pPr>
      <w:r w:rsidRPr="00C304AE">
        <w:rPr>
          <w:b/>
          <w:color w:val="000000" w:themeColor="text1"/>
          <w:u w:val="single"/>
        </w:rPr>
        <w:t>Основни акценти във връзка с текущото наблюдение на изпълнението на консолидираната фискална програма за 202</w:t>
      </w:r>
      <w:r>
        <w:rPr>
          <w:b/>
          <w:color w:val="000000" w:themeColor="text1"/>
          <w:u w:val="single"/>
          <w:lang w:val="en-US"/>
        </w:rPr>
        <w:t>5</w:t>
      </w:r>
      <w:r w:rsidRPr="00C304AE">
        <w:rPr>
          <w:b/>
          <w:color w:val="000000" w:themeColor="text1"/>
          <w:u w:val="single"/>
        </w:rPr>
        <w:t xml:space="preserve"> г.</w:t>
      </w:r>
    </w:p>
    <w:p w:rsidR="00044584" w:rsidRPr="00B77215" w:rsidRDefault="00044584" w:rsidP="00177400">
      <w:pPr>
        <w:keepNext/>
        <w:keepLines/>
        <w:spacing w:before="120"/>
        <w:jc w:val="both"/>
        <w:outlineLvl w:val="2"/>
        <w:rPr>
          <w:b/>
          <w:lang w:eastAsia="bg-BG"/>
        </w:rPr>
      </w:pPr>
      <w:r w:rsidRPr="00B77215">
        <w:rPr>
          <w:b/>
          <w:lang w:eastAsia="bg-BG"/>
        </w:rPr>
        <w:t xml:space="preserve">Реформирана рамка за икономическо управление на </w:t>
      </w:r>
      <w:r>
        <w:rPr>
          <w:b/>
          <w:lang w:eastAsia="bg-BG"/>
        </w:rPr>
        <w:t>Е</w:t>
      </w:r>
      <w:r w:rsidRPr="00B77215">
        <w:rPr>
          <w:b/>
          <w:lang w:eastAsia="bg-BG"/>
        </w:rPr>
        <w:t>вропейския съюз</w:t>
      </w:r>
    </w:p>
    <w:p w:rsidR="00F628E6" w:rsidRDefault="00044584" w:rsidP="00F628E6">
      <w:pPr>
        <w:tabs>
          <w:tab w:val="left" w:pos="2142"/>
        </w:tabs>
        <w:spacing w:after="120"/>
        <w:jc w:val="both"/>
      </w:pPr>
      <w:r w:rsidRPr="0025732B">
        <w:t>На 30 април 2024 г. влязоха в сила нормативни промени в рамката за икономическо управление на Европейския съюз (ЕС), известна к</w:t>
      </w:r>
      <w:r>
        <w:t>ато Пакт за стабилност и растеж</w:t>
      </w:r>
      <w:r w:rsidRPr="0025732B">
        <w:t xml:space="preserve">. Реформираната рамка има за цел да насърчи поддържането на стабилни публични финанси в съчетание с провеждането на реформи и инвестиции за постигането на устойчив и приобщаващ растеж в отделните държави членки и в ЕС като цяло. </w:t>
      </w:r>
    </w:p>
    <w:p w:rsidR="00044584" w:rsidRDefault="00044584" w:rsidP="00F628E6">
      <w:pPr>
        <w:tabs>
          <w:tab w:val="left" w:pos="2142"/>
        </w:tabs>
        <w:spacing w:after="120"/>
        <w:jc w:val="both"/>
      </w:pPr>
      <w:r w:rsidRPr="0025732B">
        <w:t>За целите на проследяването на изпълнението на националните ангажименти в сферата на икономическото и фискално управление държавите членки представят информа</w:t>
      </w:r>
      <w:r>
        <w:t>ция на ЕК</w:t>
      </w:r>
      <w:r w:rsidRPr="0025732B">
        <w:t xml:space="preserve"> под формата на средносрочни фискално-структурни планове, обхващащи период от четири или пет години в зависимост от нормалната продължителност на законодателния цикъл на съответната държава. Националният средносрочен фискално-структурен план заменя </w:t>
      </w:r>
      <w:proofErr w:type="spellStart"/>
      <w:r w:rsidRPr="0025732B">
        <w:t>Конвергентната</w:t>
      </w:r>
      <w:proofErr w:type="spellEnd"/>
      <w:r w:rsidRPr="0025732B">
        <w:t xml:space="preserve"> програма (съответно Програмата за стабилност за държавите от еврозоната) и Националната програма за реформи, като се различава от тях както по времеви обхват и съдържание, така и по отношение на наблюдаваните фискални правила.</w:t>
      </w:r>
    </w:p>
    <w:p w:rsidR="00044584" w:rsidRDefault="00044584" w:rsidP="00044584">
      <w:pPr>
        <w:keepNext/>
        <w:keepLines/>
        <w:spacing w:before="40"/>
        <w:jc w:val="both"/>
        <w:outlineLvl w:val="2"/>
      </w:pPr>
      <w:r w:rsidRPr="0025732B">
        <w:lastRenderedPageBreak/>
        <w:t>На 27 февруари 2025 г. Министерството на финансите представи на Е</w:t>
      </w:r>
      <w:r>
        <w:t>К</w:t>
      </w:r>
      <w:r w:rsidRPr="0025732B">
        <w:t xml:space="preserve"> Националния средносрочен фискално-структурен план на Република България за периода 2025–2028 г., приет с Решение на Министерския съвет № 111 от 26 февруари 2025 г. Националният средносрочен фискално-структурен план на Република България за периода 2025–2028 г. </w:t>
      </w:r>
      <w:r w:rsidR="00F1160D">
        <w:t xml:space="preserve">(НСФСПРБ) </w:t>
      </w:r>
      <w:r w:rsidRPr="0025732B">
        <w:t>описва визията на българските власти за фискалната политика, структурните реформи и инвестициите на страната ни през следващите четири години, необходими за насърчаването на стабилни публични финанси и постигането на устойчив и приобщаващ растеж.</w:t>
      </w:r>
    </w:p>
    <w:p w:rsidR="003524F3" w:rsidRDefault="00545DC6" w:rsidP="00044584">
      <w:pPr>
        <w:keepNext/>
        <w:keepLines/>
        <w:spacing w:before="40"/>
        <w:jc w:val="both"/>
        <w:outlineLvl w:val="2"/>
        <w:rPr>
          <w:b/>
          <w:lang w:eastAsia="bg-BG"/>
        </w:rPr>
      </w:pPr>
      <w:r w:rsidRPr="003058AF">
        <w:rPr>
          <w:lang w:eastAsia="bg-BG"/>
        </w:rPr>
        <w:t xml:space="preserve">На 2 </w:t>
      </w:r>
      <w:r>
        <w:rPr>
          <w:lang w:eastAsia="bg-BG"/>
        </w:rPr>
        <w:t>май 2025 г. Министерство на финансите представи на ЕК Годишен доклад за напредъка за 2025 г. по изпълнението на одобрения от ЕК НСФСПРБ.</w:t>
      </w:r>
      <w:r w:rsidR="003524F3">
        <w:rPr>
          <w:lang w:eastAsia="bg-BG"/>
        </w:rPr>
        <w:t xml:space="preserve"> Докладът включва информация за </w:t>
      </w:r>
      <w:r w:rsidR="003524F3" w:rsidRPr="003058AF">
        <w:rPr>
          <w:lang w:eastAsia="bg-BG"/>
        </w:rPr>
        <w:t>бюджетните развития през 2023 г. и 2024 г., прогноза за бюджетните развития през 2025 г.</w:t>
      </w:r>
      <w:r w:rsidR="003524F3">
        <w:rPr>
          <w:lang w:eastAsia="bg-BG"/>
        </w:rPr>
        <w:t xml:space="preserve"> и </w:t>
      </w:r>
      <w:r w:rsidR="003524F3" w:rsidRPr="006F03CA">
        <w:t>изпълнението на плана на нетните</w:t>
      </w:r>
      <w:r w:rsidR="003524F3">
        <w:t xml:space="preserve"> разходи, одобрен</w:t>
      </w:r>
      <w:r w:rsidR="003524F3" w:rsidRPr="006F03CA">
        <w:t xml:space="preserve"> от Съвета</w:t>
      </w:r>
      <w:r w:rsidR="003524F3" w:rsidRPr="003058AF">
        <w:rPr>
          <w:lang w:eastAsia="bg-BG"/>
        </w:rPr>
        <w:t xml:space="preserve"> </w:t>
      </w:r>
      <w:r w:rsidR="003524F3">
        <w:rPr>
          <w:lang w:eastAsia="bg-BG"/>
        </w:rPr>
        <w:t xml:space="preserve">на ЕС, както и </w:t>
      </w:r>
      <w:r w:rsidR="003524F3" w:rsidRPr="003058AF">
        <w:rPr>
          <w:lang w:eastAsia="bg-BG"/>
        </w:rPr>
        <w:t xml:space="preserve">информация за напредъка в изпълнението на включените в </w:t>
      </w:r>
      <w:r w:rsidR="003524F3">
        <w:rPr>
          <w:lang w:eastAsia="bg-BG"/>
        </w:rPr>
        <w:t>Националния п</w:t>
      </w:r>
      <w:r w:rsidR="003524F3" w:rsidRPr="003058AF">
        <w:rPr>
          <w:lang w:eastAsia="bg-BG"/>
        </w:rPr>
        <w:t xml:space="preserve">лан </w:t>
      </w:r>
      <w:r w:rsidR="00044A32">
        <w:rPr>
          <w:lang w:eastAsia="bg-BG"/>
        </w:rPr>
        <w:t xml:space="preserve">за </w:t>
      </w:r>
      <w:r w:rsidR="003524F3" w:rsidRPr="003058AF">
        <w:rPr>
          <w:lang w:eastAsia="bg-BG"/>
        </w:rPr>
        <w:t>реформи и инвестиции</w:t>
      </w:r>
      <w:r w:rsidR="003524F3">
        <w:rPr>
          <w:lang w:eastAsia="bg-BG"/>
        </w:rPr>
        <w:t>.</w:t>
      </w:r>
    </w:p>
    <w:p w:rsidR="00044584" w:rsidRPr="0042269E" w:rsidRDefault="00044584" w:rsidP="00044584">
      <w:pPr>
        <w:keepNext/>
        <w:keepLines/>
        <w:spacing w:before="40"/>
        <w:jc w:val="both"/>
        <w:outlineLvl w:val="2"/>
        <w:rPr>
          <w:b/>
          <w:lang w:eastAsia="bg-BG"/>
        </w:rPr>
      </w:pPr>
      <w:r w:rsidRPr="0042269E">
        <w:rPr>
          <w:b/>
          <w:lang w:eastAsia="bg-BG"/>
        </w:rPr>
        <w:t>Заключителни стъпки към присъединяване на България към еврозоната</w:t>
      </w:r>
    </w:p>
    <w:p w:rsidR="00044584" w:rsidRDefault="00044584" w:rsidP="00044584">
      <w:pPr>
        <w:tabs>
          <w:tab w:val="left" w:pos="7371"/>
        </w:tabs>
        <w:spacing w:after="120"/>
        <w:jc w:val="both"/>
      </w:pPr>
      <w:r>
        <w:t>В</w:t>
      </w:r>
      <w:r w:rsidRPr="00627446">
        <w:t xml:space="preserve"> изпълнение на Решение на Народното събрание от 26 юли 2024 г. за ускоряване и завършване на процеса по подготовка за приемане на еврото в Република България, в съответствие с чл. 140 от Договора за функциониране на Европейския съюз, както и в съответствие с Решение на Министерския съвет на Република България № 92 от 24 февруари 2025 г. за отправяне на искане до Европейската комисия и Европейската централна банка за изготвяне на извънредни доклади за конвергенцията за Република България</w:t>
      </w:r>
      <w:r>
        <w:t xml:space="preserve"> в края на месец февруари министърът на финансите и управителя на Българската народна банка изпратиха до Европейската комисия и до Европейската централна банка с</w:t>
      </w:r>
      <w:r w:rsidRPr="00627446">
        <w:t>ъвместно писмо, съдържащо искане за изготвяне на изв</w:t>
      </w:r>
      <w:r>
        <w:t>ънредни доклади за конвергенция</w:t>
      </w:r>
      <w:r w:rsidRPr="00627446">
        <w:t>.</w:t>
      </w:r>
    </w:p>
    <w:p w:rsidR="00044584" w:rsidRDefault="00044584" w:rsidP="00044584">
      <w:pPr>
        <w:tabs>
          <w:tab w:val="left" w:pos="7371"/>
        </w:tabs>
        <w:spacing w:after="120"/>
        <w:jc w:val="both"/>
      </w:pPr>
      <w:r>
        <w:t>В началото на</w:t>
      </w:r>
      <w:r w:rsidRPr="003A6F59">
        <w:t xml:space="preserve"> месец юни Европейската комисия и Европейската централна банка </w:t>
      </w:r>
      <w:r>
        <w:t xml:space="preserve">публикуваха </w:t>
      </w:r>
      <w:proofErr w:type="spellStart"/>
      <w:r>
        <w:t>конвергентните</w:t>
      </w:r>
      <w:proofErr w:type="spellEnd"/>
      <w:r>
        <w:t xml:space="preserve"> доклади за 2025</w:t>
      </w:r>
      <w:r w:rsidRPr="003A6F59">
        <w:t xml:space="preserve"> г.</w:t>
      </w:r>
      <w:r>
        <w:t xml:space="preserve"> за България</w:t>
      </w:r>
      <w:r w:rsidRPr="003A6F59">
        <w:t>, в които представ</w:t>
      </w:r>
      <w:r>
        <w:t>иха</w:t>
      </w:r>
      <w:r w:rsidRPr="003A6F59">
        <w:t xml:space="preserve"> оценката си за напредъка по пътя къ</w:t>
      </w:r>
      <w:r>
        <w:t>м еврозоната</w:t>
      </w:r>
      <w:r w:rsidRPr="003A6F59">
        <w:t>.</w:t>
      </w:r>
      <w:r w:rsidRPr="00C30C54">
        <w:t xml:space="preserve"> </w:t>
      </w:r>
      <w:r>
        <w:t>Според докладите с</w:t>
      </w:r>
      <w:r w:rsidRPr="003A6F59">
        <w:t xml:space="preserve">траната ни изпълнява </w:t>
      </w:r>
      <w:r>
        <w:t xml:space="preserve">всички </w:t>
      </w:r>
      <w:r w:rsidR="00104D7F" w:rsidRPr="00104D7F">
        <w:t xml:space="preserve">критерии </w:t>
      </w:r>
      <w:r>
        <w:t xml:space="preserve">за </w:t>
      </w:r>
      <w:r w:rsidRPr="003A6F59">
        <w:t>членство</w:t>
      </w:r>
      <w:r>
        <w:t xml:space="preserve"> в еврозоната, а именно з</w:t>
      </w:r>
      <w:r w:rsidRPr="00627446">
        <w:t>аконодателството на България е съвместимо с изискванията на Договора и устава на Европейската систем</w:t>
      </w:r>
      <w:r w:rsidRPr="00C30C54">
        <w:t>а на централните банки и на ЕЦБ,</w:t>
      </w:r>
      <w:r>
        <w:t xml:space="preserve"> спазени </w:t>
      </w:r>
      <w:r w:rsidR="00023A4B">
        <w:t>с</w:t>
      </w:r>
      <w:r>
        <w:t>а изискванията по отношение на</w:t>
      </w:r>
      <w:r w:rsidRPr="003A6F59">
        <w:t xml:space="preserve"> стабилност</w:t>
      </w:r>
      <w:r>
        <w:t>та</w:t>
      </w:r>
      <w:r w:rsidRPr="003A6F59">
        <w:t xml:space="preserve"> на публичните финанси (бюджетно салдо и държавен дълг), </w:t>
      </w:r>
      <w:r>
        <w:t xml:space="preserve">критерият </w:t>
      </w:r>
      <w:r w:rsidRPr="003A6F59">
        <w:t>за</w:t>
      </w:r>
      <w:r>
        <w:t xml:space="preserve"> стабилността на</w:t>
      </w:r>
      <w:r w:rsidRPr="003A6F59">
        <w:t xml:space="preserve"> валутния курс и</w:t>
      </w:r>
      <w:r>
        <w:t xml:space="preserve"> за дългосрочния лихвен процент, както и</w:t>
      </w:r>
      <w:r w:rsidRPr="003A6F59">
        <w:t xml:space="preserve"> </w:t>
      </w:r>
      <w:r>
        <w:t>този</w:t>
      </w:r>
      <w:r w:rsidRPr="003A6F59">
        <w:t xml:space="preserve"> за ценова стабилност</w:t>
      </w:r>
      <w:r>
        <w:t xml:space="preserve">. </w:t>
      </w:r>
    </w:p>
    <w:p w:rsidR="00044584" w:rsidRDefault="00044584" w:rsidP="00044584">
      <w:pPr>
        <w:spacing w:after="120"/>
        <w:jc w:val="both"/>
      </w:pPr>
      <w:r w:rsidRPr="006C72D2">
        <w:t xml:space="preserve">На 8 юли 2025 г. Съветът на ЕС по икономически и финансови въпроси (ЕКОФИН) прие окончателните </w:t>
      </w:r>
      <w:proofErr w:type="spellStart"/>
      <w:r w:rsidRPr="006C72D2">
        <w:t>правнообвързващи</w:t>
      </w:r>
      <w:proofErr w:type="spellEnd"/>
      <w:r w:rsidRPr="006C72D2">
        <w:t xml:space="preserve"> актове, с които се потвърждава присъединяването на България към еврозоната. Решението определя официалната дата за въвеждане на еврото в страната – 1 януари 2026 г., като националната валута лев ще бъде заменена по фиксиран курс от 1 евро = 1,95583 лв.</w:t>
      </w:r>
      <w:r>
        <w:t xml:space="preserve"> </w:t>
      </w:r>
      <w:r w:rsidRPr="006C72D2">
        <w:t>С приетите актове България официално се присъединява към еврозоната и става двадесет и първият член на валутния съюз.</w:t>
      </w:r>
      <w:r w:rsidRPr="003A6F59">
        <w:t xml:space="preserve"> </w:t>
      </w:r>
    </w:p>
    <w:p w:rsidR="00044584" w:rsidRPr="00E456BA" w:rsidRDefault="00044584" w:rsidP="00044584">
      <w:pPr>
        <w:keepNext/>
        <w:keepLines/>
        <w:spacing w:before="40"/>
        <w:jc w:val="both"/>
        <w:outlineLvl w:val="2"/>
        <w:rPr>
          <w:b/>
          <w:lang w:eastAsia="bg-BG"/>
        </w:rPr>
      </w:pPr>
      <w:r w:rsidRPr="00E456BA">
        <w:rPr>
          <w:b/>
          <w:lang w:eastAsia="bg-BG"/>
        </w:rPr>
        <w:t>Активиране на национална клауза</w:t>
      </w:r>
      <w:r>
        <w:rPr>
          <w:b/>
          <w:lang w:eastAsia="bg-BG"/>
        </w:rPr>
        <w:t xml:space="preserve"> за </w:t>
      </w:r>
      <w:proofErr w:type="spellStart"/>
      <w:r>
        <w:rPr>
          <w:b/>
          <w:lang w:eastAsia="bg-BG"/>
        </w:rPr>
        <w:t>дерогация</w:t>
      </w:r>
      <w:proofErr w:type="spellEnd"/>
      <w:r>
        <w:rPr>
          <w:b/>
          <w:lang w:eastAsia="bg-BG"/>
        </w:rPr>
        <w:t xml:space="preserve"> за</w:t>
      </w:r>
      <w:r w:rsidRPr="00E456BA">
        <w:rPr>
          <w:b/>
          <w:lang w:eastAsia="bg-BG"/>
        </w:rPr>
        <w:t xml:space="preserve"> България</w:t>
      </w:r>
    </w:p>
    <w:p w:rsidR="00044584" w:rsidRPr="00E456BA" w:rsidRDefault="00044584" w:rsidP="00044584">
      <w:pPr>
        <w:spacing w:after="120"/>
        <w:jc w:val="both"/>
      </w:pPr>
      <w:r w:rsidRPr="00E456BA">
        <w:t xml:space="preserve">На </w:t>
      </w:r>
      <w:r w:rsidRPr="00E456BA">
        <w:rPr>
          <w:bCs/>
        </w:rPr>
        <w:t>30 април 2025 г.</w:t>
      </w:r>
      <w:r w:rsidRPr="00E456BA">
        <w:t xml:space="preserve"> Съветът на ЕС по икономически и финансови въпроси (ЕКОФИН) одобри </w:t>
      </w:r>
      <w:r w:rsidRPr="00E456BA">
        <w:rPr>
          <w:bCs/>
        </w:rPr>
        <w:t>координирано активиране на националната клауза</w:t>
      </w:r>
      <w:r>
        <w:rPr>
          <w:bCs/>
        </w:rPr>
        <w:t xml:space="preserve"> за </w:t>
      </w:r>
      <w:proofErr w:type="spellStart"/>
      <w:r>
        <w:rPr>
          <w:bCs/>
        </w:rPr>
        <w:t>дерогация</w:t>
      </w:r>
      <w:proofErr w:type="spellEnd"/>
      <w:r w:rsidRPr="00E456BA">
        <w:t xml:space="preserve"> за 16 държави членки, включително </w:t>
      </w:r>
      <w:r w:rsidRPr="00E456BA">
        <w:rPr>
          <w:bCs/>
        </w:rPr>
        <w:t>България</w:t>
      </w:r>
      <w:r w:rsidRPr="00E456BA">
        <w:t xml:space="preserve">. Това решение позволява временно отклонение от фискалните правила на Пакта за стабилност и растеж за периода </w:t>
      </w:r>
      <w:r w:rsidRPr="00E456BA">
        <w:rPr>
          <w:bCs/>
        </w:rPr>
        <w:t>2025–2028 г.</w:t>
      </w:r>
      <w:r w:rsidRPr="00E456BA">
        <w:t xml:space="preserve"> с цел финансиране на </w:t>
      </w:r>
      <w:r w:rsidR="00227A5C">
        <w:t>повишени</w:t>
      </w:r>
      <w:r w:rsidRPr="00E456BA">
        <w:t xml:space="preserve"> отбранителни разходи в контекста на влошената геополитическа среда. С активирането на тази клауза се дава възможност да </w:t>
      </w:r>
      <w:r w:rsidR="00D10CA3">
        <w:t xml:space="preserve">се </w:t>
      </w:r>
      <w:r w:rsidRPr="00E456BA">
        <w:t>увелич</w:t>
      </w:r>
      <w:r w:rsidR="00D10CA3">
        <w:t>ат</w:t>
      </w:r>
      <w:r w:rsidRPr="00E456BA">
        <w:t xml:space="preserve"> военните разходи с до </w:t>
      </w:r>
      <w:r w:rsidRPr="00E456BA">
        <w:rPr>
          <w:bCs/>
        </w:rPr>
        <w:t>1,5 пр. п. от БВП годишно спрямо отчетените разходи за отбрана (</w:t>
      </w:r>
      <w:r w:rsidR="00227A5C">
        <w:rPr>
          <w:bCs/>
        </w:rPr>
        <w:t xml:space="preserve">по </w:t>
      </w:r>
      <w:r w:rsidR="00917A2E">
        <w:rPr>
          <w:bCs/>
        </w:rPr>
        <w:t xml:space="preserve">методологията </w:t>
      </w:r>
      <w:r w:rsidRPr="00E456BA">
        <w:rPr>
          <w:bCs/>
        </w:rPr>
        <w:t>COFOG) в годината преди избухването на войната в Украйна</w:t>
      </w:r>
      <w:r>
        <w:t xml:space="preserve">. На 4 юни бе публикувана и Препоръка на Съвета относно разрешаване на България да се отклони от максималните темпове на растеж на нетните разходи, определени от Съвета съгласно Регламент (ЕС) 2024/1263 (Активиране на националната клауза за </w:t>
      </w:r>
      <w:proofErr w:type="spellStart"/>
      <w:r>
        <w:t>дерогация</w:t>
      </w:r>
      <w:proofErr w:type="spellEnd"/>
      <w:r>
        <w:t xml:space="preserve">). </w:t>
      </w:r>
    </w:p>
    <w:p w:rsidR="00044584" w:rsidRPr="00864A5B" w:rsidRDefault="00044584" w:rsidP="00044584">
      <w:pPr>
        <w:spacing w:after="120"/>
        <w:jc w:val="both"/>
      </w:pPr>
      <w:r w:rsidRPr="00E456BA">
        <w:t>Мярката позволява по-голяма гъвкавост при изпълнение на инвестиционни проекти в отбранителния сектор без необходимост от компенсиращи бюджетни сък</w:t>
      </w:r>
      <w:r>
        <w:t>ращения в други ключови области</w:t>
      </w:r>
      <w:r w:rsidRPr="00E456BA">
        <w:t>. Координира</w:t>
      </w:r>
      <w:r>
        <w:t xml:space="preserve">ното активиране на национална клауза за </w:t>
      </w:r>
      <w:proofErr w:type="spellStart"/>
      <w:r>
        <w:t>дерогация</w:t>
      </w:r>
      <w:proofErr w:type="spellEnd"/>
      <w:r w:rsidRPr="00E456BA">
        <w:t xml:space="preserve"> от ЕС е част от по-широкия процес на адаптиране на фискалната рамка към новите предизвикателства в сигу</w:t>
      </w:r>
      <w:r>
        <w:t>рността</w:t>
      </w:r>
      <w:r w:rsidRPr="00E456BA">
        <w:t>.</w:t>
      </w:r>
    </w:p>
    <w:p w:rsidR="00044584" w:rsidRPr="00B324BD" w:rsidRDefault="00044584" w:rsidP="00044584">
      <w:pPr>
        <w:keepNext/>
        <w:keepLines/>
        <w:spacing w:before="40"/>
        <w:jc w:val="both"/>
        <w:outlineLvl w:val="2"/>
        <w:rPr>
          <w:b/>
          <w:lang w:eastAsia="bg-BG"/>
        </w:rPr>
      </w:pPr>
      <w:r w:rsidRPr="00B324BD">
        <w:rPr>
          <w:b/>
          <w:lang w:eastAsia="bg-BG"/>
        </w:rPr>
        <w:lastRenderedPageBreak/>
        <w:t>Фискални развития през 2025 г.</w:t>
      </w:r>
    </w:p>
    <w:p w:rsidR="00FB1D2E" w:rsidRDefault="00044584" w:rsidP="00044584">
      <w:pPr>
        <w:tabs>
          <w:tab w:val="left" w:pos="2142"/>
        </w:tabs>
        <w:spacing w:after="120"/>
        <w:jc w:val="both"/>
      </w:pPr>
      <w:r w:rsidRPr="00B007EA">
        <w:t xml:space="preserve">След година прекъсване фискалната година започна </w:t>
      </w:r>
      <w:r w:rsidR="00D353A6" w:rsidRPr="00B007EA">
        <w:t xml:space="preserve">отново </w:t>
      </w:r>
      <w:r w:rsidRPr="00B007EA">
        <w:t>без одоб</w:t>
      </w:r>
      <w:r w:rsidR="00FB1D2E">
        <w:t>рен от Народното събрание закон</w:t>
      </w:r>
      <w:r w:rsidRPr="00B007EA">
        <w:t xml:space="preserve"> за държавния бюджет на Република България </w:t>
      </w:r>
      <w:r w:rsidR="00D353A6">
        <w:t xml:space="preserve">(ЗДБРБ) </w:t>
      </w:r>
      <w:r w:rsidRPr="00B007EA">
        <w:t xml:space="preserve">за 2025 г. Подготовката на Бюджет 2025 и Актуализираната </w:t>
      </w:r>
      <w:r>
        <w:t>средносрочна бюджетна прогноза</w:t>
      </w:r>
      <w:r w:rsidRPr="00B007EA">
        <w:t xml:space="preserve"> за периода 2025-2028 г. беше повлияна от различни фактори, като в сложната политическа обстановка реализирането на обичайните стъпки на втория етап от бюджетната процедура за 2025 г. бе предизвикателство в условията на подготовка и провеждане на избори за 51-то Народно събрание на 27 октомври 2024 г. </w:t>
      </w:r>
      <w:r w:rsidR="00FB1D2E" w:rsidRPr="00B007EA">
        <w:t>След сформирането на ново</w:t>
      </w:r>
      <w:r w:rsidR="00FB1D2E">
        <w:t>то</w:t>
      </w:r>
      <w:r w:rsidR="00FB1D2E" w:rsidRPr="00B007EA">
        <w:t xml:space="preserve"> редовно правителство в средата на месец януари 2025 г., внесеният законопроект за бюджета за 2025 г. на служебното правителство бе оттеглен и в кратки срокове през февруари 2025 г. се изготвиха и внесоха за обсъждане в Народното събрание проектите на трите бюджетни закона за 2025 г. и актуализирана бюджетна рамка за</w:t>
      </w:r>
      <w:r w:rsidR="00FB1D2E">
        <w:t xml:space="preserve"> периода 2025-2028 г., които </w:t>
      </w:r>
      <w:r w:rsidR="00FB1D2E" w:rsidRPr="00B007EA">
        <w:t xml:space="preserve">съответстват на политическите приоритети </w:t>
      </w:r>
      <w:r w:rsidR="00FB1D2E">
        <w:t>н</w:t>
      </w:r>
      <w:r w:rsidR="00FB1D2E" w:rsidRPr="00B007EA">
        <w:t xml:space="preserve">а управленския мандат на правителството. </w:t>
      </w:r>
      <w:r w:rsidRPr="00B007EA">
        <w:t>Това наложи изпълнението на държавния бюджет до деня на приемането от Народното събрание на ЗДБРБ за 2025 г. да се извършва по реда на чл. 87, ал. 1 от ЗПФ и при действието на Закона за събирането на приходи и извършването на разходи през 2025 г. до приемането на Закона за държавния бюджет на Република България за 2025 г., Закона за бюджета на държавното обществено осигуряване за 2025 г. и Закона за бюджета на Националната з</w:t>
      </w:r>
      <w:r>
        <w:t>дравноосигурителна каса за 2025 </w:t>
      </w:r>
      <w:r w:rsidRPr="00B007EA">
        <w:t>г.</w:t>
      </w:r>
      <w:r>
        <w:t xml:space="preserve"> </w:t>
      </w:r>
      <w:r w:rsidR="00FB1D2E" w:rsidRPr="00B007EA">
        <w:t>На 21 март ЗДБРБ за 2025 г. бе приет от Народното събрание, като във фискалната рамка за годинат</w:t>
      </w:r>
      <w:r w:rsidR="00FB1D2E">
        <w:t>а бяха заложени амбициозни цели</w:t>
      </w:r>
      <w:r w:rsidR="00FB1D2E" w:rsidRPr="00B007EA">
        <w:t xml:space="preserve"> както по линия на повишаване на събираемостта на приходите, така и по линия на приоритетните разходни политики, в т.ч. инвестиционна програма, разходите за секторите отбрана, образование, здравеопазване и други, също така и наваксване на изоставането по Националния план за възстановяване и устойчивост (НПВУ).</w:t>
      </w:r>
      <w:r w:rsidR="00FB1D2E">
        <w:t xml:space="preserve"> </w:t>
      </w:r>
    </w:p>
    <w:p w:rsidR="00044584" w:rsidRPr="000F5CE7" w:rsidRDefault="001B73BD" w:rsidP="00044584">
      <w:pPr>
        <w:tabs>
          <w:tab w:val="left" w:pos="2142"/>
        </w:tabs>
        <w:spacing w:after="120"/>
        <w:jc w:val="both"/>
      </w:pPr>
      <w:r w:rsidRPr="001B73BD">
        <w:t>От страна на приходите през 2025 г. се наблюдаваше нарастване на постъпленията както при данъчно-осигурителните приходи, така и при неданъчните приходи и постъпленията от помощи и дарения. Общо приходите, помощите и даренията по консолидираната фискална програма (КФП) за 2025 г. са в размер на 86,1 млрд. лв., което представлява 95,4 % от разчетите към ЗДБРБ за 2025 година. В номинално изражение приходите по КФП нараснаха с 14</w:t>
      </w:r>
      <w:r w:rsidR="00973902">
        <w:t>,1</w:t>
      </w:r>
      <w:r w:rsidRPr="001B73BD">
        <w:t xml:space="preserve"> млрд. лв. (19,5 на сто) спрямо 2024 г., като това представлява най-високият номинален ръст за последните няколко години. Основен принос имат данъчно-осигурителните приходи, които нарастват с близо 9 млрд. лв. (15,3 на сто), следвани от приходите от помощи и дарения (основно грантове от ЕС), които нарастват с над 2,9 млрд. лв. (80,3 %) и неданъчните приходи, при които нарастването е с близо 2,2 млрд. лв. (22,4 на сто). Ръстът при помощите се дължи основно на получените втори и трети транш по Механизма за възстановяване и устойчивост (МВУ), като дължимите към страната суми и по двата транша бяха редуцирани поради задържане от  ЕК на част от дължимите средства. Данните показват, че 2025 г. е рекордна за последните няколко години по отношение на номиналното нарастване на общите приходи, като отчетения ръст е 19,5 на сто. За наблюдаваното неизпълнение на годишните разчети при приходите от косвени данъци и осигуровки обаче причината е</w:t>
      </w:r>
      <w:r w:rsidR="00825F9C">
        <w:t xml:space="preserve"> </w:t>
      </w:r>
      <w:r w:rsidRPr="001B73BD">
        <w:t xml:space="preserve">по-късното приемане на годишния закон за 2025 г., което ограничи периода за прилагането на промените, свързани с мерките за повишаване на събираемостта на приходите и свързаните с това амбициозни цели за годината. </w:t>
      </w:r>
    </w:p>
    <w:p w:rsidR="00044584" w:rsidRPr="000F5CE7" w:rsidRDefault="00044584" w:rsidP="00044584">
      <w:pPr>
        <w:tabs>
          <w:tab w:val="left" w:pos="2142"/>
        </w:tabs>
        <w:spacing w:after="120"/>
        <w:jc w:val="both"/>
      </w:pPr>
      <w:r w:rsidRPr="000F5CE7">
        <w:t>При неданъчните приходи към края на 2025 г. се отчита  минимално неизпълнение на разчетите от 1,1 %. Преизпълнение на разчетите за годината има при приходите и доходи от собственост, глобите, санкции и наказателни лихви, приходи от концесии и другите неданъчни приходи, докато неизпълнение се отчита при държавните и съдебни такси и постъпленията от продажба на нефинансови активи.</w:t>
      </w:r>
    </w:p>
    <w:p w:rsidR="00044584" w:rsidRDefault="00044584" w:rsidP="00044584">
      <w:pPr>
        <w:spacing w:after="120"/>
        <w:jc w:val="both"/>
      </w:pPr>
      <w:r w:rsidRPr="000F5CE7">
        <w:t>Изпълнението на разчетите в частта на помощите за 2025 г. е 88,0 %.</w:t>
      </w:r>
    </w:p>
    <w:p w:rsidR="00044584" w:rsidRDefault="00044584" w:rsidP="00044584">
      <w:pPr>
        <w:spacing w:after="120"/>
        <w:jc w:val="both"/>
      </w:pPr>
      <w:r w:rsidRPr="00B007EA">
        <w:t xml:space="preserve">За разлика от предходни години, когато прилагането на аналогична законова рамка до приемането на закона за държавния бюджет за съответната година </w:t>
      </w:r>
      <w:r w:rsidR="003A50BB">
        <w:t>водеше</w:t>
      </w:r>
      <w:r w:rsidRPr="00B007EA">
        <w:t xml:space="preserve"> до известно задържане на разходите, през първите три месеца на 2025 г. се наблюдава</w:t>
      </w:r>
      <w:r>
        <w:t>ше</w:t>
      </w:r>
      <w:r w:rsidRPr="00B007EA">
        <w:t xml:space="preserve"> противоположна тенденция на относително</w:t>
      </w:r>
      <w:r>
        <w:t xml:space="preserve"> ускорено</w:t>
      </w:r>
      <w:r w:rsidRPr="00B007EA">
        <w:t xml:space="preserve"> нарастване на разходите, за което допринесоха основно законодателни промени, одобрени през 2024 г., в т.ч. промените в пенсионната сфера, увеличените размери на възнагражденията в редица администрации, одобрени програми за компенсиране на разходите на </w:t>
      </w:r>
      <w:r w:rsidRPr="00B007EA">
        <w:lastRenderedPageBreak/>
        <w:t>небитовите крайни потребители на електрическа енергия и т.</w:t>
      </w:r>
      <w:r w:rsidR="00FE3658">
        <w:t xml:space="preserve"> </w:t>
      </w:r>
      <w:r w:rsidRPr="00B007EA">
        <w:t>н. Тези тенденции в разходите се запазиха и</w:t>
      </w:r>
      <w:r>
        <w:t xml:space="preserve"> след приемането на ЗДБРБ за 2025 г., като</w:t>
      </w:r>
      <w:r w:rsidRPr="00B007EA">
        <w:t xml:space="preserve"> през второто тримесечие на годината бяха разплатени и редица отложени разходи, включително задължения за разходи от предходната година</w:t>
      </w:r>
      <w:r>
        <w:t>, а през третото и четвъртото тримесечие фокусът бе наваксване на изоставане при изпълнението на проектите и инвестициите по НПВУ</w:t>
      </w:r>
      <w:r w:rsidRPr="00B007EA">
        <w:t>.</w:t>
      </w:r>
      <w:r>
        <w:t xml:space="preserve"> Положените огромни усилия се потвърждават от постигнатите резултати през 2025 г. по НПВУ – за първи път след 2022 г. България получи траншове от ЕК в рекорден размер (над 3,7 млрд.</w:t>
      </w:r>
      <w:r w:rsidR="00245FB5">
        <w:t xml:space="preserve"> лв.</w:t>
      </w:r>
      <w:r>
        <w:t xml:space="preserve">), а разходите и трансферите по сметката за средства от ЕС на Националния фонд по НПВУ за 2025 г. надвишиха близо два пъти общо усвоените средства за предходните </w:t>
      </w:r>
      <w:r w:rsidR="001A4935" w:rsidRPr="00E4513D">
        <w:t>две</w:t>
      </w:r>
      <w:r>
        <w:t xml:space="preserve"> години.</w:t>
      </w:r>
      <w:r w:rsidRPr="00B007EA">
        <w:t xml:space="preserve"> </w:t>
      </w:r>
      <w:r>
        <w:t>Това потвърждава, че 2025 г. бе рекордна по отношение напредъка при усвояването на средствата по НПВУ.</w:t>
      </w:r>
    </w:p>
    <w:p w:rsidR="00044584" w:rsidRPr="000F5CE7" w:rsidRDefault="00044584" w:rsidP="00044584">
      <w:pPr>
        <w:tabs>
          <w:tab w:val="left" w:pos="2142"/>
        </w:tabs>
        <w:spacing w:after="120"/>
        <w:jc w:val="both"/>
      </w:pPr>
      <w:r w:rsidRPr="00F05B8B">
        <w:t>Разходите по КФП (вкл. вноската в бюджета на ЕС) през 202</w:t>
      </w:r>
      <w:r w:rsidRPr="00F05B8B">
        <w:rPr>
          <w:lang w:val="ru-RU"/>
        </w:rPr>
        <w:t>5</w:t>
      </w:r>
      <w:r w:rsidRPr="00F05B8B">
        <w:t xml:space="preserve"> г. възлизат на 92</w:t>
      </w:r>
      <w:r>
        <w:t>,9</w:t>
      </w:r>
      <w:r w:rsidRPr="00F05B8B">
        <w:rPr>
          <w:lang w:val="ru-RU"/>
        </w:rPr>
        <w:t> </w:t>
      </w:r>
      <w:r>
        <w:rPr>
          <w:lang w:val="ru-RU"/>
        </w:rPr>
        <w:t>млрд</w:t>
      </w:r>
      <w:r w:rsidRPr="00F05B8B">
        <w:t xml:space="preserve">. лв., което е 96,1 % от годишните разчети. </w:t>
      </w:r>
      <w:r w:rsidRPr="000F5CE7">
        <w:t>Спрямо предходната година на съпоставима</w:t>
      </w:r>
      <w:r>
        <w:rPr>
          <w:rStyle w:val="FootnoteReference"/>
        </w:rPr>
        <w:footnoteReference w:id="3"/>
      </w:r>
      <w:r w:rsidRPr="000F5CE7">
        <w:t xml:space="preserve"> база разходите и вноската в общия бюджет на ЕС нарастват номинално с 13,5 млрд. лв. (17,1 на сто). В отделните разходни показатели най-значително нарастване има при социалните и здравноосигурителните разходи (4,1 млрд. лв.</w:t>
      </w:r>
      <w:r w:rsidR="00124831">
        <w:t xml:space="preserve"> повече</w:t>
      </w:r>
      <w:r w:rsidRPr="000F5CE7">
        <w:t>),  разходите за персонал (4,1 млрд. лв.</w:t>
      </w:r>
      <w:r w:rsidR="00124831">
        <w:t xml:space="preserve"> повече</w:t>
      </w:r>
      <w:r w:rsidRPr="000F5CE7">
        <w:t>), капиталовите разходи и трансфери (3,5 млрд. лв. или с 43,9 на сто повече на съпоставима база) и други. Ръстът на разходите се дължи на влезли в сила нормативни актове, вкл. промени в пенсионната сфера, разходи по реализирането на одобрени от Народното събрание инвестиционни проекти в сферата на отбраната и други инвестиционни разходи, влезли в сила увеличени размери на възнагражденията в редица администрации и други. Значителен ръст има и при разходите по сметките за средства от ЕС, като само за 2025 г. разходите и трансферите по Н</w:t>
      </w:r>
      <w:r>
        <w:t>ПВУ</w:t>
      </w:r>
      <w:r w:rsidRPr="000F5CE7">
        <w:t xml:space="preserve"> са в размер на</w:t>
      </w:r>
      <w:r w:rsidR="00BE3508">
        <w:t>д</w:t>
      </w:r>
      <w:r w:rsidRPr="000F5CE7">
        <w:t xml:space="preserve"> </w:t>
      </w:r>
      <w:r w:rsidR="00BE3508">
        <w:t>2</w:t>
      </w:r>
      <w:r w:rsidRPr="000F5CE7">
        <w:t>,</w:t>
      </w:r>
      <w:r w:rsidR="00902F75">
        <w:rPr>
          <w:lang w:val="en-US"/>
        </w:rPr>
        <w:t>8</w:t>
      </w:r>
      <w:r w:rsidRPr="000F5CE7">
        <w:t xml:space="preserve"> млрд. лв.</w:t>
      </w:r>
    </w:p>
    <w:p w:rsidR="00044584" w:rsidRPr="000F5CE7" w:rsidRDefault="00044584" w:rsidP="00044584">
      <w:pPr>
        <w:tabs>
          <w:tab w:val="left" w:pos="2142"/>
        </w:tabs>
        <w:spacing w:after="120"/>
        <w:jc w:val="both"/>
      </w:pPr>
      <w:r w:rsidRPr="000F5CE7">
        <w:t>При отделните елементи на разходите, съпоставено с предходната година, най-значителен номинален ръст се отчита при социалните и здравноосигурителните разходи (4,14 млрд. лв. или 11,9 на сто), в т.ч. разходите за пенсии нарастват с 2,5 млрд. лв. (11,4 на сто). Основните мерки в пенсионната сфера, действащи през 2025 г., са: увеличение с 11 на сто на всички пенсии по т. нар. „швейцарско правило“ от 1 юли 2024 г. (мярка, засягаща първото полугодие на 2025 г.) и увеличение на пенсиите от 1 юли 2025 г. пак по „швейцарското правило“ с 8,6 на сто.</w:t>
      </w:r>
    </w:p>
    <w:p w:rsidR="00044584" w:rsidRPr="000F5CE7" w:rsidRDefault="00044584" w:rsidP="00044584">
      <w:pPr>
        <w:tabs>
          <w:tab w:val="left" w:pos="2142"/>
        </w:tabs>
        <w:spacing w:after="120"/>
        <w:jc w:val="both"/>
      </w:pPr>
      <w:r w:rsidRPr="000F5CE7">
        <w:t>Друг елемент на разходите, при който се отчита съществено нарастване спрямо  предходната година (с 4,05 млрд. лв. или 20,0 на сто) са разходите за персонал. Нарастването на разходите се дължи основно на увеличение на размера на възнагражденията с</w:t>
      </w:r>
      <w:r>
        <w:t>ъс ЗДБРБ за</w:t>
      </w:r>
      <w:r w:rsidRPr="000F5CE7">
        <w:t xml:space="preserve"> 2025 г., </w:t>
      </w:r>
      <w:r>
        <w:t>поради действието на</w:t>
      </w:r>
      <w:r w:rsidRPr="000F5CE7">
        <w:t xml:space="preserve"> редица законодателни промени и актове на Министерския съвет, които бяха одобрени през 2024 г. и първите шест месеца на 2025 г.</w:t>
      </w:r>
      <w:r>
        <w:t>, в т.ч. промените в Закона за отбраната и въоръжените сили, Закона за Министерството на вътрешните работи, Закона за висшето образование и други.</w:t>
      </w:r>
    </w:p>
    <w:p w:rsidR="00044584" w:rsidRPr="00E85643" w:rsidRDefault="00044584" w:rsidP="00044584">
      <w:pPr>
        <w:spacing w:after="120"/>
        <w:jc w:val="both"/>
        <w:rPr>
          <w:lang w:val="en-US"/>
        </w:rPr>
      </w:pPr>
      <w:r w:rsidRPr="000F5CE7">
        <w:t xml:space="preserve">Капиталовите разходи и трансфери на съпоставима база нарастват с </w:t>
      </w:r>
      <w:r>
        <w:t>3,5</w:t>
      </w:r>
      <w:r w:rsidRPr="000F5CE7">
        <w:t xml:space="preserve"> млрд. лв. (43,9 на сто), спрямо 2024 г., като основен принос имат капиталовите разходи, извършени по сметките за средства от ЕС и по държавния бюджет,</w:t>
      </w:r>
      <w:r>
        <w:t xml:space="preserve"> които нарастват съответно с 2,8</w:t>
      </w:r>
      <w:r w:rsidRPr="000F5CE7">
        <w:t xml:space="preserve"> млрд. лв. по сметките за средства от ЕС)</w:t>
      </w:r>
      <w:r>
        <w:t xml:space="preserve"> и 0,8 млрд. лв. по държавния бюджет (</w:t>
      </w:r>
      <w:r w:rsidR="006F0C05">
        <w:t>н</w:t>
      </w:r>
      <w:r>
        <w:t>а съпоставима база)</w:t>
      </w:r>
      <w:r w:rsidRPr="000F5CE7">
        <w:t>. Освен ускореното усвояване на средствата по ПВУ и оперативните програми на ЕС за нарастване на капиталовите разходи влияние оказват и разходите по придобиване на ново въоръжение и техника за въоръжените сили, разходите по Инвестиционната програма за общински проекти и други.</w:t>
      </w:r>
    </w:p>
    <w:p w:rsidR="00044584" w:rsidRPr="00186E50" w:rsidRDefault="00044584" w:rsidP="001B7BB1">
      <w:pPr>
        <w:spacing w:before="240"/>
        <w:jc w:val="both"/>
        <w:rPr>
          <w:b/>
          <w:color w:val="000000" w:themeColor="text1"/>
          <w:u w:val="single"/>
        </w:rPr>
      </w:pPr>
      <w:r w:rsidRPr="00186E50">
        <w:rPr>
          <w:b/>
          <w:color w:val="000000" w:themeColor="text1"/>
          <w:u w:val="single"/>
        </w:rPr>
        <w:t>Основните предизвикателства в хода на бюджетното изпълнение и потенциални ефекти върху бюджета за 202</w:t>
      </w:r>
      <w:r>
        <w:rPr>
          <w:b/>
          <w:color w:val="000000" w:themeColor="text1"/>
          <w:u w:val="single"/>
        </w:rPr>
        <w:t>6</w:t>
      </w:r>
      <w:r w:rsidRPr="00186E50">
        <w:rPr>
          <w:b/>
          <w:color w:val="000000" w:themeColor="text1"/>
          <w:u w:val="single"/>
        </w:rPr>
        <w:t xml:space="preserve"> г.</w:t>
      </w:r>
    </w:p>
    <w:p w:rsidR="00044584" w:rsidRPr="00616F74" w:rsidRDefault="00044584" w:rsidP="001B7BB1">
      <w:pPr>
        <w:spacing w:before="120" w:after="120"/>
        <w:jc w:val="both"/>
      </w:pPr>
      <w:r w:rsidRPr="00186E50">
        <w:rPr>
          <w:color w:val="000000" w:themeColor="text1"/>
        </w:rPr>
        <w:t xml:space="preserve">Основните предизвикателства, пред които бе изправено изпълнението на бюджета бяха по </w:t>
      </w:r>
      <w:r w:rsidRPr="00616F74">
        <w:t>няколко направления:</w:t>
      </w:r>
    </w:p>
    <w:p w:rsidR="00044584" w:rsidRDefault="00616F74" w:rsidP="00044584">
      <w:pPr>
        <w:pStyle w:val="ListParagraph"/>
        <w:numPr>
          <w:ilvl w:val="0"/>
          <w:numId w:val="44"/>
        </w:numPr>
        <w:spacing w:line="240" w:lineRule="auto"/>
        <w:rPr>
          <w:rFonts w:ascii="Times New Roman" w:hAnsi="Times New Roman"/>
          <w:color w:val="548DD4" w:themeColor="text2" w:themeTint="99"/>
        </w:rPr>
      </w:pPr>
      <w:r w:rsidRPr="00616F74">
        <w:rPr>
          <w:rFonts w:ascii="Times New Roman" w:hAnsi="Times New Roman"/>
          <w:szCs w:val="24"/>
        </w:rPr>
        <w:lastRenderedPageBreak/>
        <w:t xml:space="preserve">През 2025 г. бяха положени значителни усилия за предоговарянето на ПВУ и ускореното наваксване на изоставането при изпълнението по проектите от предходните години. </w:t>
      </w:r>
      <w:r>
        <w:rPr>
          <w:rFonts w:ascii="Times New Roman" w:hAnsi="Times New Roman"/>
          <w:szCs w:val="24"/>
        </w:rPr>
        <w:t xml:space="preserve">Планът </w:t>
      </w:r>
      <w:r w:rsidRPr="00ED5003">
        <w:rPr>
          <w:rFonts w:ascii="Times New Roman" w:hAnsi="Times New Roman"/>
          <w:szCs w:val="24"/>
        </w:rPr>
        <w:t>беше предоговорен два пъти, като по този начин се осигури съответствие на поетите ангажименти и променящите се икономически и бюджетни условия и предизвикателства</w:t>
      </w:r>
      <w:r>
        <w:rPr>
          <w:rFonts w:ascii="Times New Roman" w:hAnsi="Times New Roman"/>
          <w:szCs w:val="24"/>
        </w:rPr>
        <w:t>.</w:t>
      </w:r>
      <w:r w:rsidRPr="00ED5003">
        <w:rPr>
          <w:rFonts w:ascii="Times New Roman" w:hAnsi="Times New Roman"/>
          <w:szCs w:val="24"/>
        </w:rPr>
        <w:t xml:space="preserve"> </w:t>
      </w:r>
      <w:r>
        <w:rPr>
          <w:rFonts w:ascii="Times New Roman" w:hAnsi="Times New Roman"/>
          <w:szCs w:val="24"/>
        </w:rPr>
        <w:t xml:space="preserve">В рамките на последното тримесечие на 2025 г. бяха подадени </w:t>
      </w:r>
      <w:r w:rsidRPr="00453FD0">
        <w:rPr>
          <w:rFonts w:ascii="Times New Roman" w:hAnsi="Times New Roman"/>
          <w:szCs w:val="24"/>
        </w:rPr>
        <w:t>второто и третото искане</w:t>
      </w:r>
      <w:r>
        <w:rPr>
          <w:rFonts w:ascii="Times New Roman" w:hAnsi="Times New Roman"/>
          <w:szCs w:val="24"/>
        </w:rPr>
        <w:t xml:space="preserve"> за плащане, които бяха оценени положително от ЕК, съответно на България бяха изплатени два транша на обща стойност над 3,7 млрд. лв. </w:t>
      </w:r>
      <w:r w:rsidR="00044584" w:rsidRPr="00453FD0">
        <w:rPr>
          <w:rFonts w:ascii="Times New Roman" w:hAnsi="Times New Roman"/>
          <w:szCs w:val="24"/>
        </w:rPr>
        <w:t xml:space="preserve">Разходите и трансферите за изпълнение на инвестициите и проектите по ПВУ през 2025 г. са близо два пъти по-високи от отчетените общо за предходните </w:t>
      </w:r>
      <w:r w:rsidR="00044584" w:rsidRPr="007B24B5">
        <w:rPr>
          <w:rFonts w:ascii="Times New Roman" w:hAnsi="Times New Roman"/>
          <w:szCs w:val="24"/>
        </w:rPr>
        <w:t>две</w:t>
      </w:r>
      <w:r w:rsidR="00044584" w:rsidRPr="00453FD0">
        <w:rPr>
          <w:rFonts w:ascii="Times New Roman" w:hAnsi="Times New Roman"/>
          <w:szCs w:val="24"/>
        </w:rPr>
        <w:t xml:space="preserve"> години и достигат 2,</w:t>
      </w:r>
      <w:r w:rsidR="003A6CAE">
        <w:rPr>
          <w:rFonts w:ascii="Times New Roman" w:hAnsi="Times New Roman"/>
          <w:szCs w:val="24"/>
          <w:lang w:val="en-US"/>
        </w:rPr>
        <w:t>8</w:t>
      </w:r>
      <w:r w:rsidR="00044584" w:rsidRPr="00453FD0">
        <w:rPr>
          <w:rFonts w:ascii="Times New Roman" w:hAnsi="Times New Roman"/>
          <w:szCs w:val="24"/>
        </w:rPr>
        <w:t xml:space="preserve"> млрд. лв. Предизвикателство през 2026 г. ще бъде рекордният размер на оставащите </w:t>
      </w:r>
      <w:r w:rsidR="00044584">
        <w:rPr>
          <w:rFonts w:ascii="Times New Roman" w:hAnsi="Times New Roman"/>
          <w:szCs w:val="24"/>
        </w:rPr>
        <w:t xml:space="preserve">плащания по </w:t>
      </w:r>
      <w:r w:rsidR="00044584" w:rsidRPr="00453FD0">
        <w:rPr>
          <w:rFonts w:ascii="Times New Roman" w:hAnsi="Times New Roman"/>
          <w:szCs w:val="24"/>
        </w:rPr>
        <w:t>ПВУ</w:t>
      </w:r>
      <w:r w:rsidR="00044584">
        <w:rPr>
          <w:rFonts w:ascii="Times New Roman" w:hAnsi="Times New Roman"/>
          <w:szCs w:val="24"/>
        </w:rPr>
        <w:t xml:space="preserve"> (около 4,5 млрд. евро) за постигане на 100 % </w:t>
      </w:r>
      <w:proofErr w:type="spellStart"/>
      <w:r w:rsidR="00044584">
        <w:rPr>
          <w:rFonts w:ascii="Times New Roman" w:hAnsi="Times New Roman"/>
          <w:szCs w:val="24"/>
        </w:rPr>
        <w:t>усвояемост</w:t>
      </w:r>
      <w:proofErr w:type="spellEnd"/>
      <w:r w:rsidR="00044584">
        <w:rPr>
          <w:rFonts w:ascii="Times New Roman" w:hAnsi="Times New Roman"/>
          <w:szCs w:val="24"/>
        </w:rPr>
        <w:t xml:space="preserve"> на безвъзмездните средства при спазване на срока </w:t>
      </w:r>
      <w:r w:rsidR="0033273D">
        <w:rPr>
          <w:rFonts w:ascii="Times New Roman" w:hAnsi="Times New Roman"/>
          <w:szCs w:val="24"/>
        </w:rPr>
        <w:t xml:space="preserve">(31 август 2026 г.) </w:t>
      </w:r>
      <w:r w:rsidR="00044584">
        <w:rPr>
          <w:rFonts w:ascii="Times New Roman" w:hAnsi="Times New Roman"/>
          <w:szCs w:val="24"/>
        </w:rPr>
        <w:t>за из</w:t>
      </w:r>
      <w:r w:rsidR="00607CA2">
        <w:rPr>
          <w:rFonts w:ascii="Times New Roman" w:hAnsi="Times New Roman"/>
          <w:szCs w:val="24"/>
        </w:rPr>
        <w:t>вършване на допустими</w:t>
      </w:r>
      <w:r w:rsidR="0033273D">
        <w:rPr>
          <w:rFonts w:ascii="Times New Roman" w:hAnsi="Times New Roman"/>
          <w:szCs w:val="24"/>
        </w:rPr>
        <w:t>те</w:t>
      </w:r>
      <w:r w:rsidR="00607CA2">
        <w:rPr>
          <w:rFonts w:ascii="Times New Roman" w:hAnsi="Times New Roman"/>
          <w:szCs w:val="24"/>
        </w:rPr>
        <w:t xml:space="preserve"> плащания</w:t>
      </w:r>
      <w:r w:rsidR="00044584">
        <w:rPr>
          <w:rFonts w:ascii="Times New Roman" w:hAnsi="Times New Roman"/>
          <w:szCs w:val="24"/>
        </w:rPr>
        <w:t xml:space="preserve"> по плана. Тъй като четвъртото</w:t>
      </w:r>
      <w:r w:rsidR="00044584" w:rsidRPr="00AC2FFE">
        <w:rPr>
          <w:rFonts w:ascii="Times New Roman" w:hAnsi="Times New Roman"/>
          <w:szCs w:val="24"/>
        </w:rPr>
        <w:t xml:space="preserve"> </w:t>
      </w:r>
      <w:r w:rsidR="00044584">
        <w:rPr>
          <w:rFonts w:ascii="Times New Roman" w:hAnsi="Times New Roman"/>
          <w:szCs w:val="24"/>
        </w:rPr>
        <w:t>искане за плащане</w:t>
      </w:r>
      <w:r w:rsidR="00044584" w:rsidRPr="00AC2FFE">
        <w:rPr>
          <w:rFonts w:ascii="Times New Roman" w:hAnsi="Times New Roman"/>
          <w:szCs w:val="24"/>
        </w:rPr>
        <w:t xml:space="preserve"> </w:t>
      </w:r>
      <w:r w:rsidR="00044584">
        <w:rPr>
          <w:rFonts w:ascii="Times New Roman" w:hAnsi="Times New Roman"/>
          <w:szCs w:val="24"/>
        </w:rPr>
        <w:t>не може да</w:t>
      </w:r>
      <w:r w:rsidR="00044584" w:rsidRPr="00AC2FFE">
        <w:rPr>
          <w:rFonts w:ascii="Times New Roman" w:hAnsi="Times New Roman"/>
          <w:szCs w:val="24"/>
        </w:rPr>
        <w:t xml:space="preserve"> бъде подадено </w:t>
      </w:r>
      <w:r w:rsidR="00044584">
        <w:rPr>
          <w:rFonts w:ascii="Times New Roman" w:hAnsi="Times New Roman"/>
          <w:szCs w:val="24"/>
        </w:rPr>
        <w:t>преди началото на месец</w:t>
      </w:r>
      <w:r w:rsidR="00044584" w:rsidRPr="00AC2FFE">
        <w:rPr>
          <w:rFonts w:ascii="Times New Roman" w:hAnsi="Times New Roman"/>
          <w:szCs w:val="24"/>
        </w:rPr>
        <w:t xml:space="preserve"> април, а </w:t>
      </w:r>
      <w:r w:rsidR="00044584">
        <w:rPr>
          <w:rFonts w:ascii="Times New Roman" w:hAnsi="Times New Roman"/>
          <w:szCs w:val="24"/>
        </w:rPr>
        <w:t>петото искане за плащане</w:t>
      </w:r>
      <w:r w:rsidR="00044584" w:rsidRPr="00AC2FFE">
        <w:rPr>
          <w:rFonts w:ascii="Times New Roman" w:hAnsi="Times New Roman"/>
          <w:szCs w:val="24"/>
        </w:rPr>
        <w:t xml:space="preserve"> </w:t>
      </w:r>
      <w:r w:rsidR="00044584">
        <w:rPr>
          <w:rFonts w:ascii="Times New Roman" w:hAnsi="Times New Roman"/>
          <w:szCs w:val="24"/>
        </w:rPr>
        <w:t xml:space="preserve">се очаква да бъде </w:t>
      </w:r>
      <w:r w:rsidR="00044584" w:rsidRPr="00AC2FFE">
        <w:rPr>
          <w:rFonts w:ascii="Times New Roman" w:hAnsi="Times New Roman"/>
          <w:szCs w:val="24"/>
        </w:rPr>
        <w:t>до края на месец септември 2026 г.</w:t>
      </w:r>
      <w:r w:rsidR="00044584">
        <w:rPr>
          <w:rFonts w:ascii="Times New Roman" w:hAnsi="Times New Roman"/>
          <w:szCs w:val="24"/>
        </w:rPr>
        <w:t xml:space="preserve">, се налага </w:t>
      </w:r>
      <w:r w:rsidR="00044584" w:rsidRPr="00C74AA8">
        <w:rPr>
          <w:rFonts w:ascii="Times New Roman" w:hAnsi="Times New Roman"/>
          <w:szCs w:val="24"/>
        </w:rPr>
        <w:t>националния</w:t>
      </w:r>
      <w:r w:rsidR="00044584">
        <w:rPr>
          <w:rFonts w:ascii="Times New Roman" w:hAnsi="Times New Roman"/>
          <w:szCs w:val="24"/>
        </w:rPr>
        <w:t>т</w:t>
      </w:r>
      <w:r w:rsidR="00044584" w:rsidRPr="00C74AA8">
        <w:rPr>
          <w:rFonts w:ascii="Times New Roman" w:hAnsi="Times New Roman"/>
          <w:szCs w:val="24"/>
        </w:rPr>
        <w:t xml:space="preserve"> бюджет да </w:t>
      </w:r>
      <w:proofErr w:type="spellStart"/>
      <w:r w:rsidR="00044584" w:rsidRPr="00C74AA8">
        <w:rPr>
          <w:rFonts w:ascii="Times New Roman" w:hAnsi="Times New Roman"/>
          <w:szCs w:val="24"/>
        </w:rPr>
        <w:t>префинансира</w:t>
      </w:r>
      <w:proofErr w:type="spellEnd"/>
      <w:r w:rsidR="00044584" w:rsidRPr="00C74AA8">
        <w:rPr>
          <w:rFonts w:ascii="Times New Roman" w:hAnsi="Times New Roman"/>
          <w:szCs w:val="24"/>
        </w:rPr>
        <w:t xml:space="preserve"> тези значителни по размер плащания.</w:t>
      </w:r>
      <w:r w:rsidR="00044584">
        <w:rPr>
          <w:rFonts w:ascii="Times New Roman" w:hAnsi="Times New Roman"/>
          <w:szCs w:val="24"/>
        </w:rPr>
        <w:t xml:space="preserve"> Концентрирането на значителни плащания в началото на годината и вероятното одобряване от ЕК на четвъртото и петото искане за плащане през второто полугодие при хипотеза за по-продължителн</w:t>
      </w:r>
      <w:r w:rsidR="00FD6519">
        <w:rPr>
          <w:rFonts w:ascii="Times New Roman" w:hAnsi="Times New Roman"/>
          <w:szCs w:val="24"/>
        </w:rPr>
        <w:t>о</w:t>
      </w:r>
      <w:r w:rsidR="00044584">
        <w:rPr>
          <w:rFonts w:ascii="Times New Roman" w:hAnsi="Times New Roman"/>
          <w:szCs w:val="24"/>
        </w:rPr>
        <w:t xml:space="preserve"> прилагане на чл. 87 на ЗПФ и разпоредбите на Закона за събиране на приходи и извършването на разходи до приемането на ЗДБРБ за 2026 г., ЗБДОО за 2026 г. и ЗБНЗОК за 2026 г. може </w:t>
      </w:r>
      <w:r w:rsidR="00044584" w:rsidRPr="001A7E84">
        <w:rPr>
          <w:rFonts w:ascii="Times New Roman" w:hAnsi="Times New Roman"/>
          <w:szCs w:val="24"/>
        </w:rPr>
        <w:t xml:space="preserve">да доведе до риск за временен ликвиден </w:t>
      </w:r>
      <w:r w:rsidR="00A311AB">
        <w:rPr>
          <w:rFonts w:ascii="Times New Roman" w:hAnsi="Times New Roman"/>
          <w:szCs w:val="24"/>
        </w:rPr>
        <w:t>недостиг</w:t>
      </w:r>
      <w:r w:rsidR="00A311AB" w:rsidRPr="001A7E84">
        <w:rPr>
          <w:rFonts w:ascii="Times New Roman" w:hAnsi="Times New Roman"/>
          <w:szCs w:val="24"/>
        </w:rPr>
        <w:t xml:space="preserve"> </w:t>
      </w:r>
      <w:r w:rsidR="00044584" w:rsidRPr="001A7E84">
        <w:rPr>
          <w:rFonts w:ascii="Times New Roman" w:hAnsi="Times New Roman"/>
          <w:szCs w:val="24"/>
        </w:rPr>
        <w:t>до превеждане на средствата от ЕК.</w:t>
      </w:r>
      <w:r w:rsidR="009F73A1">
        <w:rPr>
          <w:rFonts w:ascii="Times New Roman" w:hAnsi="Times New Roman"/>
          <w:color w:val="548DD4" w:themeColor="text2" w:themeTint="99"/>
        </w:rPr>
        <w:t xml:space="preserve"> </w:t>
      </w:r>
    </w:p>
    <w:p w:rsidR="007B24B5" w:rsidRPr="00F1568C" w:rsidRDefault="007B24B5" w:rsidP="007B24B5">
      <w:pPr>
        <w:pStyle w:val="ListParagraph"/>
        <w:numPr>
          <w:ilvl w:val="0"/>
          <w:numId w:val="44"/>
        </w:numPr>
        <w:spacing w:line="240" w:lineRule="auto"/>
        <w:ind w:left="714" w:hanging="357"/>
        <w:rPr>
          <w:rFonts w:ascii="Times New Roman" w:hAnsi="Times New Roman"/>
        </w:rPr>
      </w:pPr>
      <w:r w:rsidRPr="001A7E84">
        <w:rPr>
          <w:rFonts w:ascii="Times New Roman" w:hAnsi="Times New Roman"/>
        </w:rPr>
        <w:t xml:space="preserve">Разходите по бюджетите на общините значително надвишават </w:t>
      </w:r>
      <w:r>
        <w:rPr>
          <w:rFonts w:ascii="Times New Roman" w:hAnsi="Times New Roman"/>
        </w:rPr>
        <w:t>годишните разчети</w:t>
      </w:r>
      <w:r w:rsidRPr="001A7E84">
        <w:rPr>
          <w:rFonts w:ascii="Times New Roman" w:hAnsi="Times New Roman"/>
        </w:rPr>
        <w:t xml:space="preserve"> за 2025</w:t>
      </w:r>
      <w:r w:rsidR="005F6EDE">
        <w:rPr>
          <w:rFonts w:ascii="Times New Roman" w:hAnsi="Times New Roman"/>
        </w:rPr>
        <w:t> </w:t>
      </w:r>
      <w:r w:rsidRPr="001A7E84">
        <w:rPr>
          <w:rFonts w:ascii="Times New Roman" w:hAnsi="Times New Roman"/>
        </w:rPr>
        <w:t>г.,</w:t>
      </w:r>
      <w:r w:rsidRPr="00F1568C">
        <w:rPr>
          <w:rFonts w:ascii="Times New Roman" w:hAnsi="Times New Roman"/>
        </w:rPr>
        <w:t xml:space="preserve"> което наложи по държавния бюджет да бъдат обезпечени компенсиращи мерки в значителен размер.</w:t>
      </w:r>
    </w:p>
    <w:p w:rsidR="00044584" w:rsidRPr="009F73A1" w:rsidRDefault="00044584" w:rsidP="009F73A1">
      <w:pPr>
        <w:pStyle w:val="ListParagraph"/>
        <w:spacing w:line="240" w:lineRule="auto"/>
        <w:ind w:left="714" w:firstLine="0"/>
        <w:rPr>
          <w:rFonts w:ascii="Times New Roman" w:hAnsi="Times New Roman"/>
        </w:rPr>
      </w:pPr>
    </w:p>
    <w:p w:rsidR="005D7577" w:rsidRPr="00A07483" w:rsidRDefault="00A07483" w:rsidP="00A07483">
      <w:pPr>
        <w:rPr>
          <w:color w:val="0070C0"/>
        </w:rPr>
      </w:pPr>
      <w:r>
        <w:rPr>
          <w:color w:val="0070C0"/>
        </w:rPr>
        <w:br w:type="page"/>
      </w:r>
    </w:p>
    <w:p w:rsidR="008969AB" w:rsidRPr="00B54B62" w:rsidRDefault="008969AB" w:rsidP="00A34FA2">
      <w:pPr>
        <w:pStyle w:val="Heading1"/>
        <w:numPr>
          <w:ilvl w:val="0"/>
          <w:numId w:val="8"/>
        </w:numPr>
        <w:spacing w:before="360"/>
        <w:ind w:left="533" w:right="-108" w:hanging="391"/>
        <w:jc w:val="both"/>
        <w:rPr>
          <w:sz w:val="24"/>
        </w:rPr>
      </w:pPr>
      <w:r w:rsidRPr="00B54B62">
        <w:rPr>
          <w:sz w:val="24"/>
        </w:rPr>
        <w:lastRenderedPageBreak/>
        <w:t>Основни показатели по консолидираната фискална програма</w:t>
      </w:r>
      <w:r w:rsidRPr="00B54B62">
        <w:rPr>
          <w:rStyle w:val="FootnoteReference"/>
          <w:sz w:val="24"/>
        </w:rPr>
        <w:footnoteReference w:id="4"/>
      </w:r>
      <w:r w:rsidRPr="00B54B62">
        <w:rPr>
          <w:sz w:val="24"/>
        </w:rPr>
        <w:t xml:space="preserve"> за 202</w:t>
      </w:r>
      <w:r w:rsidRPr="00B54B62">
        <w:rPr>
          <w:sz w:val="24"/>
          <w:lang w:val="ru-RU"/>
        </w:rPr>
        <w:t>5</w:t>
      </w:r>
      <w:r w:rsidRPr="00B54B62">
        <w:rPr>
          <w:sz w:val="24"/>
        </w:rPr>
        <w:t> г.</w:t>
      </w:r>
    </w:p>
    <w:p w:rsidR="00C35EB3" w:rsidRPr="00CB4B55" w:rsidRDefault="00C35EB3" w:rsidP="00C35EB3">
      <w:pPr>
        <w:jc w:val="both"/>
        <w:rPr>
          <w:color w:val="0070C0"/>
        </w:rPr>
      </w:pPr>
      <w:bookmarkStart w:id="0" w:name="_MON_1608125583"/>
      <w:bookmarkStart w:id="1" w:name="_MON_1608125674"/>
      <w:bookmarkStart w:id="2" w:name="_MON_1608126274"/>
      <w:bookmarkStart w:id="3" w:name="_MON_1608124882"/>
      <w:bookmarkStart w:id="4" w:name="_MON_1608126650"/>
      <w:bookmarkStart w:id="5" w:name="_MON_1608126890"/>
      <w:bookmarkStart w:id="6" w:name="_MON_1608126952"/>
      <w:bookmarkStart w:id="7" w:name="_MON_1608127244"/>
      <w:bookmarkStart w:id="8" w:name="_MON_1608124980"/>
      <w:bookmarkStart w:id="9" w:name="_MON_1608125062"/>
      <w:bookmarkStart w:id="10" w:name="_MON_1608125088"/>
      <w:bookmarkStart w:id="11" w:name="_MON_1608125406"/>
      <w:bookmarkStart w:id="12" w:name="_MON_1609599545"/>
      <w:bookmarkStart w:id="13" w:name="_MON_1609599605"/>
      <w:bookmarkStart w:id="14" w:name="_MON_1608125426"/>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C35EB3" w:rsidRPr="00EF0239" w:rsidRDefault="00C35EB3" w:rsidP="00C35EB3">
      <w:pPr>
        <w:jc w:val="both"/>
      </w:pPr>
      <w:r w:rsidRPr="00EF0239">
        <w:t>Изпълнението на основните показатели по консолидираната фискална програма за 202</w:t>
      </w:r>
      <w:r w:rsidRPr="00EF0239">
        <w:rPr>
          <w:lang w:val="ru-RU"/>
        </w:rPr>
        <w:t>5</w:t>
      </w:r>
      <w:r w:rsidRPr="00EF0239">
        <w:t xml:space="preserve"> г. е представено в следната таблица:</w:t>
      </w:r>
    </w:p>
    <w:p w:rsidR="00C35EB3" w:rsidRPr="00C25B8B" w:rsidRDefault="00C35EB3" w:rsidP="00C35EB3">
      <w:pPr>
        <w:jc w:val="both"/>
        <w:rPr>
          <w:color w:val="0070C0"/>
          <w:sz w:val="4"/>
          <w:szCs w:val="4"/>
        </w:rPr>
      </w:pPr>
    </w:p>
    <w:p w:rsidR="00C35EB3" w:rsidRPr="007E4ACE" w:rsidRDefault="00C35EB3" w:rsidP="00C35EB3">
      <w:pPr>
        <w:spacing w:before="120"/>
        <w:rPr>
          <w:b/>
          <w:i/>
          <w:sz w:val="22"/>
          <w:szCs w:val="22"/>
        </w:rPr>
      </w:pPr>
      <w:r w:rsidRPr="007E4ACE">
        <w:rPr>
          <w:b/>
          <w:i/>
          <w:sz w:val="22"/>
          <w:szCs w:val="22"/>
        </w:rPr>
        <w:t>Таблица</w:t>
      </w:r>
      <w:r w:rsidRPr="007E4ACE">
        <w:rPr>
          <w:b/>
          <w:i/>
          <w:sz w:val="22"/>
          <w:szCs w:val="22"/>
          <w:vertAlign w:val="superscript"/>
        </w:rPr>
        <w:footnoteReference w:id="5"/>
      </w:r>
      <w:r w:rsidRPr="007E4ACE">
        <w:rPr>
          <w:b/>
          <w:i/>
          <w:sz w:val="22"/>
          <w:szCs w:val="22"/>
        </w:rPr>
        <w:t xml:space="preserve"> №1</w:t>
      </w:r>
      <w:r w:rsidRPr="007E4ACE">
        <w:rPr>
          <w:b/>
          <w:i/>
          <w:sz w:val="22"/>
          <w:szCs w:val="22"/>
        </w:rPr>
        <w:tab/>
      </w:r>
    </w:p>
    <w:tbl>
      <w:tblPr>
        <w:tblW w:w="10036" w:type="dxa"/>
        <w:tblInd w:w="98" w:type="dxa"/>
        <w:tblLook w:val="04A0" w:firstRow="1" w:lastRow="0" w:firstColumn="1" w:lastColumn="0" w:noHBand="0" w:noVBand="1"/>
      </w:tblPr>
      <w:tblGrid>
        <w:gridCol w:w="4263"/>
        <w:gridCol w:w="916"/>
        <w:gridCol w:w="1227"/>
        <w:gridCol w:w="1222"/>
        <w:gridCol w:w="1199"/>
        <w:gridCol w:w="1209"/>
      </w:tblGrid>
      <w:tr w:rsidR="00C35EB3" w:rsidRPr="0096484C" w:rsidTr="00902F75">
        <w:trPr>
          <w:trHeight w:val="265"/>
        </w:trPr>
        <w:tc>
          <w:tcPr>
            <w:tcW w:w="4263" w:type="dxa"/>
            <w:vMerge w:val="restart"/>
            <w:tcBorders>
              <w:top w:val="single" w:sz="8" w:space="0" w:color="auto"/>
              <w:left w:val="single" w:sz="8" w:space="0" w:color="auto"/>
              <w:bottom w:val="single" w:sz="4" w:space="0" w:color="000000"/>
              <w:right w:val="nil"/>
            </w:tcBorders>
            <w:shd w:val="clear" w:color="000000" w:fill="D9D9D9"/>
            <w:noWrap/>
            <w:vAlign w:val="bottom"/>
            <w:hideMark/>
          </w:tcPr>
          <w:p w:rsidR="00C35EB3" w:rsidRPr="0096484C" w:rsidRDefault="00C35EB3" w:rsidP="00902F75">
            <w:pPr>
              <w:jc w:val="center"/>
              <w:rPr>
                <w:b/>
                <w:bCs/>
                <w:sz w:val="18"/>
                <w:szCs w:val="18"/>
              </w:rPr>
            </w:pPr>
            <w:r w:rsidRPr="0096484C">
              <w:rPr>
                <w:b/>
                <w:bCs/>
                <w:sz w:val="18"/>
                <w:szCs w:val="18"/>
              </w:rPr>
              <w:t>ПОКАЗАТЕЛ</w:t>
            </w:r>
          </w:p>
        </w:tc>
        <w:tc>
          <w:tcPr>
            <w:tcW w:w="916" w:type="dxa"/>
            <w:tcBorders>
              <w:top w:val="single" w:sz="8" w:space="0" w:color="auto"/>
              <w:left w:val="single" w:sz="4" w:space="0" w:color="auto"/>
              <w:bottom w:val="nil"/>
              <w:right w:val="single" w:sz="4" w:space="0" w:color="auto"/>
            </w:tcBorders>
            <w:shd w:val="clear" w:color="000000" w:fill="D9D9D9"/>
            <w:noWrap/>
            <w:vAlign w:val="bottom"/>
            <w:hideMark/>
          </w:tcPr>
          <w:p w:rsidR="00C35EB3" w:rsidRPr="0096484C" w:rsidRDefault="00C35EB3" w:rsidP="00902F75">
            <w:pPr>
              <w:jc w:val="center"/>
              <w:rPr>
                <w:b/>
                <w:bCs/>
                <w:sz w:val="18"/>
                <w:szCs w:val="18"/>
                <w:highlight w:val="yellow"/>
              </w:rPr>
            </w:pPr>
            <w:r w:rsidRPr="0096484C">
              <w:rPr>
                <w:b/>
                <w:bCs/>
                <w:sz w:val="18"/>
                <w:szCs w:val="18"/>
              </w:rPr>
              <w:t>Разчет 20</w:t>
            </w:r>
            <w:r w:rsidRPr="0096484C">
              <w:rPr>
                <w:b/>
                <w:bCs/>
                <w:sz w:val="18"/>
                <w:szCs w:val="18"/>
                <w:lang w:val="en-US"/>
              </w:rPr>
              <w:t>25</w:t>
            </w:r>
            <w:r w:rsidRPr="0096484C">
              <w:rPr>
                <w:b/>
                <w:bCs/>
                <w:sz w:val="18"/>
                <w:szCs w:val="18"/>
              </w:rPr>
              <w:t xml:space="preserve"> г.</w:t>
            </w:r>
            <w:r w:rsidRPr="0096484C">
              <w:rPr>
                <w:rStyle w:val="FootnoteReference"/>
                <w:b/>
                <w:bCs/>
                <w:sz w:val="18"/>
                <w:szCs w:val="18"/>
              </w:rPr>
              <w:footnoteReference w:id="6"/>
            </w:r>
          </w:p>
        </w:tc>
        <w:tc>
          <w:tcPr>
            <w:tcW w:w="3648" w:type="dxa"/>
            <w:gridSpan w:val="3"/>
            <w:tcBorders>
              <w:top w:val="single" w:sz="8" w:space="0" w:color="auto"/>
              <w:left w:val="nil"/>
              <w:bottom w:val="single" w:sz="4" w:space="0" w:color="auto"/>
              <w:right w:val="single" w:sz="4" w:space="0" w:color="auto"/>
            </w:tcBorders>
            <w:shd w:val="clear" w:color="000000" w:fill="D9D9D9"/>
            <w:noWrap/>
            <w:vAlign w:val="center"/>
            <w:hideMark/>
          </w:tcPr>
          <w:p w:rsidR="00C35EB3" w:rsidRPr="0096484C" w:rsidRDefault="00C35EB3" w:rsidP="00902F75">
            <w:pPr>
              <w:jc w:val="center"/>
              <w:rPr>
                <w:b/>
                <w:bCs/>
                <w:sz w:val="18"/>
                <w:szCs w:val="18"/>
              </w:rPr>
            </w:pPr>
            <w:r w:rsidRPr="0096484C">
              <w:rPr>
                <w:b/>
                <w:bCs/>
                <w:sz w:val="18"/>
                <w:szCs w:val="18"/>
              </w:rPr>
              <w:t>Отчет към 31.12.20</w:t>
            </w:r>
            <w:r w:rsidRPr="0096484C">
              <w:rPr>
                <w:b/>
                <w:bCs/>
                <w:sz w:val="18"/>
                <w:szCs w:val="18"/>
                <w:lang w:val="en-US"/>
              </w:rPr>
              <w:t>2</w:t>
            </w:r>
            <w:r w:rsidRPr="0096484C">
              <w:rPr>
                <w:b/>
                <w:bCs/>
                <w:sz w:val="18"/>
                <w:szCs w:val="18"/>
              </w:rPr>
              <w:t>5 г.</w:t>
            </w:r>
          </w:p>
        </w:tc>
        <w:tc>
          <w:tcPr>
            <w:tcW w:w="1209" w:type="dxa"/>
            <w:tcBorders>
              <w:top w:val="single" w:sz="8" w:space="0" w:color="auto"/>
              <w:left w:val="nil"/>
              <w:bottom w:val="nil"/>
              <w:right w:val="single" w:sz="8" w:space="0" w:color="auto"/>
            </w:tcBorders>
            <w:shd w:val="clear" w:color="000000" w:fill="D9D9D9"/>
            <w:noWrap/>
            <w:vAlign w:val="bottom"/>
            <w:hideMark/>
          </w:tcPr>
          <w:p w:rsidR="00C35EB3" w:rsidRPr="0096484C" w:rsidRDefault="00C35EB3" w:rsidP="00902F75">
            <w:pPr>
              <w:jc w:val="center"/>
              <w:rPr>
                <w:b/>
                <w:bCs/>
                <w:sz w:val="18"/>
                <w:szCs w:val="18"/>
              </w:rPr>
            </w:pPr>
            <w:r w:rsidRPr="0096484C">
              <w:rPr>
                <w:b/>
                <w:bCs/>
                <w:sz w:val="18"/>
                <w:szCs w:val="18"/>
              </w:rPr>
              <w:t>Изпълнение</w:t>
            </w:r>
          </w:p>
        </w:tc>
      </w:tr>
      <w:tr w:rsidR="00C35EB3" w:rsidRPr="0096484C" w:rsidTr="00902F75">
        <w:trPr>
          <w:trHeight w:val="250"/>
        </w:trPr>
        <w:tc>
          <w:tcPr>
            <w:tcW w:w="4263" w:type="dxa"/>
            <w:vMerge/>
            <w:tcBorders>
              <w:top w:val="single" w:sz="8" w:space="0" w:color="auto"/>
              <w:left w:val="single" w:sz="8" w:space="0" w:color="auto"/>
              <w:bottom w:val="single" w:sz="4" w:space="0" w:color="000000"/>
              <w:right w:val="nil"/>
            </w:tcBorders>
            <w:vAlign w:val="center"/>
            <w:hideMark/>
          </w:tcPr>
          <w:p w:rsidR="00C35EB3" w:rsidRPr="0096484C" w:rsidRDefault="00C35EB3" w:rsidP="00902F75">
            <w:pPr>
              <w:rPr>
                <w:b/>
                <w:bCs/>
                <w:sz w:val="18"/>
                <w:szCs w:val="18"/>
              </w:rPr>
            </w:pPr>
          </w:p>
        </w:tc>
        <w:tc>
          <w:tcPr>
            <w:tcW w:w="916" w:type="dxa"/>
            <w:tcBorders>
              <w:top w:val="nil"/>
              <w:left w:val="single" w:sz="4" w:space="0" w:color="auto"/>
              <w:bottom w:val="single" w:sz="4" w:space="0" w:color="auto"/>
              <w:right w:val="single" w:sz="4" w:space="0" w:color="auto"/>
            </w:tcBorders>
            <w:shd w:val="clear" w:color="000000" w:fill="D9D9D9"/>
            <w:noWrap/>
            <w:vAlign w:val="bottom"/>
            <w:hideMark/>
          </w:tcPr>
          <w:p w:rsidR="00C35EB3" w:rsidRPr="0096484C" w:rsidRDefault="00C35EB3" w:rsidP="00902F75">
            <w:pPr>
              <w:jc w:val="center"/>
              <w:rPr>
                <w:b/>
                <w:bCs/>
                <w:sz w:val="18"/>
                <w:szCs w:val="18"/>
              </w:rPr>
            </w:pPr>
            <w:r w:rsidRPr="0096484C">
              <w:rPr>
                <w:b/>
                <w:bCs/>
                <w:sz w:val="18"/>
                <w:szCs w:val="18"/>
              </w:rPr>
              <w:t xml:space="preserve"> КФП</w:t>
            </w:r>
          </w:p>
        </w:tc>
        <w:tc>
          <w:tcPr>
            <w:tcW w:w="1227" w:type="dxa"/>
            <w:tcBorders>
              <w:top w:val="nil"/>
              <w:left w:val="nil"/>
              <w:bottom w:val="single" w:sz="4" w:space="0" w:color="auto"/>
              <w:right w:val="single" w:sz="4" w:space="0" w:color="auto"/>
            </w:tcBorders>
            <w:shd w:val="clear" w:color="000000" w:fill="D9D9D9"/>
            <w:noWrap/>
            <w:vAlign w:val="bottom"/>
            <w:hideMark/>
          </w:tcPr>
          <w:p w:rsidR="00C35EB3" w:rsidRPr="0096484C" w:rsidRDefault="00C35EB3" w:rsidP="00902F75">
            <w:pPr>
              <w:jc w:val="center"/>
              <w:rPr>
                <w:b/>
                <w:bCs/>
                <w:sz w:val="18"/>
                <w:szCs w:val="18"/>
              </w:rPr>
            </w:pPr>
            <w:r w:rsidRPr="0096484C">
              <w:rPr>
                <w:b/>
                <w:bCs/>
                <w:sz w:val="18"/>
                <w:szCs w:val="18"/>
              </w:rPr>
              <w:t xml:space="preserve"> КФП</w:t>
            </w:r>
          </w:p>
        </w:tc>
        <w:tc>
          <w:tcPr>
            <w:tcW w:w="1222" w:type="dxa"/>
            <w:tcBorders>
              <w:top w:val="nil"/>
              <w:left w:val="nil"/>
              <w:bottom w:val="single" w:sz="4" w:space="0" w:color="auto"/>
              <w:right w:val="single" w:sz="4" w:space="0" w:color="auto"/>
            </w:tcBorders>
            <w:shd w:val="clear" w:color="000000" w:fill="D9D9D9"/>
            <w:noWrap/>
            <w:vAlign w:val="bottom"/>
            <w:hideMark/>
          </w:tcPr>
          <w:p w:rsidR="00C35EB3" w:rsidRPr="0096484C" w:rsidRDefault="00C35EB3" w:rsidP="00902F75">
            <w:pPr>
              <w:jc w:val="center"/>
              <w:rPr>
                <w:b/>
                <w:bCs/>
                <w:sz w:val="18"/>
                <w:szCs w:val="18"/>
              </w:rPr>
            </w:pPr>
            <w:r w:rsidRPr="0096484C">
              <w:rPr>
                <w:b/>
                <w:bCs/>
                <w:sz w:val="18"/>
                <w:szCs w:val="18"/>
              </w:rPr>
              <w:t>Национален бюджет</w:t>
            </w:r>
          </w:p>
        </w:tc>
        <w:tc>
          <w:tcPr>
            <w:tcW w:w="1199" w:type="dxa"/>
            <w:tcBorders>
              <w:top w:val="nil"/>
              <w:left w:val="nil"/>
              <w:bottom w:val="single" w:sz="4" w:space="0" w:color="auto"/>
              <w:right w:val="single" w:sz="4" w:space="0" w:color="auto"/>
            </w:tcBorders>
            <w:shd w:val="clear" w:color="000000" w:fill="D9D9D9"/>
            <w:noWrap/>
            <w:vAlign w:val="bottom"/>
            <w:hideMark/>
          </w:tcPr>
          <w:p w:rsidR="00C35EB3" w:rsidRPr="0096484C" w:rsidRDefault="00C35EB3" w:rsidP="00902F75">
            <w:pPr>
              <w:jc w:val="center"/>
              <w:rPr>
                <w:b/>
                <w:bCs/>
                <w:sz w:val="18"/>
                <w:szCs w:val="18"/>
              </w:rPr>
            </w:pPr>
            <w:r w:rsidRPr="0096484C">
              <w:rPr>
                <w:b/>
                <w:bCs/>
                <w:sz w:val="18"/>
                <w:szCs w:val="18"/>
              </w:rPr>
              <w:t>Европейски средства</w:t>
            </w:r>
          </w:p>
        </w:tc>
        <w:tc>
          <w:tcPr>
            <w:tcW w:w="1209" w:type="dxa"/>
            <w:tcBorders>
              <w:top w:val="nil"/>
              <w:left w:val="nil"/>
              <w:bottom w:val="single" w:sz="4" w:space="0" w:color="auto"/>
              <w:right w:val="single" w:sz="8" w:space="0" w:color="auto"/>
            </w:tcBorders>
            <w:shd w:val="clear" w:color="000000" w:fill="D9D9D9"/>
            <w:noWrap/>
            <w:vAlign w:val="bottom"/>
            <w:hideMark/>
          </w:tcPr>
          <w:p w:rsidR="00C35EB3" w:rsidRPr="0096484C" w:rsidRDefault="00C35EB3" w:rsidP="00902F75">
            <w:pPr>
              <w:jc w:val="center"/>
              <w:rPr>
                <w:b/>
                <w:bCs/>
                <w:sz w:val="18"/>
                <w:szCs w:val="18"/>
              </w:rPr>
            </w:pPr>
            <w:r w:rsidRPr="0096484C">
              <w:rPr>
                <w:b/>
                <w:bCs/>
                <w:sz w:val="18"/>
                <w:szCs w:val="18"/>
              </w:rPr>
              <w:t>спрямо разчет</w:t>
            </w:r>
          </w:p>
        </w:tc>
      </w:tr>
      <w:tr w:rsidR="00C35EB3" w:rsidRPr="0096484C" w:rsidTr="00902F75">
        <w:trPr>
          <w:trHeight w:val="265"/>
        </w:trPr>
        <w:tc>
          <w:tcPr>
            <w:tcW w:w="4263" w:type="dxa"/>
            <w:tcBorders>
              <w:top w:val="nil"/>
              <w:left w:val="single" w:sz="8" w:space="0" w:color="auto"/>
              <w:bottom w:val="single" w:sz="8" w:space="0" w:color="auto"/>
              <w:right w:val="nil"/>
            </w:tcBorders>
            <w:shd w:val="clear" w:color="000000" w:fill="D9D9D9"/>
            <w:noWrap/>
            <w:vAlign w:val="bottom"/>
            <w:hideMark/>
          </w:tcPr>
          <w:p w:rsidR="00C35EB3" w:rsidRPr="0096484C" w:rsidRDefault="00C35EB3" w:rsidP="00902F75">
            <w:pPr>
              <w:jc w:val="center"/>
              <w:rPr>
                <w:sz w:val="18"/>
                <w:szCs w:val="18"/>
              </w:rPr>
            </w:pPr>
            <w:r w:rsidRPr="0096484C">
              <w:rPr>
                <w:sz w:val="18"/>
                <w:szCs w:val="18"/>
              </w:rPr>
              <w:t>к.1</w:t>
            </w:r>
          </w:p>
        </w:tc>
        <w:tc>
          <w:tcPr>
            <w:tcW w:w="916" w:type="dxa"/>
            <w:tcBorders>
              <w:top w:val="nil"/>
              <w:left w:val="single" w:sz="4" w:space="0" w:color="auto"/>
              <w:bottom w:val="single" w:sz="8" w:space="0" w:color="auto"/>
              <w:right w:val="single" w:sz="4" w:space="0" w:color="auto"/>
            </w:tcBorders>
            <w:shd w:val="clear" w:color="000000" w:fill="D9D9D9"/>
            <w:noWrap/>
            <w:vAlign w:val="bottom"/>
            <w:hideMark/>
          </w:tcPr>
          <w:p w:rsidR="00C35EB3" w:rsidRPr="0096484C" w:rsidRDefault="00C35EB3" w:rsidP="00902F75">
            <w:pPr>
              <w:jc w:val="center"/>
              <w:rPr>
                <w:bCs/>
                <w:sz w:val="18"/>
                <w:szCs w:val="18"/>
              </w:rPr>
            </w:pPr>
            <w:r w:rsidRPr="0096484C">
              <w:rPr>
                <w:bCs/>
                <w:sz w:val="18"/>
                <w:szCs w:val="18"/>
              </w:rPr>
              <w:t>к.2</w:t>
            </w:r>
          </w:p>
        </w:tc>
        <w:tc>
          <w:tcPr>
            <w:tcW w:w="1227" w:type="dxa"/>
            <w:tcBorders>
              <w:top w:val="nil"/>
              <w:left w:val="nil"/>
              <w:bottom w:val="single" w:sz="8" w:space="0" w:color="auto"/>
              <w:right w:val="single" w:sz="4" w:space="0" w:color="auto"/>
            </w:tcBorders>
            <w:shd w:val="clear" w:color="000000" w:fill="D9D9D9"/>
            <w:noWrap/>
            <w:vAlign w:val="bottom"/>
            <w:hideMark/>
          </w:tcPr>
          <w:p w:rsidR="00C35EB3" w:rsidRPr="0096484C" w:rsidRDefault="00C35EB3" w:rsidP="00902F75">
            <w:pPr>
              <w:jc w:val="center"/>
              <w:rPr>
                <w:sz w:val="18"/>
                <w:szCs w:val="18"/>
              </w:rPr>
            </w:pPr>
            <w:r w:rsidRPr="0096484C">
              <w:rPr>
                <w:sz w:val="18"/>
                <w:szCs w:val="18"/>
              </w:rPr>
              <w:t>к.3=к.4+к.5</w:t>
            </w:r>
          </w:p>
        </w:tc>
        <w:tc>
          <w:tcPr>
            <w:tcW w:w="1222" w:type="dxa"/>
            <w:tcBorders>
              <w:top w:val="nil"/>
              <w:left w:val="nil"/>
              <w:bottom w:val="single" w:sz="8" w:space="0" w:color="auto"/>
              <w:right w:val="single" w:sz="4" w:space="0" w:color="auto"/>
            </w:tcBorders>
            <w:shd w:val="clear" w:color="000000" w:fill="D9D9D9"/>
            <w:noWrap/>
            <w:vAlign w:val="bottom"/>
            <w:hideMark/>
          </w:tcPr>
          <w:p w:rsidR="00C35EB3" w:rsidRPr="0096484C" w:rsidRDefault="00C35EB3" w:rsidP="00902F75">
            <w:pPr>
              <w:jc w:val="center"/>
              <w:rPr>
                <w:sz w:val="18"/>
                <w:szCs w:val="18"/>
              </w:rPr>
            </w:pPr>
            <w:r w:rsidRPr="0096484C">
              <w:rPr>
                <w:sz w:val="18"/>
                <w:szCs w:val="18"/>
              </w:rPr>
              <w:t>к.4</w:t>
            </w:r>
          </w:p>
        </w:tc>
        <w:tc>
          <w:tcPr>
            <w:tcW w:w="1199" w:type="dxa"/>
            <w:tcBorders>
              <w:top w:val="nil"/>
              <w:left w:val="nil"/>
              <w:bottom w:val="single" w:sz="8" w:space="0" w:color="auto"/>
              <w:right w:val="single" w:sz="4" w:space="0" w:color="auto"/>
            </w:tcBorders>
            <w:shd w:val="clear" w:color="000000" w:fill="D9D9D9"/>
            <w:noWrap/>
            <w:vAlign w:val="bottom"/>
            <w:hideMark/>
          </w:tcPr>
          <w:p w:rsidR="00C35EB3" w:rsidRPr="0096484C" w:rsidRDefault="00C35EB3" w:rsidP="00902F75">
            <w:pPr>
              <w:jc w:val="center"/>
              <w:rPr>
                <w:sz w:val="18"/>
                <w:szCs w:val="18"/>
              </w:rPr>
            </w:pPr>
            <w:r w:rsidRPr="0096484C">
              <w:rPr>
                <w:sz w:val="18"/>
                <w:szCs w:val="18"/>
              </w:rPr>
              <w:t>к.5</w:t>
            </w:r>
          </w:p>
        </w:tc>
        <w:tc>
          <w:tcPr>
            <w:tcW w:w="1209" w:type="dxa"/>
            <w:tcBorders>
              <w:top w:val="nil"/>
              <w:left w:val="nil"/>
              <w:bottom w:val="single" w:sz="8" w:space="0" w:color="auto"/>
              <w:right w:val="single" w:sz="8" w:space="0" w:color="auto"/>
            </w:tcBorders>
            <w:shd w:val="clear" w:color="000000" w:fill="D9D9D9"/>
            <w:noWrap/>
            <w:vAlign w:val="bottom"/>
            <w:hideMark/>
          </w:tcPr>
          <w:p w:rsidR="00C35EB3" w:rsidRPr="0096484C" w:rsidRDefault="00C35EB3" w:rsidP="00902F75">
            <w:pPr>
              <w:jc w:val="center"/>
              <w:rPr>
                <w:bCs/>
                <w:sz w:val="18"/>
                <w:szCs w:val="18"/>
              </w:rPr>
            </w:pPr>
            <w:r w:rsidRPr="0096484C">
              <w:rPr>
                <w:bCs/>
                <w:sz w:val="18"/>
                <w:szCs w:val="18"/>
              </w:rPr>
              <w:t>к.6=к.3:к.2</w:t>
            </w:r>
          </w:p>
        </w:tc>
      </w:tr>
      <w:tr w:rsidR="00C35EB3" w:rsidRPr="00C25B8B" w:rsidTr="00902F75">
        <w:trPr>
          <w:trHeight w:val="250"/>
        </w:trPr>
        <w:tc>
          <w:tcPr>
            <w:tcW w:w="4263" w:type="dxa"/>
            <w:tcBorders>
              <w:top w:val="single" w:sz="8" w:space="0" w:color="auto"/>
              <w:left w:val="single" w:sz="8" w:space="0" w:color="auto"/>
              <w:bottom w:val="nil"/>
              <w:right w:val="single" w:sz="4" w:space="0" w:color="auto"/>
            </w:tcBorders>
            <w:shd w:val="clear" w:color="auto" w:fill="auto"/>
            <w:noWrap/>
            <w:vAlign w:val="bottom"/>
            <w:hideMark/>
          </w:tcPr>
          <w:p w:rsidR="00C35EB3" w:rsidRPr="00014E5F" w:rsidRDefault="00C35EB3" w:rsidP="00902F75">
            <w:pPr>
              <w:rPr>
                <w:b/>
                <w:bCs/>
                <w:sz w:val="18"/>
                <w:szCs w:val="18"/>
              </w:rPr>
            </w:pPr>
            <w:r w:rsidRPr="00014E5F">
              <w:rPr>
                <w:b/>
                <w:bCs/>
                <w:sz w:val="18"/>
                <w:szCs w:val="18"/>
              </w:rPr>
              <w:t>ПРИХОДИ, ПОМОЩИ И ДАРЕНИЯ</w:t>
            </w:r>
          </w:p>
        </w:tc>
        <w:tc>
          <w:tcPr>
            <w:tcW w:w="916" w:type="dxa"/>
            <w:tcBorders>
              <w:top w:val="nil"/>
              <w:left w:val="nil"/>
              <w:bottom w:val="nil"/>
              <w:right w:val="nil"/>
            </w:tcBorders>
            <w:shd w:val="clear" w:color="auto" w:fill="auto"/>
            <w:noWrap/>
            <w:vAlign w:val="bottom"/>
            <w:hideMark/>
          </w:tcPr>
          <w:p w:rsidR="00C35EB3" w:rsidRPr="00C25B8B" w:rsidRDefault="00C35EB3" w:rsidP="00902F75">
            <w:pPr>
              <w:jc w:val="right"/>
              <w:rPr>
                <w:b/>
                <w:bCs/>
                <w:color w:val="0070C0"/>
                <w:sz w:val="18"/>
                <w:szCs w:val="18"/>
              </w:rPr>
            </w:pPr>
            <w:r>
              <w:rPr>
                <w:b/>
                <w:bCs/>
                <w:sz w:val="18"/>
                <w:szCs w:val="18"/>
              </w:rPr>
              <w:t>90 270,8</w:t>
            </w:r>
          </w:p>
        </w:tc>
        <w:tc>
          <w:tcPr>
            <w:tcW w:w="1227" w:type="dxa"/>
            <w:tcBorders>
              <w:top w:val="nil"/>
              <w:left w:val="nil"/>
              <w:bottom w:val="nil"/>
              <w:right w:val="nil"/>
            </w:tcBorders>
            <w:shd w:val="clear" w:color="auto" w:fill="auto"/>
            <w:noWrap/>
            <w:vAlign w:val="bottom"/>
            <w:hideMark/>
          </w:tcPr>
          <w:p w:rsidR="00C35EB3" w:rsidRPr="00C25B8B" w:rsidRDefault="00C35EB3" w:rsidP="00902F75">
            <w:pPr>
              <w:jc w:val="right"/>
              <w:rPr>
                <w:b/>
                <w:bCs/>
                <w:color w:val="0070C0"/>
                <w:sz w:val="18"/>
                <w:szCs w:val="18"/>
              </w:rPr>
            </w:pPr>
            <w:r>
              <w:rPr>
                <w:b/>
                <w:bCs/>
                <w:sz w:val="18"/>
                <w:szCs w:val="18"/>
              </w:rPr>
              <w:t>86 086,2</w:t>
            </w:r>
          </w:p>
        </w:tc>
        <w:tc>
          <w:tcPr>
            <w:tcW w:w="1222" w:type="dxa"/>
            <w:tcBorders>
              <w:top w:val="nil"/>
              <w:left w:val="nil"/>
              <w:bottom w:val="nil"/>
              <w:right w:val="nil"/>
            </w:tcBorders>
            <w:shd w:val="clear" w:color="auto" w:fill="auto"/>
            <w:noWrap/>
            <w:vAlign w:val="bottom"/>
            <w:hideMark/>
          </w:tcPr>
          <w:p w:rsidR="00C35EB3" w:rsidRPr="00C25B8B" w:rsidRDefault="00C35EB3" w:rsidP="00902F75">
            <w:pPr>
              <w:jc w:val="right"/>
              <w:rPr>
                <w:b/>
                <w:bCs/>
                <w:color w:val="0070C0"/>
                <w:sz w:val="18"/>
                <w:szCs w:val="18"/>
              </w:rPr>
            </w:pPr>
            <w:r>
              <w:rPr>
                <w:b/>
                <w:bCs/>
                <w:color w:val="000000"/>
                <w:sz w:val="18"/>
                <w:szCs w:val="18"/>
              </w:rPr>
              <w:t>79 972,5</w:t>
            </w:r>
          </w:p>
        </w:tc>
        <w:tc>
          <w:tcPr>
            <w:tcW w:w="1199" w:type="dxa"/>
            <w:tcBorders>
              <w:top w:val="nil"/>
              <w:left w:val="nil"/>
              <w:bottom w:val="nil"/>
              <w:right w:val="nil"/>
            </w:tcBorders>
            <w:shd w:val="clear" w:color="auto" w:fill="auto"/>
            <w:noWrap/>
            <w:vAlign w:val="bottom"/>
            <w:hideMark/>
          </w:tcPr>
          <w:p w:rsidR="00C35EB3" w:rsidRPr="00C25B8B" w:rsidRDefault="00C35EB3" w:rsidP="00902F75">
            <w:pPr>
              <w:jc w:val="right"/>
              <w:rPr>
                <w:b/>
                <w:bCs/>
                <w:color w:val="0070C0"/>
                <w:sz w:val="18"/>
                <w:szCs w:val="18"/>
              </w:rPr>
            </w:pPr>
            <w:r>
              <w:rPr>
                <w:b/>
                <w:bCs/>
                <w:color w:val="000000"/>
                <w:sz w:val="18"/>
                <w:szCs w:val="18"/>
              </w:rPr>
              <w:t>6 113,6</w:t>
            </w:r>
          </w:p>
        </w:tc>
        <w:tc>
          <w:tcPr>
            <w:tcW w:w="1209" w:type="dxa"/>
            <w:tcBorders>
              <w:top w:val="nil"/>
              <w:left w:val="nil"/>
              <w:bottom w:val="nil"/>
              <w:right w:val="single" w:sz="4" w:space="0" w:color="auto"/>
            </w:tcBorders>
            <w:shd w:val="clear" w:color="auto" w:fill="auto"/>
            <w:noWrap/>
            <w:vAlign w:val="bottom"/>
            <w:hideMark/>
          </w:tcPr>
          <w:p w:rsidR="00C35EB3" w:rsidRPr="00C25B8B" w:rsidRDefault="00C35EB3" w:rsidP="00902F75">
            <w:pPr>
              <w:jc w:val="right"/>
              <w:rPr>
                <w:b/>
                <w:bCs/>
                <w:color w:val="0070C0"/>
                <w:sz w:val="18"/>
                <w:szCs w:val="18"/>
              </w:rPr>
            </w:pPr>
            <w:r>
              <w:rPr>
                <w:b/>
                <w:bCs/>
                <w:sz w:val="18"/>
                <w:szCs w:val="18"/>
              </w:rPr>
              <w:t>95,4%</w:t>
            </w:r>
          </w:p>
        </w:tc>
      </w:tr>
      <w:tr w:rsidR="00C35EB3" w:rsidRPr="00C25B8B" w:rsidTr="00902F75">
        <w:trPr>
          <w:trHeight w:val="250"/>
        </w:trPr>
        <w:tc>
          <w:tcPr>
            <w:tcW w:w="4263" w:type="dxa"/>
            <w:tcBorders>
              <w:top w:val="nil"/>
              <w:left w:val="single" w:sz="8" w:space="0" w:color="auto"/>
              <w:bottom w:val="nil"/>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 xml:space="preserve">  Данъчни приходи</w:t>
            </w:r>
          </w:p>
        </w:tc>
        <w:tc>
          <w:tcPr>
            <w:tcW w:w="916"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70 843,2</w:t>
            </w:r>
          </w:p>
        </w:tc>
        <w:tc>
          <w:tcPr>
            <w:tcW w:w="1227"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67 681,8</w:t>
            </w:r>
          </w:p>
        </w:tc>
        <w:tc>
          <w:tcPr>
            <w:tcW w:w="1222"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color w:val="000000"/>
                <w:sz w:val="18"/>
                <w:szCs w:val="18"/>
              </w:rPr>
              <w:t>67 681,8</w:t>
            </w:r>
          </w:p>
        </w:tc>
        <w:tc>
          <w:tcPr>
            <w:tcW w:w="1199"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p>
        </w:tc>
        <w:tc>
          <w:tcPr>
            <w:tcW w:w="1209" w:type="dxa"/>
            <w:tcBorders>
              <w:top w:val="nil"/>
              <w:left w:val="nil"/>
              <w:bottom w:val="nil"/>
              <w:right w:val="single" w:sz="4" w:space="0" w:color="auto"/>
            </w:tcBorders>
            <w:shd w:val="clear" w:color="auto" w:fill="auto"/>
            <w:noWrap/>
            <w:vAlign w:val="bottom"/>
            <w:hideMark/>
          </w:tcPr>
          <w:p w:rsidR="00C35EB3" w:rsidRPr="00C25B8B" w:rsidRDefault="00C35EB3" w:rsidP="00902F75">
            <w:pPr>
              <w:jc w:val="right"/>
              <w:rPr>
                <w:color w:val="0070C0"/>
                <w:sz w:val="18"/>
                <w:szCs w:val="18"/>
              </w:rPr>
            </w:pPr>
            <w:r>
              <w:rPr>
                <w:sz w:val="18"/>
                <w:szCs w:val="18"/>
              </w:rPr>
              <w:t>95,5%</w:t>
            </w:r>
          </w:p>
        </w:tc>
      </w:tr>
      <w:tr w:rsidR="00C35EB3" w:rsidRPr="00C25B8B" w:rsidTr="00902F75">
        <w:trPr>
          <w:trHeight w:val="250"/>
        </w:trPr>
        <w:tc>
          <w:tcPr>
            <w:tcW w:w="4263" w:type="dxa"/>
            <w:tcBorders>
              <w:top w:val="nil"/>
              <w:left w:val="single" w:sz="8" w:space="0" w:color="auto"/>
              <w:bottom w:val="nil"/>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 xml:space="preserve">  Неданъчни приходи</w:t>
            </w:r>
          </w:p>
        </w:tc>
        <w:tc>
          <w:tcPr>
            <w:tcW w:w="916"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11 988,7</w:t>
            </w:r>
          </w:p>
        </w:tc>
        <w:tc>
          <w:tcPr>
            <w:tcW w:w="1227"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11 855,9</w:t>
            </w:r>
          </w:p>
        </w:tc>
        <w:tc>
          <w:tcPr>
            <w:tcW w:w="1222"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color w:val="000000"/>
                <w:sz w:val="18"/>
                <w:szCs w:val="18"/>
              </w:rPr>
              <w:t>11 866,8</w:t>
            </w:r>
          </w:p>
        </w:tc>
        <w:tc>
          <w:tcPr>
            <w:tcW w:w="1199"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color w:val="000000"/>
                <w:sz w:val="18"/>
                <w:szCs w:val="18"/>
              </w:rPr>
              <w:t>-11,0</w:t>
            </w:r>
          </w:p>
        </w:tc>
        <w:tc>
          <w:tcPr>
            <w:tcW w:w="1209" w:type="dxa"/>
            <w:tcBorders>
              <w:top w:val="nil"/>
              <w:left w:val="nil"/>
              <w:bottom w:val="nil"/>
              <w:right w:val="single" w:sz="4" w:space="0" w:color="auto"/>
            </w:tcBorders>
            <w:shd w:val="clear" w:color="auto" w:fill="auto"/>
            <w:noWrap/>
            <w:vAlign w:val="bottom"/>
            <w:hideMark/>
          </w:tcPr>
          <w:p w:rsidR="00C35EB3" w:rsidRPr="00C25B8B" w:rsidRDefault="00C35EB3" w:rsidP="00902F75">
            <w:pPr>
              <w:jc w:val="right"/>
              <w:rPr>
                <w:color w:val="0070C0"/>
                <w:sz w:val="18"/>
                <w:szCs w:val="18"/>
              </w:rPr>
            </w:pPr>
            <w:r>
              <w:rPr>
                <w:sz w:val="18"/>
                <w:szCs w:val="18"/>
              </w:rPr>
              <w:t>98,9%</w:t>
            </w:r>
          </w:p>
        </w:tc>
      </w:tr>
      <w:tr w:rsidR="00C35EB3" w:rsidRPr="00C25B8B" w:rsidTr="00902F75">
        <w:trPr>
          <w:trHeight w:val="250"/>
        </w:trPr>
        <w:tc>
          <w:tcPr>
            <w:tcW w:w="4263" w:type="dxa"/>
            <w:tcBorders>
              <w:top w:val="nil"/>
              <w:left w:val="single" w:sz="8" w:space="0" w:color="auto"/>
              <w:bottom w:val="single" w:sz="4" w:space="0" w:color="auto"/>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 xml:space="preserve">  Помощи и дарения</w:t>
            </w:r>
          </w:p>
        </w:tc>
        <w:tc>
          <w:tcPr>
            <w:tcW w:w="916"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7 438,9</w:t>
            </w:r>
          </w:p>
        </w:tc>
        <w:tc>
          <w:tcPr>
            <w:tcW w:w="1227"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6 548,5</w:t>
            </w:r>
          </w:p>
        </w:tc>
        <w:tc>
          <w:tcPr>
            <w:tcW w:w="1222"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color w:val="000000"/>
                <w:sz w:val="18"/>
                <w:szCs w:val="18"/>
              </w:rPr>
              <w:t>423,8</w:t>
            </w:r>
          </w:p>
        </w:tc>
        <w:tc>
          <w:tcPr>
            <w:tcW w:w="1199"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color w:val="000000"/>
                <w:sz w:val="18"/>
                <w:szCs w:val="18"/>
              </w:rPr>
              <w:t>6 124,6</w:t>
            </w:r>
          </w:p>
        </w:tc>
        <w:tc>
          <w:tcPr>
            <w:tcW w:w="1209" w:type="dxa"/>
            <w:tcBorders>
              <w:top w:val="nil"/>
              <w:left w:val="nil"/>
              <w:bottom w:val="nil"/>
              <w:right w:val="single" w:sz="4" w:space="0" w:color="auto"/>
            </w:tcBorders>
            <w:shd w:val="clear" w:color="auto" w:fill="auto"/>
            <w:noWrap/>
            <w:vAlign w:val="bottom"/>
            <w:hideMark/>
          </w:tcPr>
          <w:p w:rsidR="00C35EB3" w:rsidRPr="00C25B8B" w:rsidRDefault="00C35EB3" w:rsidP="00902F75">
            <w:pPr>
              <w:jc w:val="right"/>
              <w:rPr>
                <w:color w:val="0070C0"/>
                <w:sz w:val="18"/>
                <w:szCs w:val="18"/>
              </w:rPr>
            </w:pPr>
            <w:r>
              <w:rPr>
                <w:sz w:val="18"/>
                <w:szCs w:val="18"/>
              </w:rPr>
              <w:t>88,0%</w:t>
            </w:r>
          </w:p>
        </w:tc>
      </w:tr>
      <w:tr w:rsidR="00C35EB3" w:rsidRPr="00C25B8B" w:rsidTr="00902F75">
        <w:trPr>
          <w:trHeight w:val="472"/>
        </w:trPr>
        <w:tc>
          <w:tcPr>
            <w:tcW w:w="4263" w:type="dxa"/>
            <w:tcBorders>
              <w:top w:val="single" w:sz="4" w:space="0" w:color="auto"/>
              <w:left w:val="single" w:sz="8" w:space="0" w:color="auto"/>
              <w:bottom w:val="nil"/>
              <w:right w:val="single" w:sz="4" w:space="0" w:color="auto"/>
            </w:tcBorders>
            <w:shd w:val="clear" w:color="auto" w:fill="auto"/>
            <w:vAlign w:val="bottom"/>
            <w:hideMark/>
          </w:tcPr>
          <w:p w:rsidR="00C35EB3" w:rsidRPr="00014E5F" w:rsidRDefault="00C35EB3" w:rsidP="00902F75">
            <w:pPr>
              <w:rPr>
                <w:b/>
                <w:bCs/>
                <w:sz w:val="18"/>
                <w:szCs w:val="18"/>
              </w:rPr>
            </w:pPr>
            <w:r w:rsidRPr="00014E5F">
              <w:rPr>
                <w:b/>
                <w:bCs/>
                <w:sz w:val="18"/>
                <w:szCs w:val="18"/>
              </w:rPr>
              <w:t>РАЗХОДИ И ВНОСКА ЗА ОБЩИЯ БЮДЖЕТ НА ЕС</w:t>
            </w:r>
          </w:p>
        </w:tc>
        <w:tc>
          <w:tcPr>
            <w:tcW w:w="916" w:type="dxa"/>
            <w:tcBorders>
              <w:top w:val="single" w:sz="4" w:space="0" w:color="auto"/>
              <w:left w:val="single" w:sz="4" w:space="0" w:color="auto"/>
              <w:bottom w:val="nil"/>
              <w:right w:val="nil"/>
            </w:tcBorders>
            <w:shd w:val="clear" w:color="auto" w:fill="auto"/>
            <w:noWrap/>
            <w:vAlign w:val="bottom"/>
            <w:hideMark/>
          </w:tcPr>
          <w:p w:rsidR="00C35EB3" w:rsidRPr="00EA7F69" w:rsidRDefault="00C35EB3" w:rsidP="00902F75">
            <w:pPr>
              <w:jc w:val="right"/>
              <w:rPr>
                <w:b/>
                <w:bCs/>
                <w:sz w:val="18"/>
                <w:szCs w:val="18"/>
              </w:rPr>
            </w:pPr>
            <w:r w:rsidRPr="00EA7F69">
              <w:rPr>
                <w:b/>
                <w:bCs/>
                <w:sz w:val="18"/>
                <w:szCs w:val="18"/>
              </w:rPr>
              <w:t>96 706,0</w:t>
            </w:r>
          </w:p>
        </w:tc>
        <w:tc>
          <w:tcPr>
            <w:tcW w:w="1227" w:type="dxa"/>
            <w:tcBorders>
              <w:top w:val="single" w:sz="4" w:space="0" w:color="auto"/>
              <w:left w:val="nil"/>
              <w:bottom w:val="nil"/>
              <w:right w:val="nil"/>
            </w:tcBorders>
            <w:shd w:val="clear" w:color="auto" w:fill="auto"/>
            <w:noWrap/>
            <w:vAlign w:val="bottom"/>
            <w:hideMark/>
          </w:tcPr>
          <w:p w:rsidR="00C35EB3" w:rsidRPr="00C25B8B" w:rsidRDefault="00C35EB3" w:rsidP="00902F75">
            <w:pPr>
              <w:jc w:val="right"/>
              <w:rPr>
                <w:b/>
                <w:bCs/>
                <w:color w:val="0070C0"/>
                <w:sz w:val="18"/>
                <w:szCs w:val="18"/>
              </w:rPr>
            </w:pPr>
            <w:r>
              <w:rPr>
                <w:b/>
                <w:bCs/>
                <w:sz w:val="18"/>
                <w:szCs w:val="18"/>
              </w:rPr>
              <w:t>92 914,5</w:t>
            </w:r>
          </w:p>
        </w:tc>
        <w:tc>
          <w:tcPr>
            <w:tcW w:w="1222" w:type="dxa"/>
            <w:tcBorders>
              <w:top w:val="single" w:sz="4" w:space="0" w:color="auto"/>
              <w:left w:val="nil"/>
              <w:bottom w:val="nil"/>
              <w:right w:val="nil"/>
            </w:tcBorders>
            <w:shd w:val="clear" w:color="auto" w:fill="auto"/>
            <w:noWrap/>
            <w:vAlign w:val="bottom"/>
            <w:hideMark/>
          </w:tcPr>
          <w:p w:rsidR="00C35EB3" w:rsidRPr="00C25B8B" w:rsidRDefault="00C35EB3" w:rsidP="00902F75">
            <w:pPr>
              <w:jc w:val="right"/>
              <w:rPr>
                <w:b/>
                <w:bCs/>
                <w:color w:val="0070C0"/>
                <w:sz w:val="18"/>
                <w:szCs w:val="18"/>
              </w:rPr>
            </w:pPr>
            <w:r>
              <w:rPr>
                <w:b/>
                <w:bCs/>
                <w:color w:val="000000"/>
                <w:sz w:val="18"/>
                <w:szCs w:val="18"/>
              </w:rPr>
              <w:t>85 348,1</w:t>
            </w:r>
          </w:p>
        </w:tc>
        <w:tc>
          <w:tcPr>
            <w:tcW w:w="1199" w:type="dxa"/>
            <w:tcBorders>
              <w:top w:val="single" w:sz="4" w:space="0" w:color="auto"/>
              <w:left w:val="nil"/>
              <w:bottom w:val="nil"/>
              <w:right w:val="nil"/>
            </w:tcBorders>
            <w:shd w:val="clear" w:color="auto" w:fill="auto"/>
            <w:noWrap/>
            <w:vAlign w:val="bottom"/>
            <w:hideMark/>
          </w:tcPr>
          <w:p w:rsidR="00C35EB3" w:rsidRPr="00C25B8B" w:rsidRDefault="00C35EB3" w:rsidP="00902F75">
            <w:pPr>
              <w:jc w:val="right"/>
              <w:rPr>
                <w:b/>
                <w:bCs/>
                <w:color w:val="0070C0"/>
                <w:sz w:val="18"/>
                <w:szCs w:val="18"/>
              </w:rPr>
            </w:pPr>
            <w:r>
              <w:rPr>
                <w:b/>
                <w:bCs/>
                <w:color w:val="000000"/>
                <w:sz w:val="18"/>
                <w:szCs w:val="18"/>
              </w:rPr>
              <w:t>7 566,4</w:t>
            </w:r>
          </w:p>
        </w:tc>
        <w:tc>
          <w:tcPr>
            <w:tcW w:w="1209" w:type="dxa"/>
            <w:tcBorders>
              <w:top w:val="single" w:sz="4" w:space="0" w:color="auto"/>
              <w:left w:val="nil"/>
              <w:bottom w:val="nil"/>
              <w:right w:val="single" w:sz="8" w:space="0" w:color="auto"/>
            </w:tcBorders>
            <w:shd w:val="clear" w:color="auto" w:fill="auto"/>
            <w:noWrap/>
            <w:vAlign w:val="bottom"/>
            <w:hideMark/>
          </w:tcPr>
          <w:p w:rsidR="00C35EB3" w:rsidRPr="00C25B8B" w:rsidRDefault="00C35EB3" w:rsidP="00902F75">
            <w:pPr>
              <w:jc w:val="right"/>
              <w:rPr>
                <w:b/>
                <w:bCs/>
                <w:color w:val="0070C0"/>
                <w:sz w:val="18"/>
                <w:szCs w:val="18"/>
              </w:rPr>
            </w:pPr>
            <w:r>
              <w:rPr>
                <w:b/>
                <w:bCs/>
                <w:sz w:val="18"/>
                <w:szCs w:val="18"/>
              </w:rPr>
              <w:t>96,1%</w:t>
            </w:r>
          </w:p>
        </w:tc>
      </w:tr>
      <w:tr w:rsidR="00C35EB3" w:rsidRPr="00C25B8B" w:rsidTr="00902F75">
        <w:trPr>
          <w:trHeight w:val="250"/>
        </w:trPr>
        <w:tc>
          <w:tcPr>
            <w:tcW w:w="4263" w:type="dxa"/>
            <w:tcBorders>
              <w:top w:val="nil"/>
              <w:left w:val="single" w:sz="8" w:space="0" w:color="auto"/>
              <w:bottom w:val="nil"/>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 xml:space="preserve">  Нелихвени</w:t>
            </w:r>
          </w:p>
        </w:tc>
        <w:tc>
          <w:tcPr>
            <w:tcW w:w="916" w:type="dxa"/>
            <w:tcBorders>
              <w:top w:val="nil"/>
              <w:left w:val="single" w:sz="4" w:space="0" w:color="auto"/>
              <w:bottom w:val="nil"/>
              <w:right w:val="nil"/>
            </w:tcBorders>
            <w:shd w:val="clear" w:color="auto" w:fill="auto"/>
            <w:noWrap/>
            <w:vAlign w:val="bottom"/>
            <w:hideMark/>
          </w:tcPr>
          <w:p w:rsidR="00C35EB3" w:rsidRPr="00EA7F69" w:rsidRDefault="00C35EB3" w:rsidP="00902F75">
            <w:pPr>
              <w:jc w:val="right"/>
              <w:rPr>
                <w:sz w:val="18"/>
                <w:szCs w:val="18"/>
              </w:rPr>
            </w:pPr>
            <w:r w:rsidRPr="00EA7F69">
              <w:rPr>
                <w:sz w:val="18"/>
                <w:szCs w:val="18"/>
              </w:rPr>
              <w:t>92 653,1</w:t>
            </w:r>
          </w:p>
        </w:tc>
        <w:tc>
          <w:tcPr>
            <w:tcW w:w="1227"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89 436,8</w:t>
            </w:r>
          </w:p>
        </w:tc>
        <w:tc>
          <w:tcPr>
            <w:tcW w:w="1222"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81 870,4</w:t>
            </w:r>
          </w:p>
        </w:tc>
        <w:tc>
          <w:tcPr>
            <w:tcW w:w="1199"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7 566,4</w:t>
            </w:r>
          </w:p>
        </w:tc>
        <w:tc>
          <w:tcPr>
            <w:tcW w:w="1209" w:type="dxa"/>
            <w:tcBorders>
              <w:top w:val="nil"/>
              <w:left w:val="nil"/>
              <w:bottom w:val="nil"/>
              <w:right w:val="single" w:sz="8" w:space="0" w:color="auto"/>
            </w:tcBorders>
            <w:shd w:val="clear" w:color="auto" w:fill="auto"/>
            <w:noWrap/>
            <w:vAlign w:val="bottom"/>
            <w:hideMark/>
          </w:tcPr>
          <w:p w:rsidR="00C35EB3" w:rsidRPr="00C25B8B" w:rsidRDefault="00C35EB3" w:rsidP="00902F75">
            <w:pPr>
              <w:jc w:val="right"/>
              <w:rPr>
                <w:color w:val="0070C0"/>
                <w:sz w:val="18"/>
                <w:szCs w:val="18"/>
              </w:rPr>
            </w:pPr>
            <w:r>
              <w:rPr>
                <w:sz w:val="18"/>
                <w:szCs w:val="18"/>
              </w:rPr>
              <w:t>96,5%</w:t>
            </w:r>
          </w:p>
        </w:tc>
      </w:tr>
      <w:tr w:rsidR="00C35EB3" w:rsidRPr="00C25B8B" w:rsidTr="00902F75">
        <w:trPr>
          <w:trHeight w:val="250"/>
        </w:trPr>
        <w:tc>
          <w:tcPr>
            <w:tcW w:w="4263" w:type="dxa"/>
            <w:tcBorders>
              <w:top w:val="nil"/>
              <w:left w:val="single" w:sz="8" w:space="0" w:color="auto"/>
              <w:bottom w:val="nil"/>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 xml:space="preserve">    Текущи</w:t>
            </w:r>
          </w:p>
        </w:tc>
        <w:tc>
          <w:tcPr>
            <w:tcW w:w="916" w:type="dxa"/>
            <w:tcBorders>
              <w:top w:val="nil"/>
              <w:left w:val="single" w:sz="4" w:space="0" w:color="auto"/>
              <w:bottom w:val="nil"/>
              <w:right w:val="nil"/>
            </w:tcBorders>
            <w:shd w:val="clear" w:color="auto" w:fill="auto"/>
            <w:noWrap/>
            <w:vAlign w:val="bottom"/>
            <w:hideMark/>
          </w:tcPr>
          <w:p w:rsidR="00C35EB3" w:rsidRPr="00EA7F69" w:rsidRDefault="00C35EB3" w:rsidP="00902F75">
            <w:pPr>
              <w:jc w:val="right"/>
              <w:rPr>
                <w:sz w:val="18"/>
                <w:szCs w:val="18"/>
              </w:rPr>
            </w:pPr>
            <w:r w:rsidRPr="00EA7F69">
              <w:rPr>
                <w:sz w:val="18"/>
                <w:szCs w:val="18"/>
              </w:rPr>
              <w:t>79 151,2</w:t>
            </w:r>
          </w:p>
        </w:tc>
        <w:tc>
          <w:tcPr>
            <w:tcW w:w="1227"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77 849,9</w:t>
            </w:r>
          </w:p>
        </w:tc>
        <w:tc>
          <w:tcPr>
            <w:tcW w:w="1222"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75 606,2</w:t>
            </w:r>
          </w:p>
        </w:tc>
        <w:tc>
          <w:tcPr>
            <w:tcW w:w="1199"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color w:val="000000"/>
                <w:sz w:val="18"/>
                <w:szCs w:val="18"/>
              </w:rPr>
              <w:t>2 243,7</w:t>
            </w:r>
          </w:p>
        </w:tc>
        <w:tc>
          <w:tcPr>
            <w:tcW w:w="1209" w:type="dxa"/>
            <w:tcBorders>
              <w:top w:val="nil"/>
              <w:left w:val="nil"/>
              <w:bottom w:val="nil"/>
              <w:right w:val="single" w:sz="8" w:space="0" w:color="auto"/>
            </w:tcBorders>
            <w:shd w:val="clear" w:color="auto" w:fill="auto"/>
            <w:noWrap/>
            <w:vAlign w:val="bottom"/>
            <w:hideMark/>
          </w:tcPr>
          <w:p w:rsidR="00C35EB3" w:rsidRPr="00C25B8B" w:rsidRDefault="00C35EB3" w:rsidP="00902F75">
            <w:pPr>
              <w:jc w:val="right"/>
              <w:rPr>
                <w:color w:val="0070C0"/>
                <w:sz w:val="18"/>
                <w:szCs w:val="18"/>
              </w:rPr>
            </w:pPr>
            <w:r>
              <w:rPr>
                <w:sz w:val="18"/>
                <w:szCs w:val="18"/>
              </w:rPr>
              <w:t>98,4%</w:t>
            </w:r>
          </w:p>
        </w:tc>
      </w:tr>
      <w:tr w:rsidR="00C35EB3" w:rsidRPr="00C25B8B" w:rsidTr="00902F75">
        <w:trPr>
          <w:trHeight w:val="250"/>
        </w:trPr>
        <w:tc>
          <w:tcPr>
            <w:tcW w:w="4263" w:type="dxa"/>
            <w:tcBorders>
              <w:top w:val="nil"/>
              <w:left w:val="single" w:sz="8" w:space="0" w:color="auto"/>
              <w:bottom w:val="nil"/>
              <w:right w:val="single" w:sz="4" w:space="0" w:color="auto"/>
            </w:tcBorders>
            <w:shd w:val="clear" w:color="auto" w:fill="auto"/>
            <w:noWrap/>
            <w:vAlign w:val="bottom"/>
          </w:tcPr>
          <w:p w:rsidR="00C35EB3" w:rsidRPr="00014E5F" w:rsidRDefault="00C35EB3" w:rsidP="00902F75">
            <w:pPr>
              <w:rPr>
                <w:sz w:val="18"/>
                <w:szCs w:val="18"/>
              </w:rPr>
            </w:pPr>
            <w:r w:rsidRPr="00014E5F">
              <w:rPr>
                <w:sz w:val="18"/>
                <w:szCs w:val="18"/>
              </w:rPr>
              <w:t xml:space="preserve">    Предоставени </w:t>
            </w:r>
            <w:proofErr w:type="spellStart"/>
            <w:r w:rsidRPr="00014E5F">
              <w:rPr>
                <w:sz w:val="18"/>
                <w:szCs w:val="18"/>
              </w:rPr>
              <w:t>тек</w:t>
            </w:r>
            <w:proofErr w:type="spellEnd"/>
            <w:r w:rsidRPr="00014E5F">
              <w:rPr>
                <w:sz w:val="18"/>
                <w:szCs w:val="18"/>
              </w:rPr>
              <w:t xml:space="preserve">. и </w:t>
            </w:r>
            <w:proofErr w:type="spellStart"/>
            <w:r w:rsidRPr="00014E5F">
              <w:rPr>
                <w:sz w:val="18"/>
                <w:szCs w:val="18"/>
              </w:rPr>
              <w:t>капит</w:t>
            </w:r>
            <w:proofErr w:type="spellEnd"/>
            <w:r w:rsidRPr="00014E5F">
              <w:rPr>
                <w:sz w:val="18"/>
                <w:szCs w:val="18"/>
              </w:rPr>
              <w:t>. трансфери за чужбина</w:t>
            </w:r>
          </w:p>
        </w:tc>
        <w:tc>
          <w:tcPr>
            <w:tcW w:w="916" w:type="dxa"/>
            <w:tcBorders>
              <w:top w:val="nil"/>
              <w:left w:val="nil"/>
              <w:bottom w:val="nil"/>
              <w:right w:val="nil"/>
            </w:tcBorders>
            <w:shd w:val="clear" w:color="auto" w:fill="auto"/>
            <w:noWrap/>
            <w:vAlign w:val="bottom"/>
          </w:tcPr>
          <w:p w:rsidR="00C35EB3" w:rsidRPr="00EA7F69" w:rsidRDefault="00C35EB3" w:rsidP="00902F75">
            <w:pPr>
              <w:jc w:val="right"/>
              <w:rPr>
                <w:sz w:val="18"/>
                <w:szCs w:val="18"/>
              </w:rPr>
            </w:pPr>
            <w:r w:rsidRPr="00EA7F69">
              <w:rPr>
                <w:sz w:val="18"/>
                <w:szCs w:val="18"/>
              </w:rPr>
              <w:t>27,7</w:t>
            </w:r>
          </w:p>
        </w:tc>
        <w:tc>
          <w:tcPr>
            <w:tcW w:w="1227" w:type="dxa"/>
            <w:tcBorders>
              <w:top w:val="nil"/>
              <w:left w:val="nil"/>
              <w:bottom w:val="nil"/>
              <w:right w:val="nil"/>
            </w:tcBorders>
            <w:shd w:val="clear" w:color="000000" w:fill="FFFFFF"/>
            <w:noWrap/>
            <w:vAlign w:val="bottom"/>
          </w:tcPr>
          <w:p w:rsidR="00C35EB3" w:rsidRPr="00C25B8B" w:rsidRDefault="00C35EB3" w:rsidP="00902F75">
            <w:pPr>
              <w:jc w:val="right"/>
              <w:rPr>
                <w:color w:val="0070C0"/>
                <w:sz w:val="18"/>
                <w:szCs w:val="18"/>
              </w:rPr>
            </w:pPr>
            <w:r>
              <w:rPr>
                <w:sz w:val="18"/>
                <w:szCs w:val="18"/>
              </w:rPr>
              <w:t>69,9</w:t>
            </w:r>
          </w:p>
        </w:tc>
        <w:tc>
          <w:tcPr>
            <w:tcW w:w="1222" w:type="dxa"/>
            <w:tcBorders>
              <w:top w:val="nil"/>
              <w:left w:val="nil"/>
              <w:bottom w:val="nil"/>
              <w:right w:val="nil"/>
            </w:tcBorders>
            <w:shd w:val="clear" w:color="000000" w:fill="FFFFFF"/>
            <w:noWrap/>
            <w:vAlign w:val="bottom"/>
          </w:tcPr>
          <w:p w:rsidR="00C35EB3" w:rsidRPr="00C25B8B" w:rsidRDefault="00C35EB3" w:rsidP="00902F75">
            <w:pPr>
              <w:jc w:val="right"/>
              <w:rPr>
                <w:color w:val="0070C0"/>
                <w:sz w:val="18"/>
                <w:szCs w:val="18"/>
              </w:rPr>
            </w:pPr>
            <w:r>
              <w:rPr>
                <w:sz w:val="18"/>
                <w:szCs w:val="18"/>
              </w:rPr>
              <w:t>31,4</w:t>
            </w:r>
          </w:p>
        </w:tc>
        <w:tc>
          <w:tcPr>
            <w:tcW w:w="1199" w:type="dxa"/>
            <w:tcBorders>
              <w:top w:val="nil"/>
              <w:left w:val="nil"/>
              <w:bottom w:val="nil"/>
              <w:right w:val="nil"/>
            </w:tcBorders>
            <w:shd w:val="clear" w:color="000000" w:fill="FFFFFF"/>
            <w:noWrap/>
            <w:vAlign w:val="bottom"/>
          </w:tcPr>
          <w:p w:rsidR="00C35EB3" w:rsidRPr="00C25B8B" w:rsidRDefault="00C35EB3" w:rsidP="00902F75">
            <w:pPr>
              <w:jc w:val="right"/>
              <w:rPr>
                <w:color w:val="0070C0"/>
                <w:sz w:val="18"/>
                <w:szCs w:val="18"/>
              </w:rPr>
            </w:pPr>
            <w:r>
              <w:rPr>
                <w:color w:val="000000"/>
                <w:sz w:val="18"/>
                <w:szCs w:val="18"/>
              </w:rPr>
              <w:t>38,5</w:t>
            </w:r>
          </w:p>
        </w:tc>
        <w:tc>
          <w:tcPr>
            <w:tcW w:w="1209" w:type="dxa"/>
            <w:tcBorders>
              <w:top w:val="nil"/>
              <w:left w:val="nil"/>
              <w:bottom w:val="nil"/>
              <w:right w:val="single" w:sz="4" w:space="0" w:color="auto"/>
            </w:tcBorders>
            <w:shd w:val="clear" w:color="000000" w:fill="FFFFFF"/>
            <w:noWrap/>
            <w:vAlign w:val="bottom"/>
          </w:tcPr>
          <w:p w:rsidR="00C35EB3" w:rsidRPr="00C25B8B" w:rsidRDefault="00C35EB3" w:rsidP="00902F75">
            <w:pPr>
              <w:jc w:val="right"/>
              <w:rPr>
                <w:color w:val="0070C0"/>
                <w:sz w:val="18"/>
                <w:szCs w:val="18"/>
              </w:rPr>
            </w:pPr>
            <w:r>
              <w:rPr>
                <w:sz w:val="18"/>
                <w:szCs w:val="18"/>
              </w:rPr>
              <w:t>252,3%</w:t>
            </w:r>
          </w:p>
        </w:tc>
      </w:tr>
      <w:tr w:rsidR="00C35EB3" w:rsidRPr="00C25B8B" w:rsidTr="00902F75">
        <w:trPr>
          <w:trHeight w:val="250"/>
        </w:trPr>
        <w:tc>
          <w:tcPr>
            <w:tcW w:w="4263" w:type="dxa"/>
            <w:tcBorders>
              <w:top w:val="nil"/>
              <w:left w:val="single" w:sz="8" w:space="0" w:color="auto"/>
              <w:bottom w:val="nil"/>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 xml:space="preserve">    </w:t>
            </w:r>
            <w:r w:rsidRPr="00137055">
              <w:rPr>
                <w:sz w:val="18"/>
                <w:szCs w:val="18"/>
              </w:rPr>
              <w:t>Капиталови</w:t>
            </w:r>
          </w:p>
        </w:tc>
        <w:tc>
          <w:tcPr>
            <w:tcW w:w="916" w:type="dxa"/>
            <w:tcBorders>
              <w:top w:val="nil"/>
              <w:left w:val="single" w:sz="4" w:space="0" w:color="auto"/>
              <w:bottom w:val="nil"/>
              <w:right w:val="nil"/>
            </w:tcBorders>
            <w:shd w:val="clear" w:color="auto" w:fill="auto"/>
            <w:noWrap/>
            <w:vAlign w:val="bottom"/>
            <w:hideMark/>
          </w:tcPr>
          <w:p w:rsidR="00C35EB3" w:rsidRPr="00EA7F69" w:rsidRDefault="00C35EB3" w:rsidP="00902F75">
            <w:pPr>
              <w:jc w:val="right"/>
              <w:rPr>
                <w:sz w:val="18"/>
                <w:szCs w:val="18"/>
              </w:rPr>
            </w:pPr>
            <w:r w:rsidRPr="00EA7F69">
              <w:rPr>
                <w:sz w:val="18"/>
                <w:szCs w:val="18"/>
              </w:rPr>
              <w:t>13 474,1</w:t>
            </w:r>
          </w:p>
        </w:tc>
        <w:tc>
          <w:tcPr>
            <w:tcW w:w="1227" w:type="dxa"/>
            <w:tcBorders>
              <w:top w:val="nil"/>
              <w:left w:val="nil"/>
              <w:bottom w:val="nil"/>
              <w:right w:val="nil"/>
            </w:tcBorders>
            <w:shd w:val="clear" w:color="000000" w:fill="FFFFFF"/>
            <w:noWrap/>
            <w:vAlign w:val="bottom"/>
            <w:hideMark/>
          </w:tcPr>
          <w:p w:rsidR="00C35EB3" w:rsidRPr="00C25B8B" w:rsidRDefault="00C35EB3" w:rsidP="00902F75">
            <w:pPr>
              <w:jc w:val="right"/>
              <w:rPr>
                <w:color w:val="0070C0"/>
                <w:sz w:val="18"/>
                <w:szCs w:val="18"/>
              </w:rPr>
            </w:pPr>
            <w:r>
              <w:rPr>
                <w:sz w:val="18"/>
                <w:szCs w:val="18"/>
              </w:rPr>
              <w:t>11 517,0</w:t>
            </w:r>
          </w:p>
        </w:tc>
        <w:tc>
          <w:tcPr>
            <w:tcW w:w="1222" w:type="dxa"/>
            <w:tcBorders>
              <w:top w:val="nil"/>
              <w:left w:val="nil"/>
              <w:bottom w:val="nil"/>
              <w:right w:val="nil"/>
            </w:tcBorders>
            <w:shd w:val="clear" w:color="000000" w:fill="FFFFFF"/>
            <w:noWrap/>
            <w:vAlign w:val="bottom"/>
            <w:hideMark/>
          </w:tcPr>
          <w:p w:rsidR="00C35EB3" w:rsidRPr="00C25B8B" w:rsidRDefault="00C35EB3" w:rsidP="00902F75">
            <w:pPr>
              <w:jc w:val="right"/>
              <w:rPr>
                <w:color w:val="0070C0"/>
                <w:sz w:val="18"/>
                <w:szCs w:val="18"/>
              </w:rPr>
            </w:pPr>
            <w:r>
              <w:rPr>
                <w:sz w:val="18"/>
                <w:szCs w:val="18"/>
              </w:rPr>
              <w:t>6 232,8</w:t>
            </w:r>
          </w:p>
        </w:tc>
        <w:tc>
          <w:tcPr>
            <w:tcW w:w="1199" w:type="dxa"/>
            <w:tcBorders>
              <w:top w:val="nil"/>
              <w:left w:val="nil"/>
              <w:bottom w:val="nil"/>
              <w:right w:val="nil"/>
            </w:tcBorders>
            <w:shd w:val="clear" w:color="000000" w:fill="FFFFFF"/>
            <w:noWrap/>
            <w:vAlign w:val="bottom"/>
            <w:hideMark/>
          </w:tcPr>
          <w:p w:rsidR="00C35EB3" w:rsidRPr="00C25B8B" w:rsidRDefault="00C35EB3" w:rsidP="00902F75">
            <w:pPr>
              <w:jc w:val="right"/>
              <w:rPr>
                <w:color w:val="0070C0"/>
                <w:sz w:val="18"/>
                <w:szCs w:val="18"/>
              </w:rPr>
            </w:pPr>
            <w:r>
              <w:rPr>
                <w:color w:val="000000"/>
                <w:sz w:val="18"/>
                <w:szCs w:val="18"/>
              </w:rPr>
              <w:t>5 284,2</w:t>
            </w:r>
          </w:p>
        </w:tc>
        <w:tc>
          <w:tcPr>
            <w:tcW w:w="1209" w:type="dxa"/>
            <w:tcBorders>
              <w:top w:val="nil"/>
              <w:left w:val="nil"/>
              <w:bottom w:val="nil"/>
              <w:right w:val="single" w:sz="4" w:space="0" w:color="auto"/>
            </w:tcBorders>
            <w:shd w:val="clear" w:color="000000" w:fill="FFFFFF"/>
            <w:noWrap/>
            <w:vAlign w:val="bottom"/>
            <w:hideMark/>
          </w:tcPr>
          <w:p w:rsidR="00C35EB3" w:rsidRPr="00C25B8B" w:rsidRDefault="00C35EB3" w:rsidP="00902F75">
            <w:pPr>
              <w:jc w:val="right"/>
              <w:rPr>
                <w:color w:val="0070C0"/>
                <w:sz w:val="18"/>
                <w:szCs w:val="18"/>
              </w:rPr>
            </w:pPr>
            <w:r>
              <w:rPr>
                <w:sz w:val="18"/>
                <w:szCs w:val="18"/>
              </w:rPr>
              <w:t>85,5%</w:t>
            </w:r>
          </w:p>
        </w:tc>
      </w:tr>
      <w:tr w:rsidR="00C35EB3" w:rsidRPr="00C25B8B" w:rsidTr="00902F75">
        <w:trPr>
          <w:trHeight w:val="250"/>
        </w:trPr>
        <w:tc>
          <w:tcPr>
            <w:tcW w:w="4263" w:type="dxa"/>
            <w:tcBorders>
              <w:top w:val="nil"/>
              <w:left w:val="single" w:sz="8" w:space="0" w:color="auto"/>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 xml:space="preserve">           в т.ч. нетен прираст на държавния резерв</w:t>
            </w:r>
          </w:p>
        </w:tc>
        <w:tc>
          <w:tcPr>
            <w:tcW w:w="916" w:type="dxa"/>
            <w:tcBorders>
              <w:top w:val="nil"/>
              <w:left w:val="single" w:sz="4" w:space="0" w:color="auto"/>
              <w:bottom w:val="nil"/>
              <w:right w:val="nil"/>
            </w:tcBorders>
            <w:shd w:val="clear" w:color="auto" w:fill="auto"/>
            <w:noWrap/>
            <w:vAlign w:val="bottom"/>
            <w:hideMark/>
          </w:tcPr>
          <w:p w:rsidR="00C35EB3" w:rsidRPr="00EA7F69" w:rsidRDefault="00C35EB3" w:rsidP="00902F75">
            <w:pPr>
              <w:jc w:val="right"/>
              <w:rPr>
                <w:sz w:val="18"/>
                <w:szCs w:val="18"/>
              </w:rPr>
            </w:pPr>
            <w:r w:rsidRPr="00EA7F69">
              <w:rPr>
                <w:sz w:val="18"/>
                <w:szCs w:val="18"/>
              </w:rPr>
              <w:t>31,3</w:t>
            </w:r>
          </w:p>
        </w:tc>
        <w:tc>
          <w:tcPr>
            <w:tcW w:w="1227" w:type="dxa"/>
            <w:tcBorders>
              <w:top w:val="nil"/>
              <w:left w:val="nil"/>
              <w:bottom w:val="nil"/>
              <w:right w:val="nil"/>
            </w:tcBorders>
            <w:shd w:val="clear" w:color="000000" w:fill="FFFFFF"/>
            <w:noWrap/>
            <w:vAlign w:val="bottom"/>
            <w:hideMark/>
          </w:tcPr>
          <w:p w:rsidR="00C35EB3" w:rsidRPr="00C25B8B" w:rsidRDefault="00C35EB3" w:rsidP="00902F75">
            <w:pPr>
              <w:jc w:val="right"/>
              <w:rPr>
                <w:color w:val="0070C0"/>
                <w:sz w:val="18"/>
                <w:szCs w:val="18"/>
              </w:rPr>
            </w:pPr>
            <w:r>
              <w:rPr>
                <w:sz w:val="18"/>
                <w:szCs w:val="18"/>
              </w:rPr>
              <w:t>21,8</w:t>
            </w:r>
          </w:p>
        </w:tc>
        <w:tc>
          <w:tcPr>
            <w:tcW w:w="1222" w:type="dxa"/>
            <w:tcBorders>
              <w:top w:val="nil"/>
              <w:left w:val="nil"/>
              <w:bottom w:val="nil"/>
              <w:right w:val="nil"/>
            </w:tcBorders>
            <w:shd w:val="clear" w:color="000000" w:fill="FFFFFF"/>
            <w:noWrap/>
            <w:vAlign w:val="bottom"/>
            <w:hideMark/>
          </w:tcPr>
          <w:p w:rsidR="00C35EB3" w:rsidRPr="00C25B8B" w:rsidRDefault="00C35EB3" w:rsidP="00902F75">
            <w:pPr>
              <w:jc w:val="right"/>
              <w:rPr>
                <w:color w:val="0070C0"/>
                <w:sz w:val="18"/>
                <w:szCs w:val="18"/>
              </w:rPr>
            </w:pPr>
            <w:r>
              <w:rPr>
                <w:sz w:val="18"/>
                <w:szCs w:val="18"/>
              </w:rPr>
              <w:t>21,8</w:t>
            </w:r>
          </w:p>
        </w:tc>
        <w:tc>
          <w:tcPr>
            <w:tcW w:w="1199" w:type="dxa"/>
            <w:tcBorders>
              <w:top w:val="nil"/>
              <w:left w:val="nil"/>
              <w:bottom w:val="nil"/>
              <w:right w:val="nil"/>
            </w:tcBorders>
            <w:shd w:val="clear" w:color="000000" w:fill="FFFFFF"/>
            <w:noWrap/>
            <w:vAlign w:val="bottom"/>
          </w:tcPr>
          <w:p w:rsidR="00C35EB3" w:rsidRPr="00C25B8B" w:rsidRDefault="00C35EB3" w:rsidP="00902F75">
            <w:pPr>
              <w:jc w:val="right"/>
              <w:rPr>
                <w:color w:val="0070C0"/>
                <w:sz w:val="18"/>
                <w:szCs w:val="18"/>
              </w:rPr>
            </w:pPr>
          </w:p>
        </w:tc>
        <w:tc>
          <w:tcPr>
            <w:tcW w:w="1209" w:type="dxa"/>
            <w:tcBorders>
              <w:top w:val="nil"/>
              <w:left w:val="nil"/>
              <w:bottom w:val="nil"/>
              <w:right w:val="single" w:sz="4" w:space="0" w:color="auto"/>
            </w:tcBorders>
            <w:shd w:val="clear" w:color="000000" w:fill="FFFFFF"/>
            <w:noWrap/>
            <w:vAlign w:val="bottom"/>
          </w:tcPr>
          <w:p w:rsidR="00C35EB3" w:rsidRPr="00C25B8B" w:rsidRDefault="00C35EB3" w:rsidP="00902F75">
            <w:pPr>
              <w:jc w:val="right"/>
              <w:rPr>
                <w:color w:val="0070C0"/>
                <w:sz w:val="18"/>
                <w:szCs w:val="18"/>
              </w:rPr>
            </w:pPr>
            <w:r>
              <w:rPr>
                <w:sz w:val="18"/>
                <w:szCs w:val="18"/>
              </w:rPr>
              <w:t>69,6%</w:t>
            </w:r>
          </w:p>
        </w:tc>
      </w:tr>
      <w:tr w:rsidR="00C35EB3" w:rsidRPr="00C25B8B" w:rsidTr="00902F75">
        <w:trPr>
          <w:trHeight w:val="250"/>
        </w:trPr>
        <w:tc>
          <w:tcPr>
            <w:tcW w:w="4263" w:type="dxa"/>
            <w:tcBorders>
              <w:top w:val="nil"/>
              <w:left w:val="single" w:sz="8" w:space="0" w:color="auto"/>
              <w:bottom w:val="nil"/>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 xml:space="preserve">  Лихвени</w:t>
            </w:r>
          </w:p>
        </w:tc>
        <w:tc>
          <w:tcPr>
            <w:tcW w:w="916" w:type="dxa"/>
            <w:tcBorders>
              <w:top w:val="nil"/>
              <w:left w:val="single" w:sz="4" w:space="0" w:color="auto"/>
              <w:bottom w:val="nil"/>
              <w:right w:val="nil"/>
            </w:tcBorders>
            <w:shd w:val="clear" w:color="auto" w:fill="auto"/>
            <w:noWrap/>
            <w:vAlign w:val="bottom"/>
            <w:hideMark/>
          </w:tcPr>
          <w:p w:rsidR="00C35EB3" w:rsidRPr="00EA7F69" w:rsidRDefault="00C35EB3" w:rsidP="00902F75">
            <w:pPr>
              <w:jc w:val="right"/>
              <w:rPr>
                <w:sz w:val="18"/>
                <w:szCs w:val="18"/>
              </w:rPr>
            </w:pPr>
            <w:r w:rsidRPr="00EA7F69">
              <w:rPr>
                <w:sz w:val="18"/>
                <w:szCs w:val="18"/>
              </w:rPr>
              <w:t>1 623,2</w:t>
            </w:r>
          </w:p>
        </w:tc>
        <w:tc>
          <w:tcPr>
            <w:tcW w:w="1227"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1 441,7</w:t>
            </w:r>
          </w:p>
        </w:tc>
        <w:tc>
          <w:tcPr>
            <w:tcW w:w="1222" w:type="dxa"/>
            <w:tcBorders>
              <w:top w:val="nil"/>
              <w:left w:val="nil"/>
              <w:bottom w:val="nil"/>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1 441,7</w:t>
            </w:r>
          </w:p>
        </w:tc>
        <w:tc>
          <w:tcPr>
            <w:tcW w:w="1199" w:type="dxa"/>
            <w:tcBorders>
              <w:top w:val="nil"/>
              <w:left w:val="nil"/>
              <w:bottom w:val="nil"/>
              <w:right w:val="nil"/>
            </w:tcBorders>
            <w:shd w:val="clear" w:color="auto" w:fill="auto"/>
            <w:noWrap/>
            <w:vAlign w:val="bottom"/>
          </w:tcPr>
          <w:p w:rsidR="00C35EB3" w:rsidRPr="00C25B8B" w:rsidRDefault="00C35EB3" w:rsidP="00902F75">
            <w:pPr>
              <w:jc w:val="right"/>
              <w:rPr>
                <w:color w:val="0070C0"/>
                <w:sz w:val="18"/>
                <w:szCs w:val="18"/>
              </w:rPr>
            </w:pPr>
            <w:r>
              <w:rPr>
                <w:color w:val="000000"/>
                <w:sz w:val="18"/>
                <w:szCs w:val="18"/>
              </w:rPr>
              <w:t>0,02</w:t>
            </w:r>
          </w:p>
        </w:tc>
        <w:tc>
          <w:tcPr>
            <w:tcW w:w="1209" w:type="dxa"/>
            <w:tcBorders>
              <w:top w:val="nil"/>
              <w:left w:val="nil"/>
              <w:bottom w:val="nil"/>
              <w:right w:val="single" w:sz="8" w:space="0" w:color="auto"/>
            </w:tcBorders>
            <w:shd w:val="clear" w:color="auto" w:fill="auto"/>
            <w:noWrap/>
            <w:vAlign w:val="bottom"/>
            <w:hideMark/>
          </w:tcPr>
          <w:p w:rsidR="00C35EB3" w:rsidRPr="00C25B8B" w:rsidRDefault="00C35EB3" w:rsidP="00902F75">
            <w:pPr>
              <w:jc w:val="right"/>
              <w:rPr>
                <w:color w:val="0070C0"/>
                <w:sz w:val="18"/>
                <w:szCs w:val="18"/>
              </w:rPr>
            </w:pPr>
            <w:r>
              <w:rPr>
                <w:sz w:val="18"/>
                <w:szCs w:val="18"/>
              </w:rPr>
              <w:t>88,8%</w:t>
            </w:r>
          </w:p>
        </w:tc>
      </w:tr>
      <w:tr w:rsidR="00C35EB3" w:rsidRPr="00C25B8B" w:rsidTr="00902F75">
        <w:trPr>
          <w:trHeight w:val="250"/>
        </w:trPr>
        <w:tc>
          <w:tcPr>
            <w:tcW w:w="4263" w:type="dxa"/>
            <w:tcBorders>
              <w:top w:val="nil"/>
              <w:left w:val="single" w:sz="8" w:space="0" w:color="auto"/>
              <w:bottom w:val="nil"/>
              <w:right w:val="single" w:sz="4" w:space="0" w:color="auto"/>
            </w:tcBorders>
            <w:noWrap/>
            <w:vAlign w:val="bottom"/>
          </w:tcPr>
          <w:p w:rsidR="00C35EB3" w:rsidRPr="00014E5F" w:rsidRDefault="00C35EB3" w:rsidP="00902F75">
            <w:pPr>
              <w:rPr>
                <w:sz w:val="18"/>
                <w:szCs w:val="18"/>
              </w:rPr>
            </w:pPr>
            <w:r w:rsidRPr="00014E5F">
              <w:rPr>
                <w:sz w:val="18"/>
                <w:szCs w:val="18"/>
                <w:lang w:val="ru-RU"/>
              </w:rPr>
              <w:t xml:space="preserve">  </w:t>
            </w:r>
            <w:r w:rsidRPr="00014E5F">
              <w:rPr>
                <w:sz w:val="18"/>
                <w:szCs w:val="18"/>
              </w:rPr>
              <w:t>Резерв за неотложни и непредвидени разходи</w:t>
            </w:r>
          </w:p>
        </w:tc>
        <w:tc>
          <w:tcPr>
            <w:tcW w:w="916" w:type="dxa"/>
            <w:tcBorders>
              <w:left w:val="single" w:sz="4" w:space="0" w:color="auto"/>
            </w:tcBorders>
            <w:noWrap/>
            <w:vAlign w:val="bottom"/>
          </w:tcPr>
          <w:p w:rsidR="00C35EB3" w:rsidRPr="00EA7F69" w:rsidRDefault="00C35EB3" w:rsidP="00902F75">
            <w:pPr>
              <w:jc w:val="right"/>
              <w:rPr>
                <w:sz w:val="18"/>
                <w:szCs w:val="18"/>
              </w:rPr>
            </w:pPr>
            <w:r w:rsidRPr="00EA7F69">
              <w:rPr>
                <w:sz w:val="18"/>
                <w:szCs w:val="18"/>
              </w:rPr>
              <w:t>409,1</w:t>
            </w:r>
          </w:p>
        </w:tc>
        <w:tc>
          <w:tcPr>
            <w:tcW w:w="1227" w:type="dxa"/>
            <w:tcBorders>
              <w:top w:val="nil"/>
              <w:left w:val="nil"/>
              <w:bottom w:val="nil"/>
              <w:right w:val="nil"/>
            </w:tcBorders>
            <w:shd w:val="clear" w:color="auto" w:fill="auto"/>
            <w:noWrap/>
            <w:vAlign w:val="bottom"/>
          </w:tcPr>
          <w:p w:rsidR="00C35EB3" w:rsidRPr="00C25B8B" w:rsidRDefault="00C35EB3" w:rsidP="00902F75">
            <w:pPr>
              <w:jc w:val="right"/>
              <w:rPr>
                <w:color w:val="0070C0"/>
                <w:sz w:val="18"/>
                <w:szCs w:val="18"/>
              </w:rPr>
            </w:pPr>
          </w:p>
        </w:tc>
        <w:tc>
          <w:tcPr>
            <w:tcW w:w="1222" w:type="dxa"/>
            <w:tcBorders>
              <w:top w:val="nil"/>
              <w:left w:val="nil"/>
              <w:bottom w:val="nil"/>
              <w:right w:val="nil"/>
            </w:tcBorders>
            <w:shd w:val="clear" w:color="auto" w:fill="auto"/>
            <w:noWrap/>
            <w:vAlign w:val="bottom"/>
          </w:tcPr>
          <w:p w:rsidR="00C35EB3" w:rsidRPr="00C25B8B" w:rsidRDefault="00C35EB3" w:rsidP="00902F75">
            <w:pPr>
              <w:rPr>
                <w:color w:val="0070C0"/>
                <w:sz w:val="20"/>
                <w:szCs w:val="20"/>
              </w:rPr>
            </w:pPr>
          </w:p>
        </w:tc>
        <w:tc>
          <w:tcPr>
            <w:tcW w:w="1199" w:type="dxa"/>
            <w:tcBorders>
              <w:top w:val="nil"/>
              <w:left w:val="nil"/>
              <w:bottom w:val="nil"/>
              <w:right w:val="nil"/>
            </w:tcBorders>
            <w:shd w:val="clear" w:color="auto" w:fill="auto"/>
            <w:noWrap/>
            <w:vAlign w:val="bottom"/>
          </w:tcPr>
          <w:p w:rsidR="00C35EB3" w:rsidRPr="00C25B8B" w:rsidRDefault="00C35EB3" w:rsidP="00902F75">
            <w:pPr>
              <w:rPr>
                <w:color w:val="0070C0"/>
                <w:sz w:val="20"/>
                <w:szCs w:val="20"/>
              </w:rPr>
            </w:pPr>
          </w:p>
        </w:tc>
        <w:tc>
          <w:tcPr>
            <w:tcW w:w="1209" w:type="dxa"/>
            <w:tcBorders>
              <w:top w:val="nil"/>
              <w:left w:val="nil"/>
              <w:bottom w:val="nil"/>
              <w:right w:val="single" w:sz="8" w:space="0" w:color="auto"/>
            </w:tcBorders>
            <w:shd w:val="clear" w:color="auto" w:fill="auto"/>
            <w:noWrap/>
            <w:vAlign w:val="bottom"/>
          </w:tcPr>
          <w:p w:rsidR="00C35EB3" w:rsidRPr="00C25B8B" w:rsidRDefault="00C35EB3" w:rsidP="00902F75">
            <w:pPr>
              <w:rPr>
                <w:color w:val="0070C0"/>
                <w:sz w:val="18"/>
                <w:szCs w:val="18"/>
              </w:rPr>
            </w:pPr>
            <w:r>
              <w:rPr>
                <w:sz w:val="18"/>
                <w:szCs w:val="18"/>
              </w:rPr>
              <w:t> </w:t>
            </w:r>
          </w:p>
        </w:tc>
      </w:tr>
      <w:tr w:rsidR="00C35EB3" w:rsidRPr="00C25B8B" w:rsidTr="00902F75">
        <w:trPr>
          <w:trHeight w:val="250"/>
        </w:trPr>
        <w:tc>
          <w:tcPr>
            <w:tcW w:w="4263" w:type="dxa"/>
            <w:tcBorders>
              <w:top w:val="nil"/>
              <w:left w:val="single" w:sz="8" w:space="0" w:color="auto"/>
              <w:bottom w:val="single" w:sz="4" w:space="0" w:color="auto"/>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 xml:space="preserve">  Вноска за общия бюджет на ЕС</w:t>
            </w:r>
          </w:p>
        </w:tc>
        <w:tc>
          <w:tcPr>
            <w:tcW w:w="916" w:type="dxa"/>
            <w:tcBorders>
              <w:top w:val="nil"/>
              <w:left w:val="single" w:sz="4" w:space="0" w:color="auto"/>
              <w:bottom w:val="single" w:sz="4" w:space="0" w:color="auto"/>
              <w:right w:val="nil"/>
            </w:tcBorders>
            <w:shd w:val="clear" w:color="auto" w:fill="auto"/>
            <w:noWrap/>
            <w:vAlign w:val="bottom"/>
            <w:hideMark/>
          </w:tcPr>
          <w:p w:rsidR="00C35EB3" w:rsidRPr="00EA7F69" w:rsidRDefault="00C35EB3" w:rsidP="00902F75">
            <w:pPr>
              <w:jc w:val="right"/>
              <w:rPr>
                <w:sz w:val="18"/>
                <w:szCs w:val="18"/>
              </w:rPr>
            </w:pPr>
            <w:r w:rsidRPr="00EA7F69">
              <w:rPr>
                <w:sz w:val="18"/>
                <w:szCs w:val="18"/>
              </w:rPr>
              <w:t>2 020,5</w:t>
            </w:r>
          </w:p>
        </w:tc>
        <w:tc>
          <w:tcPr>
            <w:tcW w:w="1227" w:type="dxa"/>
            <w:tcBorders>
              <w:top w:val="nil"/>
              <w:left w:val="nil"/>
              <w:bottom w:val="single" w:sz="4" w:space="0" w:color="auto"/>
              <w:right w:val="nil"/>
            </w:tcBorders>
            <w:shd w:val="clear" w:color="auto" w:fill="auto"/>
            <w:noWrap/>
            <w:vAlign w:val="bottom"/>
            <w:hideMark/>
          </w:tcPr>
          <w:p w:rsidR="00C35EB3" w:rsidRPr="00C25B8B" w:rsidRDefault="00C35EB3" w:rsidP="00902F75">
            <w:pPr>
              <w:jc w:val="right"/>
              <w:rPr>
                <w:color w:val="0070C0"/>
                <w:sz w:val="18"/>
                <w:szCs w:val="18"/>
              </w:rPr>
            </w:pPr>
            <w:r>
              <w:rPr>
                <w:sz w:val="18"/>
                <w:szCs w:val="18"/>
              </w:rPr>
              <w:t>2 036,0</w:t>
            </w:r>
          </w:p>
        </w:tc>
        <w:tc>
          <w:tcPr>
            <w:tcW w:w="1222" w:type="dxa"/>
            <w:tcBorders>
              <w:top w:val="nil"/>
              <w:left w:val="nil"/>
              <w:bottom w:val="single" w:sz="4" w:space="0" w:color="auto"/>
              <w:right w:val="nil"/>
            </w:tcBorders>
            <w:shd w:val="clear" w:color="auto" w:fill="auto"/>
            <w:noWrap/>
            <w:vAlign w:val="bottom"/>
            <w:hideMark/>
          </w:tcPr>
          <w:p w:rsidR="00C35EB3" w:rsidRPr="00C25B8B" w:rsidRDefault="00C35EB3" w:rsidP="00902F75">
            <w:pPr>
              <w:jc w:val="right"/>
              <w:rPr>
                <w:color w:val="0070C0"/>
                <w:sz w:val="18"/>
                <w:szCs w:val="18"/>
              </w:rPr>
            </w:pPr>
            <w:r>
              <w:rPr>
                <w:color w:val="000000"/>
                <w:sz w:val="18"/>
                <w:szCs w:val="18"/>
              </w:rPr>
              <w:t>2 036,0</w:t>
            </w:r>
          </w:p>
        </w:tc>
        <w:tc>
          <w:tcPr>
            <w:tcW w:w="1199" w:type="dxa"/>
            <w:tcBorders>
              <w:top w:val="nil"/>
              <w:left w:val="nil"/>
              <w:bottom w:val="single" w:sz="4" w:space="0" w:color="auto"/>
              <w:right w:val="nil"/>
            </w:tcBorders>
            <w:shd w:val="clear" w:color="auto" w:fill="auto"/>
            <w:noWrap/>
            <w:vAlign w:val="bottom"/>
          </w:tcPr>
          <w:p w:rsidR="00C35EB3" w:rsidRPr="00C25B8B" w:rsidRDefault="00C35EB3" w:rsidP="00902F75">
            <w:pPr>
              <w:jc w:val="right"/>
              <w:rPr>
                <w:color w:val="0070C0"/>
                <w:sz w:val="18"/>
                <w:szCs w:val="18"/>
              </w:rPr>
            </w:pPr>
          </w:p>
        </w:tc>
        <w:tc>
          <w:tcPr>
            <w:tcW w:w="1209" w:type="dxa"/>
            <w:tcBorders>
              <w:top w:val="nil"/>
              <w:left w:val="nil"/>
              <w:bottom w:val="single" w:sz="4" w:space="0" w:color="auto"/>
              <w:right w:val="single" w:sz="8" w:space="0" w:color="auto"/>
            </w:tcBorders>
            <w:shd w:val="clear" w:color="auto" w:fill="auto"/>
            <w:noWrap/>
            <w:vAlign w:val="bottom"/>
            <w:hideMark/>
          </w:tcPr>
          <w:p w:rsidR="00C35EB3" w:rsidRPr="00C25B8B" w:rsidRDefault="00C35EB3" w:rsidP="00902F75">
            <w:pPr>
              <w:jc w:val="right"/>
              <w:rPr>
                <w:color w:val="0070C0"/>
                <w:sz w:val="18"/>
                <w:szCs w:val="18"/>
              </w:rPr>
            </w:pPr>
            <w:r>
              <w:rPr>
                <w:sz w:val="18"/>
                <w:szCs w:val="18"/>
              </w:rPr>
              <w:t>100,8%</w:t>
            </w:r>
          </w:p>
        </w:tc>
      </w:tr>
      <w:tr w:rsidR="00C35EB3" w:rsidRPr="00C25B8B" w:rsidTr="00902F75">
        <w:trPr>
          <w:trHeight w:val="250"/>
        </w:trPr>
        <w:tc>
          <w:tcPr>
            <w:tcW w:w="4263" w:type="dxa"/>
            <w:tcBorders>
              <w:top w:val="nil"/>
              <w:left w:val="single" w:sz="8" w:space="0" w:color="auto"/>
              <w:bottom w:val="single" w:sz="4" w:space="0" w:color="auto"/>
              <w:right w:val="single" w:sz="4" w:space="0" w:color="auto"/>
            </w:tcBorders>
            <w:shd w:val="clear" w:color="auto" w:fill="auto"/>
            <w:noWrap/>
            <w:vAlign w:val="bottom"/>
            <w:hideMark/>
          </w:tcPr>
          <w:p w:rsidR="00C35EB3" w:rsidRPr="00014E5F" w:rsidRDefault="00C35EB3" w:rsidP="00902F75">
            <w:pPr>
              <w:rPr>
                <w:sz w:val="18"/>
                <w:szCs w:val="18"/>
              </w:rPr>
            </w:pPr>
            <w:r w:rsidRPr="00014E5F">
              <w:rPr>
                <w:sz w:val="18"/>
                <w:szCs w:val="18"/>
              </w:rPr>
              <w:t>Трансфери</w:t>
            </w:r>
            <w:r w:rsidRPr="00014E5F">
              <w:rPr>
                <w:sz w:val="18"/>
                <w:szCs w:val="18"/>
                <w:lang w:val="en-US"/>
              </w:rPr>
              <w:t xml:space="preserve"> </w:t>
            </w:r>
            <w:r w:rsidRPr="00014E5F">
              <w:rPr>
                <w:sz w:val="18"/>
                <w:szCs w:val="18"/>
              </w:rPr>
              <w:t>-</w:t>
            </w:r>
            <w:r w:rsidRPr="00014E5F">
              <w:rPr>
                <w:sz w:val="18"/>
                <w:szCs w:val="18"/>
                <w:lang w:val="en-US"/>
              </w:rPr>
              <w:t xml:space="preserve"> </w:t>
            </w:r>
            <w:r w:rsidRPr="00014E5F">
              <w:rPr>
                <w:sz w:val="18"/>
                <w:szCs w:val="18"/>
              </w:rPr>
              <w:t>нето</w:t>
            </w:r>
          </w:p>
        </w:tc>
        <w:tc>
          <w:tcPr>
            <w:tcW w:w="916" w:type="dxa"/>
            <w:tcBorders>
              <w:top w:val="single" w:sz="4" w:space="0" w:color="auto"/>
              <w:left w:val="single" w:sz="4" w:space="0" w:color="auto"/>
              <w:bottom w:val="single" w:sz="4" w:space="0" w:color="auto"/>
              <w:right w:val="nil"/>
            </w:tcBorders>
            <w:shd w:val="clear" w:color="auto" w:fill="auto"/>
            <w:noWrap/>
            <w:vAlign w:val="bottom"/>
            <w:hideMark/>
          </w:tcPr>
          <w:p w:rsidR="00C35EB3" w:rsidRPr="00EA7F69" w:rsidRDefault="00C35EB3" w:rsidP="00902F75">
            <w:pPr>
              <w:jc w:val="right"/>
              <w:rPr>
                <w:sz w:val="18"/>
                <w:szCs w:val="18"/>
              </w:rPr>
            </w:pPr>
          </w:p>
        </w:tc>
        <w:tc>
          <w:tcPr>
            <w:tcW w:w="1227" w:type="dxa"/>
            <w:tcBorders>
              <w:top w:val="nil"/>
              <w:left w:val="nil"/>
              <w:bottom w:val="single" w:sz="4" w:space="0" w:color="auto"/>
              <w:right w:val="nil"/>
            </w:tcBorders>
            <w:shd w:val="clear" w:color="auto" w:fill="auto"/>
            <w:noWrap/>
            <w:vAlign w:val="bottom"/>
            <w:hideMark/>
          </w:tcPr>
          <w:p w:rsidR="00C35EB3" w:rsidRPr="00C25B8B" w:rsidRDefault="00C35EB3" w:rsidP="00902F75">
            <w:pPr>
              <w:rPr>
                <w:color w:val="0070C0"/>
                <w:sz w:val="20"/>
                <w:szCs w:val="20"/>
              </w:rPr>
            </w:pPr>
          </w:p>
        </w:tc>
        <w:tc>
          <w:tcPr>
            <w:tcW w:w="1222" w:type="dxa"/>
            <w:tcBorders>
              <w:top w:val="nil"/>
              <w:left w:val="nil"/>
              <w:bottom w:val="single" w:sz="4" w:space="0" w:color="auto"/>
              <w:right w:val="nil"/>
            </w:tcBorders>
            <w:shd w:val="clear" w:color="auto" w:fill="auto"/>
            <w:noWrap/>
            <w:vAlign w:val="bottom"/>
            <w:hideMark/>
          </w:tcPr>
          <w:p w:rsidR="00C35EB3" w:rsidRPr="00C25B8B" w:rsidRDefault="00C35EB3" w:rsidP="00902F75">
            <w:pPr>
              <w:jc w:val="right"/>
              <w:rPr>
                <w:color w:val="0070C0"/>
                <w:sz w:val="18"/>
                <w:szCs w:val="18"/>
              </w:rPr>
            </w:pPr>
            <w:r>
              <w:rPr>
                <w:color w:val="000000"/>
                <w:sz w:val="18"/>
                <w:szCs w:val="18"/>
              </w:rPr>
              <w:t>4,2</w:t>
            </w:r>
          </w:p>
        </w:tc>
        <w:tc>
          <w:tcPr>
            <w:tcW w:w="1199" w:type="dxa"/>
            <w:tcBorders>
              <w:top w:val="nil"/>
              <w:left w:val="nil"/>
              <w:bottom w:val="single" w:sz="4" w:space="0" w:color="auto"/>
              <w:right w:val="nil"/>
            </w:tcBorders>
            <w:shd w:val="clear" w:color="auto" w:fill="auto"/>
            <w:noWrap/>
            <w:vAlign w:val="bottom"/>
            <w:hideMark/>
          </w:tcPr>
          <w:p w:rsidR="00C35EB3" w:rsidRPr="00C25B8B" w:rsidRDefault="00C35EB3" w:rsidP="00902F75">
            <w:pPr>
              <w:jc w:val="right"/>
              <w:rPr>
                <w:color w:val="0070C0"/>
                <w:sz w:val="18"/>
                <w:szCs w:val="18"/>
              </w:rPr>
            </w:pPr>
            <w:r>
              <w:rPr>
                <w:color w:val="000000"/>
                <w:sz w:val="18"/>
                <w:szCs w:val="18"/>
              </w:rPr>
              <w:t>-4,2</w:t>
            </w:r>
          </w:p>
        </w:tc>
        <w:tc>
          <w:tcPr>
            <w:tcW w:w="1209" w:type="dxa"/>
            <w:tcBorders>
              <w:top w:val="nil"/>
              <w:left w:val="nil"/>
              <w:bottom w:val="single" w:sz="4" w:space="0" w:color="auto"/>
              <w:right w:val="single" w:sz="8" w:space="0" w:color="auto"/>
            </w:tcBorders>
            <w:shd w:val="clear" w:color="auto" w:fill="auto"/>
            <w:noWrap/>
            <w:vAlign w:val="bottom"/>
            <w:hideMark/>
          </w:tcPr>
          <w:p w:rsidR="00C35EB3" w:rsidRPr="00C25B8B" w:rsidRDefault="00C35EB3" w:rsidP="00902F75">
            <w:pPr>
              <w:rPr>
                <w:b/>
                <w:bCs/>
                <w:color w:val="0070C0"/>
                <w:sz w:val="18"/>
                <w:szCs w:val="18"/>
              </w:rPr>
            </w:pPr>
            <w:r>
              <w:rPr>
                <w:b/>
                <w:bCs/>
                <w:sz w:val="18"/>
                <w:szCs w:val="18"/>
              </w:rPr>
              <w:t> </w:t>
            </w:r>
          </w:p>
        </w:tc>
      </w:tr>
      <w:tr w:rsidR="00C35EB3" w:rsidRPr="00C25B8B" w:rsidTr="00902F75">
        <w:trPr>
          <w:trHeight w:val="265"/>
        </w:trPr>
        <w:tc>
          <w:tcPr>
            <w:tcW w:w="426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C35EB3" w:rsidRPr="00014E5F" w:rsidRDefault="00C35EB3" w:rsidP="00902F75">
            <w:pPr>
              <w:rPr>
                <w:b/>
                <w:bCs/>
                <w:sz w:val="18"/>
                <w:szCs w:val="18"/>
              </w:rPr>
            </w:pPr>
            <w:r w:rsidRPr="00014E5F">
              <w:rPr>
                <w:b/>
                <w:bCs/>
                <w:sz w:val="18"/>
                <w:szCs w:val="18"/>
              </w:rPr>
              <w:t>БЮДЖЕТНО САЛДО</w:t>
            </w:r>
          </w:p>
        </w:tc>
        <w:tc>
          <w:tcPr>
            <w:tcW w:w="916" w:type="dxa"/>
            <w:tcBorders>
              <w:top w:val="nil"/>
              <w:left w:val="single" w:sz="4" w:space="0" w:color="auto"/>
              <w:bottom w:val="single" w:sz="8" w:space="0" w:color="auto"/>
              <w:right w:val="nil"/>
            </w:tcBorders>
            <w:shd w:val="clear" w:color="auto" w:fill="auto"/>
            <w:noWrap/>
            <w:vAlign w:val="bottom"/>
            <w:hideMark/>
          </w:tcPr>
          <w:p w:rsidR="00C35EB3" w:rsidRPr="00EA7F69" w:rsidRDefault="00C35EB3" w:rsidP="00902F75">
            <w:pPr>
              <w:jc w:val="right"/>
              <w:rPr>
                <w:b/>
                <w:bCs/>
                <w:sz w:val="18"/>
                <w:szCs w:val="18"/>
              </w:rPr>
            </w:pPr>
            <w:r w:rsidRPr="00EA7F69">
              <w:rPr>
                <w:b/>
                <w:bCs/>
                <w:sz w:val="18"/>
                <w:szCs w:val="18"/>
              </w:rPr>
              <w:t>-6 435,2</w:t>
            </w:r>
          </w:p>
        </w:tc>
        <w:tc>
          <w:tcPr>
            <w:tcW w:w="1227" w:type="dxa"/>
            <w:tcBorders>
              <w:top w:val="nil"/>
              <w:left w:val="nil"/>
              <w:bottom w:val="single" w:sz="8" w:space="0" w:color="auto"/>
              <w:right w:val="nil"/>
            </w:tcBorders>
            <w:shd w:val="clear" w:color="auto" w:fill="auto"/>
            <w:noWrap/>
            <w:vAlign w:val="bottom"/>
            <w:hideMark/>
          </w:tcPr>
          <w:p w:rsidR="00C35EB3" w:rsidRPr="00C25B8B" w:rsidRDefault="00C35EB3" w:rsidP="00902F75">
            <w:pPr>
              <w:jc w:val="right"/>
              <w:rPr>
                <w:b/>
                <w:bCs/>
                <w:color w:val="0070C0"/>
                <w:sz w:val="18"/>
                <w:szCs w:val="18"/>
              </w:rPr>
            </w:pPr>
            <w:r>
              <w:rPr>
                <w:b/>
                <w:bCs/>
                <w:sz w:val="18"/>
                <w:szCs w:val="18"/>
              </w:rPr>
              <w:t>-6 828,3</w:t>
            </w:r>
          </w:p>
        </w:tc>
        <w:tc>
          <w:tcPr>
            <w:tcW w:w="1222" w:type="dxa"/>
            <w:tcBorders>
              <w:top w:val="nil"/>
              <w:left w:val="nil"/>
              <w:bottom w:val="single" w:sz="8" w:space="0" w:color="auto"/>
              <w:right w:val="nil"/>
            </w:tcBorders>
            <w:shd w:val="clear" w:color="auto" w:fill="auto"/>
            <w:noWrap/>
            <w:vAlign w:val="bottom"/>
            <w:hideMark/>
          </w:tcPr>
          <w:p w:rsidR="00C35EB3" w:rsidRPr="00C25B8B" w:rsidRDefault="00C35EB3" w:rsidP="00902F75">
            <w:pPr>
              <w:jc w:val="right"/>
              <w:rPr>
                <w:b/>
                <w:bCs/>
                <w:color w:val="0070C0"/>
                <w:sz w:val="18"/>
                <w:szCs w:val="18"/>
              </w:rPr>
            </w:pPr>
            <w:r>
              <w:rPr>
                <w:b/>
                <w:bCs/>
                <w:color w:val="000000"/>
                <w:sz w:val="18"/>
                <w:szCs w:val="18"/>
              </w:rPr>
              <w:t>-5 371,4</w:t>
            </w:r>
          </w:p>
        </w:tc>
        <w:tc>
          <w:tcPr>
            <w:tcW w:w="1199" w:type="dxa"/>
            <w:tcBorders>
              <w:top w:val="nil"/>
              <w:left w:val="nil"/>
              <w:bottom w:val="single" w:sz="8" w:space="0" w:color="auto"/>
              <w:right w:val="nil"/>
            </w:tcBorders>
            <w:shd w:val="clear" w:color="auto" w:fill="auto"/>
            <w:noWrap/>
            <w:vAlign w:val="bottom"/>
            <w:hideMark/>
          </w:tcPr>
          <w:p w:rsidR="00C35EB3" w:rsidRPr="00C25B8B" w:rsidRDefault="00C35EB3" w:rsidP="00902F75">
            <w:pPr>
              <w:jc w:val="right"/>
              <w:rPr>
                <w:b/>
                <w:bCs/>
                <w:color w:val="0070C0"/>
                <w:sz w:val="18"/>
                <w:szCs w:val="18"/>
              </w:rPr>
            </w:pPr>
            <w:r>
              <w:rPr>
                <w:b/>
                <w:bCs/>
                <w:color w:val="000000"/>
                <w:sz w:val="18"/>
                <w:szCs w:val="18"/>
              </w:rPr>
              <w:t>-1 457,0</w:t>
            </w:r>
          </w:p>
        </w:tc>
        <w:tc>
          <w:tcPr>
            <w:tcW w:w="1209" w:type="dxa"/>
            <w:tcBorders>
              <w:top w:val="nil"/>
              <w:left w:val="nil"/>
              <w:bottom w:val="single" w:sz="8" w:space="0" w:color="auto"/>
              <w:right w:val="single" w:sz="8" w:space="0" w:color="auto"/>
            </w:tcBorders>
            <w:shd w:val="clear" w:color="auto" w:fill="auto"/>
            <w:noWrap/>
            <w:vAlign w:val="bottom"/>
            <w:hideMark/>
          </w:tcPr>
          <w:p w:rsidR="00C35EB3" w:rsidRPr="00C25B8B" w:rsidRDefault="00C35EB3" w:rsidP="00902F75">
            <w:pPr>
              <w:rPr>
                <w:b/>
                <w:bCs/>
                <w:color w:val="0070C0"/>
                <w:sz w:val="18"/>
                <w:szCs w:val="18"/>
              </w:rPr>
            </w:pPr>
            <w:r>
              <w:rPr>
                <w:b/>
                <w:bCs/>
                <w:sz w:val="18"/>
                <w:szCs w:val="18"/>
              </w:rPr>
              <w:t> </w:t>
            </w:r>
          </w:p>
        </w:tc>
      </w:tr>
    </w:tbl>
    <w:p w:rsidR="00C35EB3" w:rsidRPr="00C25B8B" w:rsidRDefault="00C35EB3" w:rsidP="00C35EB3">
      <w:pPr>
        <w:spacing w:before="120"/>
        <w:rPr>
          <w:b/>
          <w:i/>
          <w:color w:val="0070C0"/>
          <w:sz w:val="22"/>
          <w:szCs w:val="22"/>
        </w:rPr>
      </w:pPr>
    </w:p>
    <w:p w:rsidR="00C35EB3" w:rsidRPr="00C25B8B" w:rsidRDefault="00C35EB3" w:rsidP="00C35EB3">
      <w:pPr>
        <w:numPr>
          <w:ilvl w:val="1"/>
          <w:numId w:val="9"/>
        </w:numPr>
        <w:tabs>
          <w:tab w:val="num" w:pos="426"/>
        </w:tabs>
        <w:ind w:left="0" w:firstLine="0"/>
        <w:jc w:val="both"/>
        <w:rPr>
          <w:rFonts w:eastAsia="Calibri"/>
          <w:color w:val="0070C0"/>
        </w:rPr>
      </w:pPr>
      <w:r w:rsidRPr="002C6724">
        <w:rPr>
          <w:b/>
        </w:rPr>
        <w:t>Приходите, помощите и даренията по консолидираната фискална програма</w:t>
      </w:r>
      <w:r w:rsidRPr="002C6724">
        <w:t xml:space="preserve"> (КФП) за 202</w:t>
      </w:r>
      <w:r w:rsidRPr="002C6724">
        <w:rPr>
          <w:lang w:val="ru-RU"/>
        </w:rPr>
        <w:t>5</w:t>
      </w:r>
      <w:r w:rsidRPr="002C6724">
        <w:rPr>
          <w:bCs/>
        </w:rPr>
        <w:t xml:space="preserve"> г. са в размер на </w:t>
      </w:r>
      <w:r w:rsidRPr="002E6EA2">
        <w:rPr>
          <w:b/>
          <w:bCs/>
        </w:rPr>
        <w:t xml:space="preserve">86 086,2 млн. лв., което представлява </w:t>
      </w:r>
      <w:r w:rsidRPr="003D2E22">
        <w:rPr>
          <w:b/>
          <w:bCs/>
        </w:rPr>
        <w:t>95,4 % от разчетите към ЗДБРБ за 2025 година</w:t>
      </w:r>
      <w:r w:rsidRPr="00C25B8B">
        <w:rPr>
          <w:b/>
          <w:bCs/>
          <w:color w:val="0070C0"/>
        </w:rPr>
        <w:t xml:space="preserve">. </w:t>
      </w:r>
      <w:r w:rsidR="000100F0" w:rsidRPr="000B2F2F">
        <w:rPr>
          <w:noProof/>
          <w:szCs w:val="26"/>
        </w:rPr>
        <w:t xml:space="preserve">Съпоставени с предходната година, постъпленията нарастват с </w:t>
      </w:r>
      <w:r w:rsidR="000100F0" w:rsidRPr="00AD434F">
        <w:rPr>
          <w:noProof/>
          <w:szCs w:val="26"/>
        </w:rPr>
        <w:t>14 071,0 млн. лв.</w:t>
      </w:r>
      <w:r w:rsidR="000100F0">
        <w:rPr>
          <w:noProof/>
          <w:szCs w:val="26"/>
        </w:rPr>
        <w:t xml:space="preserve"> </w:t>
      </w:r>
      <w:r w:rsidR="000100F0">
        <w:rPr>
          <w:noProof/>
          <w:szCs w:val="26"/>
          <w:lang w:val="en-US"/>
        </w:rPr>
        <w:t>(</w:t>
      </w:r>
      <w:r w:rsidR="000100F0" w:rsidRPr="000B2F2F">
        <w:rPr>
          <w:noProof/>
          <w:szCs w:val="26"/>
        </w:rPr>
        <w:t>19,5 %</w:t>
      </w:r>
      <w:r w:rsidR="000100F0">
        <w:rPr>
          <w:noProof/>
          <w:szCs w:val="26"/>
          <w:lang w:val="en-US"/>
        </w:rPr>
        <w:t>)</w:t>
      </w:r>
      <w:r w:rsidR="000100F0" w:rsidRPr="000B2F2F">
        <w:rPr>
          <w:noProof/>
          <w:szCs w:val="26"/>
        </w:rPr>
        <w:t xml:space="preserve">, което е най-високият номинален ръст на приходите за последните няколко години. </w:t>
      </w:r>
      <w:r w:rsidR="000100F0" w:rsidRPr="0001789B">
        <w:rPr>
          <w:noProof/>
          <w:szCs w:val="26"/>
        </w:rPr>
        <w:t>За това принос имат най-вече данъчните приходи, които нарастват спрямо 2024 г. c 15,3 % (8 986,8 млн. лв.</w:t>
      </w:r>
      <w:r w:rsidR="000100F0" w:rsidRPr="0001789B">
        <w:t xml:space="preserve"> </w:t>
      </w:r>
      <w:r w:rsidR="000100F0" w:rsidRPr="0001789B">
        <w:rPr>
          <w:noProof/>
          <w:szCs w:val="26"/>
        </w:rPr>
        <w:t xml:space="preserve">в номинално изражение). Неданъчните приходи нарастват с 2 168,0 млн. лв. спрямо </w:t>
      </w:r>
      <w:r w:rsidR="00AB36B6" w:rsidRPr="0001789B">
        <w:rPr>
          <w:noProof/>
          <w:szCs w:val="26"/>
        </w:rPr>
        <w:t>2024</w:t>
      </w:r>
      <w:r w:rsidR="00AB36B6">
        <w:rPr>
          <w:noProof/>
          <w:szCs w:val="26"/>
        </w:rPr>
        <w:t> </w:t>
      </w:r>
      <w:r w:rsidR="000100F0" w:rsidRPr="0001789B">
        <w:rPr>
          <w:noProof/>
          <w:szCs w:val="26"/>
        </w:rPr>
        <w:t>г., а постъпленията в частта на помощите и даренията са повече с 2 916,2 млн. лева</w:t>
      </w:r>
      <w:r w:rsidRPr="00C25B8B">
        <w:rPr>
          <w:color w:val="0070C0"/>
        </w:rPr>
        <w:t>.</w:t>
      </w:r>
    </w:p>
    <w:p w:rsidR="00C35EB3" w:rsidRPr="00F86849" w:rsidRDefault="00C35EB3" w:rsidP="00C35EB3">
      <w:pPr>
        <w:spacing w:before="120" w:after="120"/>
        <w:jc w:val="both"/>
        <w:rPr>
          <w:rFonts w:eastAsia="Calibri"/>
        </w:rPr>
      </w:pPr>
      <w:r w:rsidRPr="002E2EF2">
        <w:rPr>
          <w:b/>
          <w:i/>
        </w:rPr>
        <w:t>Данъчните постъпления</w:t>
      </w:r>
      <w:r w:rsidRPr="002E2EF2">
        <w:t xml:space="preserve"> (вкл. приходите от осигурителни вноски) са в размер на </w:t>
      </w:r>
      <w:r w:rsidRPr="002E2EF2">
        <w:rPr>
          <w:b/>
          <w:bCs/>
          <w:i/>
          <w:lang w:val="ru-RU"/>
        </w:rPr>
        <w:t xml:space="preserve">67 681,8 </w:t>
      </w:r>
      <w:r w:rsidRPr="0086455A">
        <w:rPr>
          <w:b/>
          <w:i/>
        </w:rPr>
        <w:t xml:space="preserve">млн. лв., </w:t>
      </w:r>
      <w:r w:rsidRPr="0086455A">
        <w:t>което представлява 95,5 % от разчетените за годината.</w:t>
      </w:r>
      <w:r w:rsidRPr="0086455A">
        <w:rPr>
          <w:b/>
          <w:i/>
        </w:rPr>
        <w:t xml:space="preserve"> </w:t>
      </w:r>
      <w:r w:rsidRPr="0086455A">
        <w:t xml:space="preserve">Постъпленията от данъци и </w:t>
      </w:r>
      <w:r w:rsidRPr="00F86849">
        <w:t xml:space="preserve">осигурителни вноски формират </w:t>
      </w:r>
      <w:r w:rsidRPr="00F86849">
        <w:rPr>
          <w:lang w:val="en-US"/>
        </w:rPr>
        <w:t>78</w:t>
      </w:r>
      <w:r w:rsidRPr="00F86849">
        <w:t>,</w:t>
      </w:r>
      <w:r w:rsidRPr="00F86849">
        <w:rPr>
          <w:lang w:val="en-US"/>
        </w:rPr>
        <w:t>6</w:t>
      </w:r>
      <w:r w:rsidRPr="00F86849">
        <w:t xml:space="preserve"> % от общите постъпления по КФП за периода.</w:t>
      </w:r>
      <w:r w:rsidR="00F86849" w:rsidRPr="00F86849">
        <w:t xml:space="preserve"> При основните групи данъци, с изключение на косвените данъци и социалните и </w:t>
      </w:r>
      <w:r w:rsidR="00D766D1" w:rsidRPr="00F86849">
        <w:t>здравноосигурителните</w:t>
      </w:r>
      <w:r w:rsidR="00F86849" w:rsidRPr="00F86849">
        <w:t xml:space="preserve"> вноски, изпълнението на годишните разчети е близко до планираните годишни цели, като при преките данъци се отчита преизпълнение на годишния план с 1,6 на сто, а при другите данъци – с 15,9 на сто.</w:t>
      </w:r>
    </w:p>
    <w:p w:rsidR="00C35EB3" w:rsidRPr="00C25B8B" w:rsidRDefault="00C35EB3" w:rsidP="00C35EB3">
      <w:pPr>
        <w:spacing w:before="120"/>
        <w:jc w:val="both"/>
        <w:rPr>
          <w:rFonts w:eastAsia="Calibri"/>
          <w:bCs/>
          <w:iCs/>
          <w:color w:val="0070C0"/>
        </w:rPr>
      </w:pPr>
      <w:r w:rsidRPr="0059358B">
        <w:t xml:space="preserve">Приходите в частта на </w:t>
      </w:r>
      <w:r w:rsidRPr="0059358B">
        <w:rPr>
          <w:i/>
        </w:rPr>
        <w:t xml:space="preserve">преките данъци </w:t>
      </w:r>
      <w:r w:rsidRPr="0059358B">
        <w:t xml:space="preserve">възлизат на 14 857,7 млн. лв., което представлява </w:t>
      </w:r>
      <w:r w:rsidRPr="008D3B67">
        <w:t xml:space="preserve">101,6 % спрямо разчета за 2025 г. и ръст от 2 340,7 </w:t>
      </w:r>
      <w:r w:rsidRPr="008D3B67">
        <w:rPr>
          <w:rFonts w:eastAsia="Calibri"/>
        </w:rPr>
        <w:t xml:space="preserve">млн. лв. </w:t>
      </w:r>
      <w:r w:rsidRPr="008D3B67">
        <w:rPr>
          <w:rFonts w:eastAsia="Calibri"/>
          <w:lang w:val="ru-RU"/>
        </w:rPr>
        <w:t xml:space="preserve">спрямо </w:t>
      </w:r>
      <w:r w:rsidRPr="008D3B67">
        <w:t xml:space="preserve">отчетените към декември 2024 г. Приходите от </w:t>
      </w:r>
      <w:r w:rsidRPr="008D3B67">
        <w:rPr>
          <w:i/>
        </w:rPr>
        <w:t>косвени данъци</w:t>
      </w:r>
      <w:r w:rsidRPr="008D3B67">
        <w:t xml:space="preserve"> са в размер на 29 470,8 </w:t>
      </w:r>
      <w:r w:rsidRPr="008D3B67">
        <w:rPr>
          <w:rFonts w:eastAsia="Calibri"/>
          <w:bCs/>
          <w:iCs/>
        </w:rPr>
        <w:t>млн. лв.</w:t>
      </w:r>
      <w:r w:rsidRPr="008D3B67">
        <w:rPr>
          <w:rFonts w:eastAsia="Calibri"/>
        </w:rPr>
        <w:t xml:space="preserve">, което представлява 89,4 % от предвидените в ЗДБРБ за 2025 г. </w:t>
      </w:r>
      <w:r w:rsidRPr="008D3B67">
        <w:t xml:space="preserve">и ръст от 3 616,7 млн. лв., 14,0 % спрямо отчетените към декември 2024 г. </w:t>
      </w:r>
      <w:r w:rsidRPr="008D3B67">
        <w:rPr>
          <w:lang w:val="ru-RU"/>
        </w:rPr>
        <w:t>(</w:t>
      </w:r>
      <w:r w:rsidRPr="008D3B67">
        <w:t xml:space="preserve">основно поради ръст на приходите от ДДС). Постъпленията от </w:t>
      </w:r>
      <w:r w:rsidRPr="008D3B67">
        <w:rPr>
          <w:i/>
        </w:rPr>
        <w:t>други данъци</w:t>
      </w:r>
      <w:r w:rsidRPr="008D3B67">
        <w:t xml:space="preserve"> (включват други данъци по ЗКПО, имуществени и др. данъци) са в размер на 2 644,4 млн. лв., което представлява 115,9 % спрямо годишния разчет и ръст </w:t>
      </w:r>
      <w:r w:rsidR="003870FA" w:rsidRPr="003870FA">
        <w:t xml:space="preserve">от 335,6 млн. лв. (14,5 %) спрямо </w:t>
      </w:r>
      <w:r w:rsidR="003870FA" w:rsidRPr="003870FA">
        <w:lastRenderedPageBreak/>
        <w:t>отчетените към декември 2024 г</w:t>
      </w:r>
      <w:r w:rsidRPr="008D3B67">
        <w:rPr>
          <w:lang w:val="ru-RU"/>
        </w:rPr>
        <w:t>.</w:t>
      </w:r>
      <w:r w:rsidRPr="008D3B67">
        <w:t xml:space="preserve"> Приходите от </w:t>
      </w:r>
      <w:r w:rsidRPr="008D3B67">
        <w:rPr>
          <w:i/>
        </w:rPr>
        <w:t>социални и здравноосигурителни вноски</w:t>
      </w:r>
      <w:r w:rsidRPr="008D3B67">
        <w:t xml:space="preserve"> са в размер на 20 709,0</w:t>
      </w:r>
      <w:r w:rsidRPr="008D3B67">
        <w:rPr>
          <w:lang w:val="en-US"/>
        </w:rPr>
        <w:t xml:space="preserve"> </w:t>
      </w:r>
      <w:r w:rsidRPr="008D3B67">
        <w:t>млн</w:t>
      </w:r>
      <w:r w:rsidRPr="00F93E27">
        <w:t xml:space="preserve">. лв. </w:t>
      </w:r>
      <w:r w:rsidRPr="00F93E27">
        <w:rPr>
          <w:rFonts w:eastAsia="Calibri"/>
          <w:bCs/>
          <w:iCs/>
        </w:rPr>
        <w:t>или 98,8</w:t>
      </w:r>
      <w:r w:rsidRPr="00F93E27">
        <w:rPr>
          <w:rFonts w:eastAsia="Calibri"/>
          <w:bCs/>
          <w:iCs/>
          <w:lang w:val="en-US"/>
        </w:rPr>
        <w:t xml:space="preserve"> </w:t>
      </w:r>
      <w:r w:rsidRPr="00F93E27">
        <w:rPr>
          <w:rFonts w:eastAsia="Calibri"/>
          <w:bCs/>
          <w:iCs/>
        </w:rPr>
        <w:t>%</w:t>
      </w:r>
      <w:r w:rsidRPr="00F93E27">
        <w:rPr>
          <w:rFonts w:eastAsia="Calibri"/>
          <w:bCs/>
          <w:iCs/>
          <w:lang w:val="en-US"/>
        </w:rPr>
        <w:t xml:space="preserve"> </w:t>
      </w:r>
      <w:r w:rsidRPr="00F93E27">
        <w:rPr>
          <w:rFonts w:eastAsia="Calibri"/>
          <w:bCs/>
          <w:iCs/>
        </w:rPr>
        <w:t>от разчета за 2025 г. и ръст от 2 693,9</w:t>
      </w:r>
      <w:r w:rsidRPr="00F93E27">
        <w:rPr>
          <w:rFonts w:eastAsia="Calibri"/>
          <w:bCs/>
          <w:iCs/>
          <w:lang w:val="en-US"/>
        </w:rPr>
        <w:t xml:space="preserve"> </w:t>
      </w:r>
      <w:r w:rsidRPr="00F93E27">
        <w:rPr>
          <w:rFonts w:eastAsia="Calibri"/>
          <w:bCs/>
          <w:iCs/>
        </w:rPr>
        <w:t>млн. лв. (</w:t>
      </w:r>
      <w:r w:rsidRPr="00F93E27">
        <w:rPr>
          <w:rFonts w:eastAsia="Calibri"/>
          <w:bCs/>
          <w:iCs/>
          <w:lang w:val="en-US"/>
        </w:rPr>
        <w:t>15</w:t>
      </w:r>
      <w:r w:rsidRPr="00F93E27">
        <w:rPr>
          <w:rFonts w:eastAsia="Calibri"/>
          <w:bCs/>
          <w:iCs/>
        </w:rPr>
        <w:t>,</w:t>
      </w:r>
      <w:r w:rsidRPr="00F93E27">
        <w:rPr>
          <w:rFonts w:eastAsia="Calibri"/>
          <w:bCs/>
          <w:iCs/>
          <w:lang w:val="en-US"/>
        </w:rPr>
        <w:t>0 </w:t>
      </w:r>
      <w:r w:rsidRPr="00F93E27">
        <w:rPr>
          <w:rFonts w:eastAsia="Calibri"/>
          <w:bCs/>
          <w:iCs/>
        </w:rPr>
        <w:t>%) спрямо 2024 г</w:t>
      </w:r>
      <w:r w:rsidRPr="00C25B8B">
        <w:rPr>
          <w:rFonts w:eastAsia="Calibri"/>
          <w:bCs/>
          <w:iCs/>
          <w:color w:val="0070C0"/>
        </w:rPr>
        <w:t>.</w:t>
      </w:r>
    </w:p>
    <w:p w:rsidR="00C35EB3" w:rsidRPr="00C25B8B" w:rsidRDefault="00C35EB3" w:rsidP="00C35EB3">
      <w:pPr>
        <w:spacing w:before="120"/>
        <w:jc w:val="both"/>
        <w:rPr>
          <w:color w:val="0070C0"/>
        </w:rPr>
      </w:pPr>
      <w:r w:rsidRPr="0060130C">
        <w:rPr>
          <w:b/>
          <w:bCs/>
          <w:i/>
          <w:iCs/>
        </w:rPr>
        <w:t>Неданъчните приходи</w:t>
      </w:r>
      <w:r w:rsidRPr="0060130C">
        <w:rPr>
          <w:b/>
          <w:bCs/>
          <w:iCs/>
        </w:rPr>
        <w:t xml:space="preserve"> </w:t>
      </w:r>
      <w:r w:rsidRPr="0060130C">
        <w:t xml:space="preserve">са в размер на </w:t>
      </w:r>
      <w:r w:rsidRPr="0060130C">
        <w:rPr>
          <w:b/>
          <w:i/>
        </w:rPr>
        <w:t xml:space="preserve">11 855,9 </w:t>
      </w:r>
      <w:r w:rsidRPr="0060130C">
        <w:rPr>
          <w:b/>
          <w:bCs/>
          <w:i/>
        </w:rPr>
        <w:t xml:space="preserve">млн. лв., </w:t>
      </w:r>
      <w:r w:rsidRPr="0060130C">
        <w:rPr>
          <w:rFonts w:eastAsia="Calibri"/>
          <w:bCs/>
        </w:rPr>
        <w:t xml:space="preserve">което представлява 98,9 % от </w:t>
      </w:r>
      <w:r w:rsidRPr="00C81184">
        <w:rPr>
          <w:rFonts w:eastAsia="Calibri"/>
          <w:bCs/>
        </w:rPr>
        <w:t>годишните разчети</w:t>
      </w:r>
      <w:r w:rsidRPr="00C81184">
        <w:rPr>
          <w:b/>
          <w:bCs/>
          <w:i/>
        </w:rPr>
        <w:t xml:space="preserve"> </w:t>
      </w:r>
      <w:r w:rsidRPr="00C81184">
        <w:rPr>
          <w:rFonts w:eastAsia="Calibri"/>
        </w:rPr>
        <w:t xml:space="preserve">и ръст от 2 168,0 млн. лв., 22,4 % спрямо </w:t>
      </w:r>
      <w:r w:rsidRPr="00C81184">
        <w:t>2024 г</w:t>
      </w:r>
      <w:r w:rsidRPr="00C81184">
        <w:rPr>
          <w:rStyle w:val="QuoteChar"/>
        </w:rPr>
        <w:t>.</w:t>
      </w:r>
      <w:r w:rsidRPr="00C81184">
        <w:rPr>
          <w:rStyle w:val="QuoteChar"/>
          <w:rFonts w:eastAsia="Calibri"/>
        </w:rPr>
        <w:t xml:space="preserve"> </w:t>
      </w:r>
      <w:r w:rsidRPr="00EC45DE">
        <w:rPr>
          <w:rFonts w:eastAsia="Calibri"/>
          <w:bCs/>
        </w:rPr>
        <w:t>Тези приходи</w:t>
      </w:r>
      <w:r w:rsidRPr="00C81184">
        <w:rPr>
          <w:rFonts w:eastAsia="Calibri"/>
        </w:rPr>
        <w:t xml:space="preserve"> </w:t>
      </w:r>
      <w:r w:rsidRPr="00C81184">
        <w:rPr>
          <w:rFonts w:eastAsia="Calibri"/>
          <w:bCs/>
        </w:rPr>
        <w:t>се формират основно от приходи от държавни, общински и съдебни такси, приходи и доходи от собственост, приходи от концесии, приходи от продажба на квоти за емисии на парникови газове и други</w:t>
      </w:r>
      <w:r w:rsidRPr="00C25B8B">
        <w:rPr>
          <w:rFonts w:eastAsia="Calibri"/>
          <w:color w:val="0070C0"/>
        </w:rPr>
        <w:t>.</w:t>
      </w:r>
      <w:r w:rsidRPr="00C25B8B">
        <w:rPr>
          <w:color w:val="0070C0"/>
        </w:rPr>
        <w:t xml:space="preserve"> </w:t>
      </w:r>
    </w:p>
    <w:p w:rsidR="00C35EB3" w:rsidRDefault="00C35EB3" w:rsidP="00C35EB3">
      <w:pPr>
        <w:spacing w:before="120" w:after="120"/>
        <w:jc w:val="both"/>
      </w:pPr>
      <w:r w:rsidRPr="009E65DC">
        <w:t xml:space="preserve">Постъпленията от </w:t>
      </w:r>
      <w:r w:rsidRPr="009E65DC">
        <w:rPr>
          <w:b/>
          <w:i/>
        </w:rPr>
        <w:t>помощи</w:t>
      </w:r>
      <w:r w:rsidRPr="009E65DC">
        <w:t xml:space="preserve"> </w:t>
      </w:r>
      <w:r w:rsidRPr="009E65DC">
        <w:rPr>
          <w:b/>
          <w:i/>
        </w:rPr>
        <w:t xml:space="preserve">и дарения </w:t>
      </w:r>
      <w:r w:rsidRPr="009E65DC">
        <w:t xml:space="preserve">от страната и чужбина (основно помощи от фондовете на ЕС) за 2025 г. са в размер </w:t>
      </w:r>
      <w:r w:rsidRPr="006F1EBE">
        <w:t xml:space="preserve">на </w:t>
      </w:r>
      <w:r w:rsidRPr="006F1EBE">
        <w:rPr>
          <w:b/>
          <w:i/>
        </w:rPr>
        <w:t>6 548,5 млн. лв</w:t>
      </w:r>
      <w:r w:rsidRPr="006F1EBE">
        <w:t>.</w:t>
      </w:r>
    </w:p>
    <w:p w:rsidR="001D21EB" w:rsidRDefault="001D21EB" w:rsidP="00C35EB3">
      <w:pPr>
        <w:spacing w:before="120" w:after="120"/>
        <w:jc w:val="both"/>
      </w:pPr>
    </w:p>
    <w:p w:rsidR="00C35EB3" w:rsidRPr="00C25B8B" w:rsidRDefault="00C35EB3" w:rsidP="00B13AC3">
      <w:pPr>
        <w:spacing w:before="120" w:after="120"/>
        <w:jc w:val="center"/>
        <w:rPr>
          <w:color w:val="0070C0"/>
        </w:rPr>
      </w:pPr>
      <w:r w:rsidRPr="00230EFC">
        <w:rPr>
          <w:rFonts w:eastAsia="Calibri"/>
          <w:noProof/>
          <w:color w:val="0070C0"/>
          <w:lang w:eastAsia="bg-BG"/>
        </w:rPr>
        <w:drawing>
          <wp:inline distT="0" distB="0" distL="0" distR="0" wp14:anchorId="01F5EF2F" wp14:editId="52E58868">
            <wp:extent cx="5695950" cy="2828925"/>
            <wp:effectExtent l="0" t="0" r="0" b="9525"/>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5EB3" w:rsidRPr="00C25B8B" w:rsidRDefault="00C35EB3" w:rsidP="00C35EB3">
      <w:pPr>
        <w:spacing w:before="120" w:after="120"/>
        <w:jc w:val="both"/>
        <w:rPr>
          <w:color w:val="0070C0"/>
          <w:sz w:val="12"/>
        </w:rPr>
      </w:pPr>
    </w:p>
    <w:p w:rsidR="00C35EB3" w:rsidRPr="00C25B8B" w:rsidRDefault="00C35EB3" w:rsidP="00C35EB3">
      <w:pPr>
        <w:jc w:val="both"/>
        <w:rPr>
          <w:color w:val="0070C0"/>
          <w:lang w:val="ru-RU"/>
        </w:rPr>
      </w:pPr>
      <w:bookmarkStart w:id="15" w:name="_MON_1562495641"/>
      <w:bookmarkStart w:id="16" w:name="_MON_1562495680"/>
      <w:bookmarkStart w:id="17" w:name="_MON_1562495725"/>
      <w:bookmarkStart w:id="18" w:name="_MON_1562495759"/>
      <w:bookmarkStart w:id="19" w:name="_MON_1562495782"/>
      <w:bookmarkStart w:id="20" w:name="_MON_1562495848"/>
      <w:bookmarkStart w:id="21" w:name="_MON_1562495926"/>
      <w:bookmarkStart w:id="22" w:name="_MON_1562495995"/>
      <w:bookmarkStart w:id="23" w:name="_MON_1562496100"/>
      <w:bookmarkStart w:id="24" w:name="_MON_1562496172"/>
      <w:bookmarkStart w:id="25" w:name="_MON_1562496201"/>
      <w:bookmarkStart w:id="26" w:name="_MON_1562496223"/>
      <w:bookmarkStart w:id="27" w:name="_MON_1562496546"/>
      <w:bookmarkStart w:id="28" w:name="_MON_1562494801"/>
      <w:bookmarkStart w:id="29" w:name="_MON_1562575628"/>
      <w:bookmarkStart w:id="30" w:name="_MON_1562575824"/>
      <w:bookmarkStart w:id="31" w:name="_MON_1562575867"/>
      <w:bookmarkStart w:id="32" w:name="_MON_1562494914"/>
      <w:bookmarkStart w:id="33" w:name="_MON_1562495064"/>
      <w:bookmarkStart w:id="34" w:name="_MON_1562495152"/>
      <w:bookmarkStart w:id="35" w:name="_MON_1562495221"/>
      <w:bookmarkStart w:id="36" w:name="_MON_1562495389"/>
      <w:bookmarkStart w:id="37" w:name="_MON_1522508180"/>
      <w:bookmarkStart w:id="38" w:name="_MON_1522508239"/>
      <w:bookmarkStart w:id="39" w:name="_MON_1522508269"/>
      <w:bookmarkStart w:id="40" w:name="_MON_1522508157"/>
      <w:bookmarkStart w:id="41" w:name="_MON_1549360449"/>
      <w:bookmarkStart w:id="42" w:name="_MON_1549360548"/>
      <w:bookmarkStart w:id="43" w:name="_MON_1549360567"/>
      <w:bookmarkStart w:id="44" w:name="_MON_1562165742"/>
      <w:bookmarkStart w:id="45" w:name="_MON_1562165832"/>
      <w:bookmarkStart w:id="46" w:name="_MON_1562165842"/>
      <w:bookmarkStart w:id="47" w:name="_MON_1562166008"/>
      <w:bookmarkStart w:id="48" w:name="_MON_1562166044"/>
      <w:bookmarkStart w:id="49" w:name="_MON_1522569064"/>
      <w:bookmarkStart w:id="50" w:name="_MON_152256926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985D73">
        <w:rPr>
          <w:rFonts w:eastAsia="Calibri"/>
          <w:b/>
        </w:rPr>
        <w:t>Разходите</w:t>
      </w:r>
      <w:r w:rsidRPr="00985D73">
        <w:rPr>
          <w:rFonts w:eastAsia="Calibri"/>
        </w:rPr>
        <w:t xml:space="preserve"> по КФП (вкл. вноската в бюджета на ЕС) към декември 202</w:t>
      </w:r>
      <w:r w:rsidRPr="00985D73">
        <w:rPr>
          <w:rFonts w:eastAsia="Calibri"/>
          <w:lang w:val="ru-RU"/>
        </w:rPr>
        <w:t>5</w:t>
      </w:r>
      <w:r w:rsidRPr="00985D73">
        <w:rPr>
          <w:rFonts w:eastAsia="Calibri"/>
        </w:rPr>
        <w:t xml:space="preserve"> г. възлизат на </w:t>
      </w:r>
      <w:r w:rsidRPr="00985D73">
        <w:rPr>
          <w:rFonts w:eastAsia="Calibri"/>
          <w:b/>
          <w:lang w:val="ru-RU"/>
        </w:rPr>
        <w:t xml:space="preserve">92 914,5 </w:t>
      </w:r>
      <w:r w:rsidRPr="003309D6">
        <w:rPr>
          <w:rFonts w:eastAsia="Calibri"/>
          <w:b/>
        </w:rPr>
        <w:t xml:space="preserve">млн. лв., </w:t>
      </w:r>
      <w:r w:rsidRPr="003309D6">
        <w:rPr>
          <w:rFonts w:eastAsia="Calibri"/>
        </w:rPr>
        <w:t>което е 96,1 % от годишните разчети.</w:t>
      </w:r>
      <w:r w:rsidRPr="003309D6">
        <w:rPr>
          <w:rFonts w:eastAsia="Calibri"/>
          <w:b/>
        </w:rPr>
        <w:t xml:space="preserve"> </w:t>
      </w:r>
      <w:r w:rsidR="00FA1687" w:rsidRPr="00FA1687">
        <w:rPr>
          <w:rFonts w:eastAsia="Calibri"/>
          <w:lang w:val="ru-RU"/>
        </w:rPr>
        <w:t xml:space="preserve">За сравнение, разходите по КФП за 2024 г. бяха в размер на 78 178,8 млн. лв., като следва да бъде взето предвид, че през месец февруари 2024 г. има отчетена трансакция по възстановяване на разходи от сметка за чужди средства на Министерството на регионалното развитие и благоустройството обратно към бюджета на министерството  в размер на 1 200,0 млн. лв. При елиминирането на тази трансакция, с оглед съпоставимост на данните с 2024 г., разходите за 2025 г. нарастват с 13 535,7 млн. лв. (17,1 %). Този ръст се дължи основно на нарастването при социалните и здравноосигурителните разходи (с 4 141,6 млн. лв. или 11,9 на сто повече), както и при разходите за персонал (с 4 050,4 млн. лв. или 20 на сто повече), капиталовите разходи и </w:t>
      </w:r>
      <w:r w:rsidR="008844D2">
        <w:rPr>
          <w:rFonts w:eastAsia="Calibri"/>
          <w:lang w:val="ru-RU"/>
        </w:rPr>
        <w:t>капиталови</w:t>
      </w:r>
      <w:r w:rsidR="008844D2" w:rsidRPr="006F6A51">
        <w:rPr>
          <w:rFonts w:eastAsia="Calibri"/>
          <w:lang w:val="ru-RU"/>
        </w:rPr>
        <w:t xml:space="preserve"> </w:t>
      </w:r>
      <w:r w:rsidR="00FA1687" w:rsidRPr="00FA1687">
        <w:rPr>
          <w:rFonts w:eastAsia="Calibri"/>
          <w:lang w:val="ru-RU"/>
        </w:rPr>
        <w:t>трансфери (3 514,6 мл</w:t>
      </w:r>
      <w:r w:rsidR="000D50EA">
        <w:rPr>
          <w:rFonts w:eastAsia="Calibri"/>
          <w:lang w:val="ru-RU"/>
        </w:rPr>
        <w:t>н</w:t>
      </w:r>
      <w:r w:rsidR="00FA1687" w:rsidRPr="00FA1687">
        <w:rPr>
          <w:rFonts w:eastAsia="Calibri"/>
          <w:lang w:val="ru-RU"/>
        </w:rPr>
        <w:t>. лв. или с 43,9</w:t>
      </w:r>
      <w:r w:rsidR="000D50EA">
        <w:rPr>
          <w:rFonts w:eastAsia="Calibri"/>
          <w:lang w:val="ru-RU"/>
        </w:rPr>
        <w:t> </w:t>
      </w:r>
      <w:r w:rsidR="00FA1687" w:rsidRPr="00FA1687">
        <w:rPr>
          <w:rFonts w:eastAsia="Calibri"/>
          <w:lang w:val="ru-RU"/>
        </w:rPr>
        <w:t xml:space="preserve">на сто повече на съпоставима база) и други. Данните покават, че високият ръст при капиталовите разходи се дължи основно на значителното нарастване на плащанията за проектите по сметките за средства от ЕС, като само по Плана за възстановяване и устойчивост (ПВУ) разходите и предоставените трансфери от Националния фонд към бенефициентите са в размер на 2 790,7 млн. лв. </w:t>
      </w:r>
      <w:r w:rsidR="00E23D2E" w:rsidRPr="00716262">
        <w:rPr>
          <w:rFonts w:eastAsia="Calibri"/>
          <w:lang w:val="ru-RU"/>
        </w:rPr>
        <w:t xml:space="preserve">Това означава, че само през 2025 г. разходите по ПВУ са близо два пъти по-високи спрямо общо отчетените плащания за предходните две години, което е резултат от ускореното изпълнение по проектите </w:t>
      </w:r>
      <w:r w:rsidR="00E23D2E">
        <w:rPr>
          <w:rFonts w:eastAsia="Calibri"/>
          <w:lang w:val="ru-RU"/>
        </w:rPr>
        <w:t xml:space="preserve">по ПВУ </w:t>
      </w:r>
      <w:r w:rsidR="00E23D2E" w:rsidRPr="00716262">
        <w:rPr>
          <w:rFonts w:eastAsia="Calibri"/>
          <w:lang w:val="ru-RU"/>
        </w:rPr>
        <w:t>през изминалата година</w:t>
      </w:r>
      <w:r w:rsidRPr="00C25B8B">
        <w:rPr>
          <w:color w:val="0070C0"/>
        </w:rPr>
        <w:t>.</w:t>
      </w:r>
      <w:r w:rsidRPr="00C25B8B">
        <w:rPr>
          <w:color w:val="0070C0"/>
          <w:lang w:val="ru-RU"/>
        </w:rPr>
        <w:t xml:space="preserve">  </w:t>
      </w:r>
    </w:p>
    <w:p w:rsidR="00C35EB3" w:rsidRPr="00C25B8B" w:rsidRDefault="00C35EB3" w:rsidP="00C35EB3">
      <w:pPr>
        <w:spacing w:before="120" w:after="120"/>
        <w:jc w:val="both"/>
        <w:rPr>
          <w:color w:val="0070C0"/>
        </w:rPr>
      </w:pPr>
      <w:r w:rsidRPr="00EA1249">
        <w:rPr>
          <w:b/>
          <w:i/>
        </w:rPr>
        <w:t>Нелихвените разходи</w:t>
      </w:r>
      <w:r w:rsidRPr="00EA1249">
        <w:t xml:space="preserve"> </w:t>
      </w:r>
      <w:r>
        <w:t>за</w:t>
      </w:r>
      <w:r w:rsidRPr="00EA1249">
        <w:t xml:space="preserve"> 2025 г. са в размер на 89 436,8 млн. лв.</w:t>
      </w:r>
      <w:r w:rsidRPr="00EA1249">
        <w:rPr>
          <w:rFonts w:eastAsia="Calibri"/>
          <w:bCs/>
        </w:rPr>
        <w:t xml:space="preserve">, което представлява </w:t>
      </w:r>
      <w:r w:rsidRPr="00EA489E">
        <w:rPr>
          <w:rFonts w:eastAsia="Calibri"/>
          <w:bCs/>
        </w:rPr>
        <w:t xml:space="preserve">96,5 % от годишния разчет </w:t>
      </w:r>
      <w:r w:rsidRPr="00EA489E">
        <w:t xml:space="preserve">и ръст на съпоставима база от 12 659,2 млн. лв. (16,5 %) спрямо </w:t>
      </w:r>
      <w:r w:rsidRPr="00AF141A">
        <w:t xml:space="preserve">отчетените към декември 2024 г. </w:t>
      </w:r>
      <w:r w:rsidRPr="00AF141A">
        <w:rPr>
          <w:i/>
        </w:rPr>
        <w:t>Текущите нелихвени разходи</w:t>
      </w:r>
      <w:r w:rsidRPr="00AF141A">
        <w:t xml:space="preserve"> са в размер на 77 849,9 млн. лв. </w:t>
      </w:r>
      <w:r w:rsidRPr="00AF141A">
        <w:rPr>
          <w:i/>
        </w:rPr>
        <w:t>Капиталовите разходи</w:t>
      </w:r>
      <w:r w:rsidRPr="00AF141A">
        <w:t xml:space="preserve"> (вкл. нетния прираст на държавния резерв) възлизат на 11 517,0 млн. лв. </w:t>
      </w:r>
      <w:r w:rsidRPr="00245086">
        <w:rPr>
          <w:i/>
        </w:rPr>
        <w:t>Предоставените текущи и капиталови трансфери за чужбина</w:t>
      </w:r>
      <w:r w:rsidRPr="00245086">
        <w:t xml:space="preserve"> са в размер на 69,9 млн. лв. </w:t>
      </w:r>
      <w:r w:rsidRPr="007E4186">
        <w:rPr>
          <w:b/>
          <w:i/>
        </w:rPr>
        <w:t>Лихвените плащания</w:t>
      </w:r>
      <w:r w:rsidRPr="007E4186">
        <w:t xml:space="preserve"> са в размер на 1 441,7 млн. лв. </w:t>
      </w:r>
      <w:r w:rsidRPr="007E4186">
        <w:rPr>
          <w:bCs/>
        </w:rPr>
        <w:t>(88,8 % от планираните за годината и ръст от 432,7 млн. лв. спрямо 2024 г.</w:t>
      </w:r>
      <w:r>
        <w:rPr>
          <w:bCs/>
          <w:lang w:val="en-US"/>
        </w:rPr>
        <w:t>)</w:t>
      </w:r>
      <w:r w:rsidRPr="00C25B8B">
        <w:rPr>
          <w:color w:val="0070C0"/>
        </w:rPr>
        <w:t>.</w:t>
      </w:r>
    </w:p>
    <w:p w:rsidR="00C35EB3" w:rsidRDefault="00C35EB3" w:rsidP="00C35EB3">
      <w:pPr>
        <w:spacing w:before="120"/>
        <w:jc w:val="both"/>
      </w:pPr>
      <w:r w:rsidRPr="00AE1F02">
        <w:lastRenderedPageBreak/>
        <w:t>Разходите по КФП по основните разходни групи за 2024 г. и 2025 г. са представени на следната графика:</w:t>
      </w:r>
    </w:p>
    <w:p w:rsidR="00C35EB3" w:rsidRPr="00AE1F02" w:rsidRDefault="00C35EB3" w:rsidP="00137162">
      <w:pPr>
        <w:spacing w:before="120"/>
        <w:jc w:val="center"/>
      </w:pPr>
      <w:r w:rsidRPr="00230EFC">
        <w:rPr>
          <w:noProof/>
          <w:color w:val="0070C0"/>
          <w:lang w:eastAsia="bg-BG"/>
        </w:rPr>
        <w:drawing>
          <wp:inline distT="0" distB="0" distL="0" distR="0" wp14:anchorId="4AAEEFAD" wp14:editId="342D8DED">
            <wp:extent cx="6042660" cy="3097530"/>
            <wp:effectExtent l="0" t="0" r="15240" b="762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5EB3" w:rsidRPr="00B23BF3" w:rsidRDefault="00C35EB3" w:rsidP="00C35EB3">
      <w:pPr>
        <w:spacing w:before="120" w:after="120"/>
        <w:jc w:val="both"/>
        <w:rPr>
          <w:sz w:val="18"/>
          <w:szCs w:val="14"/>
        </w:rPr>
      </w:pPr>
      <w:bookmarkStart w:id="51" w:name="_MON_1549378791"/>
      <w:bookmarkStart w:id="52" w:name="_MON_1522508435"/>
      <w:bookmarkStart w:id="53" w:name="_MON_1522508500"/>
      <w:bookmarkStart w:id="54" w:name="_MON_1522508578"/>
      <w:bookmarkStart w:id="55" w:name="_MON_1522508396"/>
      <w:bookmarkStart w:id="56" w:name="_MON_1562166431"/>
      <w:bookmarkStart w:id="57" w:name="_MON_1562166533"/>
      <w:bookmarkStart w:id="58" w:name="_MON_1562166556"/>
      <w:bookmarkStart w:id="59" w:name="_MON_1562166578"/>
      <w:bookmarkStart w:id="60" w:name="_MON_1522569336"/>
      <w:bookmarkStart w:id="61" w:name="_MON_1541257307"/>
      <w:bookmarkStart w:id="62" w:name="_MON_1541257332"/>
      <w:bookmarkStart w:id="63" w:name="_MON_1522569451"/>
      <w:bookmarkStart w:id="64" w:name="_MON_1522569507"/>
      <w:bookmarkStart w:id="65" w:name="_MON_1549376308"/>
      <w:bookmarkStart w:id="66" w:name="_MON_1549378514"/>
      <w:bookmarkStart w:id="67" w:name="_MON_1549378678"/>
      <w:bookmarkStart w:id="68" w:name="_MON_154937872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23BF3">
        <w:rPr>
          <w:sz w:val="18"/>
          <w:szCs w:val="14"/>
          <w:lang w:val="ru-RU"/>
        </w:rPr>
        <w:t xml:space="preserve">*  </w:t>
      </w:r>
      <w:r w:rsidRPr="00B23BF3">
        <w:rPr>
          <w:sz w:val="18"/>
          <w:szCs w:val="14"/>
        </w:rPr>
        <w:t>Вкл. нетния прираст на държавния резерв</w:t>
      </w:r>
    </w:p>
    <w:p w:rsidR="00C35EB3" w:rsidRPr="00C25B8B" w:rsidRDefault="00C35EB3" w:rsidP="00C35EB3">
      <w:pPr>
        <w:spacing w:before="120" w:after="120"/>
        <w:jc w:val="both"/>
        <w:rPr>
          <w:color w:val="0070C0"/>
          <w:sz w:val="14"/>
          <w:szCs w:val="14"/>
        </w:rPr>
      </w:pPr>
    </w:p>
    <w:p w:rsidR="00C35EB3" w:rsidRPr="00020053" w:rsidRDefault="00C35EB3" w:rsidP="00C35EB3">
      <w:pPr>
        <w:pStyle w:val="ListParagraph"/>
        <w:numPr>
          <w:ilvl w:val="0"/>
          <w:numId w:val="19"/>
        </w:numPr>
        <w:tabs>
          <w:tab w:val="left" w:pos="426"/>
        </w:tabs>
        <w:spacing w:before="120" w:line="240" w:lineRule="auto"/>
        <w:ind w:left="0" w:firstLine="0"/>
        <w:contextualSpacing w:val="0"/>
        <w:rPr>
          <w:rFonts w:ascii="Times New Roman" w:hAnsi="Times New Roman"/>
        </w:rPr>
      </w:pPr>
      <w:r w:rsidRPr="00020053">
        <w:rPr>
          <w:rFonts w:ascii="Times New Roman" w:hAnsi="Times New Roman"/>
          <w:b/>
        </w:rPr>
        <w:t>Вноската на Република България в общия бюджет на ЕС</w:t>
      </w:r>
      <w:r w:rsidRPr="00020053">
        <w:rPr>
          <w:rFonts w:ascii="Times New Roman" w:hAnsi="Times New Roman"/>
        </w:rPr>
        <w:t xml:space="preserve">, изплатена </w:t>
      </w:r>
      <w:r w:rsidRPr="00020053">
        <w:rPr>
          <w:rFonts w:ascii="Times New Roman" w:eastAsia="Calibri" w:hAnsi="Times New Roman"/>
          <w:bCs/>
        </w:rPr>
        <w:t xml:space="preserve">към 31.12.2025 г. от централния бюджет, възлиза на </w:t>
      </w:r>
      <w:r w:rsidRPr="00020053">
        <w:rPr>
          <w:rFonts w:ascii="Times New Roman" w:eastAsia="Calibri" w:hAnsi="Times New Roman"/>
          <w:b/>
          <w:bCs/>
          <w:lang w:val="ru-RU"/>
        </w:rPr>
        <w:t xml:space="preserve">2 036,0 </w:t>
      </w:r>
      <w:r w:rsidRPr="00020053">
        <w:rPr>
          <w:rFonts w:ascii="Times New Roman" w:eastAsia="Calibri" w:hAnsi="Times New Roman"/>
          <w:b/>
          <w:bCs/>
        </w:rPr>
        <w:t>млн. лв.</w:t>
      </w:r>
      <w:r w:rsidRPr="00020053">
        <w:rPr>
          <w:rFonts w:ascii="Times New Roman" w:hAnsi="Times New Roman"/>
          <w:bCs/>
        </w:rPr>
        <w:t>, което е в изпълнение на действащото към момента законодателство в областта на собствените ресурси на ЕС</w:t>
      </w:r>
      <w:r w:rsidRPr="00020053">
        <w:rPr>
          <w:rFonts w:ascii="Times New Roman" w:hAnsi="Times New Roman"/>
        </w:rPr>
        <w:t xml:space="preserve">. </w:t>
      </w:r>
    </w:p>
    <w:p w:rsidR="00C35EB3" w:rsidRPr="00020053" w:rsidRDefault="00C35EB3" w:rsidP="00C35EB3">
      <w:pPr>
        <w:pStyle w:val="ListParagraph"/>
        <w:numPr>
          <w:ilvl w:val="0"/>
          <w:numId w:val="19"/>
        </w:numPr>
        <w:tabs>
          <w:tab w:val="left" w:pos="426"/>
        </w:tabs>
        <w:autoSpaceDE w:val="0"/>
        <w:autoSpaceDN w:val="0"/>
        <w:adjustRightInd w:val="0"/>
        <w:spacing w:line="240" w:lineRule="auto"/>
        <w:ind w:left="0" w:firstLine="0"/>
        <w:rPr>
          <w:rFonts w:ascii="Times New Roman" w:hAnsi="Times New Roman"/>
        </w:rPr>
      </w:pPr>
      <w:r w:rsidRPr="00020053">
        <w:rPr>
          <w:rFonts w:ascii="Times New Roman" w:hAnsi="Times New Roman"/>
          <w:b/>
        </w:rPr>
        <w:t xml:space="preserve">Бюджетното салдо </w:t>
      </w:r>
      <w:r w:rsidRPr="00020053">
        <w:rPr>
          <w:rFonts w:ascii="Times New Roman" w:hAnsi="Times New Roman"/>
          <w:bCs/>
        </w:rPr>
        <w:t xml:space="preserve">по консолидираната фискална програма </w:t>
      </w:r>
      <w:r w:rsidRPr="00020053">
        <w:rPr>
          <w:rFonts w:ascii="Times New Roman" w:hAnsi="Times New Roman"/>
        </w:rPr>
        <w:t>за 2025 г.</w:t>
      </w:r>
      <w:r w:rsidRPr="00020053">
        <w:rPr>
          <w:rFonts w:ascii="Times New Roman" w:hAnsi="Times New Roman"/>
          <w:bCs/>
        </w:rPr>
        <w:t xml:space="preserve"> е </w:t>
      </w:r>
      <w:r w:rsidRPr="00020053">
        <w:rPr>
          <w:rFonts w:ascii="Times New Roman" w:hAnsi="Times New Roman"/>
          <w:b/>
          <w:bCs/>
        </w:rPr>
        <w:t>отрицателно</w:t>
      </w:r>
      <w:r w:rsidRPr="00020053">
        <w:rPr>
          <w:rFonts w:ascii="Times New Roman" w:hAnsi="Times New Roman"/>
          <w:bCs/>
        </w:rPr>
        <w:t xml:space="preserve"> в </w:t>
      </w:r>
      <w:r w:rsidRPr="00A00330">
        <w:rPr>
          <w:rFonts w:ascii="Times New Roman" w:hAnsi="Times New Roman"/>
          <w:bCs/>
        </w:rPr>
        <w:t xml:space="preserve">размер на </w:t>
      </w:r>
      <w:r w:rsidRPr="00A00330">
        <w:rPr>
          <w:rFonts w:ascii="Times New Roman" w:hAnsi="Times New Roman"/>
          <w:b/>
          <w:bCs/>
        </w:rPr>
        <w:t>6 828,3 млн. лв</w:t>
      </w:r>
      <w:r w:rsidRPr="00B44208">
        <w:rPr>
          <w:rFonts w:ascii="Times New Roman" w:hAnsi="Times New Roman"/>
          <w:b/>
          <w:bCs/>
        </w:rPr>
        <w:t>.</w:t>
      </w:r>
      <w:r w:rsidR="00952CF9">
        <w:rPr>
          <w:rFonts w:ascii="Times New Roman" w:hAnsi="Times New Roman"/>
          <w:b/>
          <w:bCs/>
        </w:rPr>
        <w:t xml:space="preserve">, </w:t>
      </w:r>
      <w:r w:rsidR="00952CF9" w:rsidRPr="00952CF9">
        <w:rPr>
          <w:rFonts w:ascii="Times New Roman" w:hAnsi="Times New Roman"/>
          <w:bCs/>
        </w:rPr>
        <w:t>което представлява</w:t>
      </w:r>
      <w:r w:rsidRPr="00B44208">
        <w:rPr>
          <w:rFonts w:ascii="Times New Roman" w:hAnsi="Times New Roman"/>
          <w:bCs/>
        </w:rPr>
        <w:t xml:space="preserve"> 3,</w:t>
      </w:r>
      <w:r w:rsidR="00C22CFE" w:rsidRPr="00B44208">
        <w:rPr>
          <w:rFonts w:ascii="Times New Roman" w:hAnsi="Times New Roman"/>
          <w:bCs/>
        </w:rPr>
        <w:t xml:space="preserve">0 </w:t>
      </w:r>
      <w:r w:rsidRPr="00B44208">
        <w:rPr>
          <w:rFonts w:ascii="Times New Roman" w:hAnsi="Times New Roman"/>
          <w:bCs/>
        </w:rPr>
        <w:t>% от БВП</w:t>
      </w:r>
      <w:r w:rsidR="00952CF9" w:rsidRPr="00952CF9">
        <w:rPr>
          <w:color w:val="000000" w:themeColor="text1"/>
          <w:szCs w:val="24"/>
        </w:rPr>
        <w:t xml:space="preserve"> </w:t>
      </w:r>
      <w:r w:rsidR="00952CF9" w:rsidRPr="00952CF9">
        <w:rPr>
          <w:rFonts w:ascii="Times New Roman" w:hAnsi="Times New Roman"/>
          <w:bCs/>
        </w:rPr>
        <w:t xml:space="preserve">(БВП, вкл. за </w:t>
      </w:r>
      <w:r w:rsidR="00AE6CA9">
        <w:rPr>
          <w:rFonts w:ascii="Times New Roman" w:hAnsi="Times New Roman"/>
          <w:bCs/>
        </w:rPr>
        <w:t>IV тримесечие на 2025 </w:t>
      </w:r>
      <w:bookmarkStart w:id="69" w:name="_GoBack"/>
      <w:bookmarkEnd w:id="69"/>
      <w:r w:rsidR="00952CF9" w:rsidRPr="00952CF9">
        <w:rPr>
          <w:rFonts w:ascii="Times New Roman" w:hAnsi="Times New Roman"/>
          <w:bCs/>
        </w:rPr>
        <w:t>г. - експресни оценки на НСИ публикувани на 13.02.2026 г.).</w:t>
      </w:r>
      <w:r w:rsidRPr="00B44208">
        <w:rPr>
          <w:rFonts w:ascii="Times New Roman" w:hAnsi="Times New Roman"/>
          <w:bCs/>
        </w:rPr>
        <w:t xml:space="preserve"> </w:t>
      </w:r>
      <w:r w:rsidR="00342901" w:rsidRPr="00B44208">
        <w:rPr>
          <w:rFonts w:ascii="Times New Roman" w:hAnsi="Times New Roman"/>
          <w:bCs/>
        </w:rPr>
        <w:t>Предвид</w:t>
      </w:r>
      <w:r w:rsidR="00342901" w:rsidRPr="00342901">
        <w:rPr>
          <w:rFonts w:ascii="Times New Roman" w:hAnsi="Times New Roman"/>
          <w:bCs/>
        </w:rPr>
        <w:t xml:space="preserve"> предизвикателствата, в хода на изпълнението на бюджета бяха положени </w:t>
      </w:r>
      <w:r w:rsidR="00EF1A80" w:rsidRPr="00342901">
        <w:rPr>
          <w:rFonts w:ascii="Times New Roman" w:hAnsi="Times New Roman"/>
          <w:bCs/>
        </w:rPr>
        <w:t>с</w:t>
      </w:r>
      <w:r w:rsidR="00EF1A80">
        <w:rPr>
          <w:rFonts w:ascii="Times New Roman" w:hAnsi="Times New Roman"/>
          <w:bCs/>
        </w:rPr>
        <w:t>ъществени</w:t>
      </w:r>
      <w:r w:rsidR="00EF1A80" w:rsidRPr="00342901">
        <w:rPr>
          <w:rFonts w:ascii="Times New Roman" w:hAnsi="Times New Roman"/>
          <w:bCs/>
        </w:rPr>
        <w:t xml:space="preserve"> </w:t>
      </w:r>
      <w:r w:rsidR="00342901" w:rsidRPr="00342901">
        <w:rPr>
          <w:rFonts w:ascii="Times New Roman" w:hAnsi="Times New Roman"/>
          <w:bCs/>
        </w:rPr>
        <w:t>усилия както по отношение на увеличаването събираемостта на приходите, така и за спазване на бюджетната дисциплина по отношение на разходите</w:t>
      </w:r>
      <w:r w:rsidRPr="00342901">
        <w:rPr>
          <w:rFonts w:ascii="Times New Roman" w:hAnsi="Times New Roman"/>
          <w:bCs/>
        </w:rPr>
        <w:t>.</w:t>
      </w:r>
    </w:p>
    <w:p w:rsidR="00C35EB3" w:rsidRPr="00D66B2B" w:rsidRDefault="00C35EB3" w:rsidP="00C35EB3">
      <w:pPr>
        <w:numPr>
          <w:ilvl w:val="0"/>
          <w:numId w:val="7"/>
        </w:numPr>
        <w:tabs>
          <w:tab w:val="num" w:pos="0"/>
          <w:tab w:val="left" w:pos="426"/>
          <w:tab w:val="left" w:pos="720"/>
        </w:tabs>
        <w:spacing w:before="120" w:after="60"/>
        <w:ind w:left="0" w:firstLine="0"/>
        <w:jc w:val="both"/>
        <w:rPr>
          <w:sz w:val="22"/>
        </w:rPr>
      </w:pPr>
      <w:r w:rsidRPr="00020053">
        <w:rPr>
          <w:b/>
          <w:szCs w:val="28"/>
        </w:rPr>
        <w:t>Общият размер</w:t>
      </w:r>
      <w:r w:rsidRPr="00020053">
        <w:rPr>
          <w:bCs/>
          <w:sz w:val="22"/>
        </w:rPr>
        <w:t xml:space="preserve"> </w:t>
      </w:r>
      <w:r w:rsidRPr="00020053">
        <w:rPr>
          <w:b/>
          <w:bCs/>
          <w:szCs w:val="28"/>
        </w:rPr>
        <w:t>на касовите постъпления от ЕС</w:t>
      </w:r>
      <w:r w:rsidRPr="00020053">
        <w:rPr>
          <w:bCs/>
          <w:szCs w:val="28"/>
        </w:rPr>
        <w:t xml:space="preserve"> (от Структурните и Кохезионния фондове, от</w:t>
      </w:r>
      <w:r w:rsidRPr="00020053">
        <w:rPr>
          <w:szCs w:val="28"/>
        </w:rPr>
        <w:t xml:space="preserve"> ЕЗФРСР </w:t>
      </w:r>
      <w:r w:rsidRPr="009924D8">
        <w:rPr>
          <w:szCs w:val="28"/>
        </w:rPr>
        <w:t>и ЕФМДР</w:t>
      </w:r>
      <w:r w:rsidRPr="009924D8">
        <w:rPr>
          <w:bCs/>
          <w:szCs w:val="28"/>
        </w:rPr>
        <w:t xml:space="preserve">, от средства за директни плащания към земеделските производители и плащания по пазарни мерки и др.) за </w:t>
      </w:r>
      <w:r w:rsidRPr="009924D8">
        <w:t>2025 </w:t>
      </w:r>
      <w:r w:rsidRPr="009924D8">
        <w:rPr>
          <w:bCs/>
          <w:szCs w:val="28"/>
        </w:rPr>
        <w:t xml:space="preserve"> г. е </w:t>
      </w:r>
      <w:r w:rsidRPr="009924D8">
        <w:rPr>
          <w:b/>
          <w:bCs/>
          <w:szCs w:val="28"/>
          <w:lang w:val="ru-RU"/>
        </w:rPr>
        <w:t>7 882,5</w:t>
      </w:r>
      <w:r w:rsidRPr="009924D8">
        <w:rPr>
          <w:b/>
          <w:bCs/>
          <w:szCs w:val="28"/>
        </w:rPr>
        <w:t xml:space="preserve"> млн. лв.</w:t>
      </w:r>
      <w:r w:rsidRPr="009924D8">
        <w:rPr>
          <w:b/>
          <w:szCs w:val="28"/>
        </w:rPr>
        <w:t xml:space="preserve"> </w:t>
      </w:r>
      <w:r w:rsidRPr="009924D8">
        <w:rPr>
          <w:b/>
          <w:bCs/>
          <w:szCs w:val="28"/>
        </w:rPr>
        <w:t xml:space="preserve">Нетните постъпления от ЕС за 2025 г. </w:t>
      </w:r>
      <w:r w:rsidRPr="009924D8">
        <w:rPr>
          <w:bCs/>
          <w:szCs w:val="28"/>
        </w:rPr>
        <w:t xml:space="preserve">(касови постъпления от ЕС, намалени с вноската в общия </w:t>
      </w:r>
      <w:r w:rsidRPr="00D66B2B">
        <w:rPr>
          <w:bCs/>
          <w:szCs w:val="28"/>
        </w:rPr>
        <w:t xml:space="preserve">бюджет на ЕС) са положителни в размер на </w:t>
      </w:r>
      <w:r w:rsidRPr="00D66B2B">
        <w:rPr>
          <w:b/>
          <w:bCs/>
          <w:szCs w:val="28"/>
        </w:rPr>
        <w:t>5 846,5 млн. лева</w:t>
      </w:r>
      <w:r w:rsidRPr="00D66B2B">
        <w:rPr>
          <w:sz w:val="22"/>
        </w:rPr>
        <w:t>.</w:t>
      </w:r>
    </w:p>
    <w:p w:rsidR="00C35EB3" w:rsidRPr="00D66B2B" w:rsidRDefault="00C35EB3" w:rsidP="00C35EB3">
      <w:pPr>
        <w:pStyle w:val="ListParagraph"/>
        <w:numPr>
          <w:ilvl w:val="0"/>
          <w:numId w:val="31"/>
        </w:numPr>
        <w:tabs>
          <w:tab w:val="left" w:pos="426"/>
          <w:tab w:val="left" w:pos="567"/>
          <w:tab w:val="left" w:pos="2694"/>
        </w:tabs>
        <w:spacing w:before="120" w:line="240" w:lineRule="auto"/>
        <w:ind w:left="0" w:firstLine="0"/>
        <w:contextualSpacing w:val="0"/>
        <w:rPr>
          <w:rFonts w:ascii="Times New Roman" w:hAnsi="Times New Roman"/>
          <w:bCs/>
        </w:rPr>
      </w:pPr>
      <w:r w:rsidRPr="00D66B2B">
        <w:rPr>
          <w:rFonts w:ascii="Times New Roman" w:hAnsi="Times New Roman"/>
          <w:b/>
        </w:rPr>
        <w:t>Фискалният резерв</w:t>
      </w:r>
      <w:r w:rsidRPr="00D66B2B">
        <w:rPr>
          <w:rFonts w:ascii="Times New Roman" w:hAnsi="Times New Roman"/>
          <w:b/>
          <w:vertAlign w:val="superscript"/>
          <w:lang w:eastAsia="bg-BG"/>
        </w:rPr>
        <w:footnoteReference w:id="7"/>
      </w:r>
      <w:r w:rsidRPr="00D66B2B">
        <w:rPr>
          <w:rFonts w:ascii="Times New Roman" w:hAnsi="Times New Roman"/>
          <w:bCs/>
          <w:lang w:eastAsia="bg-BG"/>
        </w:rPr>
        <w:t xml:space="preserve"> </w:t>
      </w:r>
      <w:r w:rsidRPr="00D66B2B">
        <w:rPr>
          <w:rFonts w:ascii="Times New Roman" w:hAnsi="Times New Roman"/>
          <w:bCs/>
        </w:rPr>
        <w:t xml:space="preserve">към 31.12.2025 г. е </w:t>
      </w:r>
      <w:r w:rsidRPr="00D66B2B">
        <w:rPr>
          <w:rFonts w:ascii="Times New Roman" w:hAnsi="Times New Roman"/>
          <w:b/>
          <w:bCs/>
        </w:rPr>
        <w:t>17 467,038 млн. лв.</w:t>
      </w:r>
      <w:r w:rsidRPr="00D66B2B">
        <w:rPr>
          <w:rFonts w:ascii="Times New Roman" w:hAnsi="Times New Roman"/>
          <w:bCs/>
        </w:rPr>
        <w:t xml:space="preserve">, в т. ч. 14 865,883 млн. лв. депозити на фискалния резерв в БНБ и банки и 2 601,155 млн. лв. вземания от фондовете на Европейския съюз за сертифицирани разходи, аванси и други. </w:t>
      </w:r>
      <w:r w:rsidRPr="00D66B2B">
        <w:rPr>
          <w:rFonts w:ascii="Times New Roman" w:hAnsi="Times New Roman"/>
          <w:bCs/>
        </w:rPr>
        <w:br w:type="page"/>
      </w:r>
    </w:p>
    <w:p w:rsidR="00C35EB3" w:rsidRPr="00C953E3" w:rsidRDefault="00C35EB3" w:rsidP="00C35EB3">
      <w:pPr>
        <w:pStyle w:val="Heading1"/>
        <w:numPr>
          <w:ilvl w:val="0"/>
          <w:numId w:val="8"/>
        </w:numPr>
        <w:spacing w:before="360"/>
        <w:ind w:left="533" w:right="-108" w:hanging="391"/>
        <w:jc w:val="both"/>
        <w:rPr>
          <w:sz w:val="24"/>
        </w:rPr>
      </w:pPr>
      <w:r w:rsidRPr="00C953E3">
        <w:rPr>
          <w:sz w:val="24"/>
        </w:rPr>
        <w:lastRenderedPageBreak/>
        <w:t>Изпълнение на държавния бюджет</w:t>
      </w:r>
      <w:r w:rsidRPr="00C953E3">
        <w:rPr>
          <w:sz w:val="24"/>
          <w:vertAlign w:val="superscript"/>
          <w:lang w:eastAsia="bg-BG"/>
        </w:rPr>
        <w:footnoteReference w:id="8"/>
      </w:r>
      <w:r w:rsidRPr="00C953E3">
        <w:rPr>
          <w:sz w:val="24"/>
        </w:rPr>
        <w:t xml:space="preserve"> за 2025 г.</w:t>
      </w:r>
    </w:p>
    <w:p w:rsidR="00C35EB3" w:rsidRPr="0000517E" w:rsidRDefault="00C35EB3" w:rsidP="00C35EB3">
      <w:pPr>
        <w:pStyle w:val="BodyTextIndent"/>
        <w:tabs>
          <w:tab w:val="left" w:pos="1080"/>
        </w:tabs>
        <w:spacing w:before="120" w:after="0"/>
        <w:ind w:left="0"/>
        <w:jc w:val="both"/>
        <w:rPr>
          <w:b/>
          <w:bCs/>
          <w:sz w:val="20"/>
          <w:szCs w:val="20"/>
          <w:lang w:val="ru-RU"/>
        </w:rPr>
      </w:pPr>
      <w:r w:rsidRPr="0000517E">
        <w:t>Изпълнението на основните показатели по държавния бюджет, на база месечните отчети на първостепенните разпоредители с бюджет е, както следва:</w:t>
      </w:r>
      <w:r w:rsidRPr="0000517E">
        <w:rPr>
          <w:b/>
          <w:bCs/>
          <w:sz w:val="20"/>
          <w:szCs w:val="20"/>
          <w:lang w:val="ru-RU"/>
        </w:rPr>
        <w:t xml:space="preserve">   </w:t>
      </w:r>
    </w:p>
    <w:p w:rsidR="00C35EB3" w:rsidRPr="0000517E" w:rsidRDefault="00C35EB3" w:rsidP="00C35EB3">
      <w:pPr>
        <w:pStyle w:val="BodyTextIndent"/>
        <w:tabs>
          <w:tab w:val="left" w:pos="1080"/>
        </w:tabs>
        <w:spacing w:before="120" w:after="0"/>
        <w:ind w:left="0"/>
        <w:jc w:val="both"/>
        <w:rPr>
          <w:b/>
          <w:bCs/>
          <w:sz w:val="20"/>
          <w:szCs w:val="20"/>
        </w:rPr>
      </w:pPr>
      <w:r w:rsidRPr="0000517E">
        <w:rPr>
          <w:b/>
          <w:bCs/>
          <w:sz w:val="20"/>
          <w:szCs w:val="20"/>
          <w:lang w:val="ru-RU"/>
        </w:rPr>
        <w:t xml:space="preserve">     </w:t>
      </w:r>
      <w:r w:rsidRPr="0000517E">
        <w:rPr>
          <w:b/>
          <w:bCs/>
          <w:sz w:val="20"/>
          <w:szCs w:val="20"/>
        </w:rPr>
        <w:t>Таблица</w:t>
      </w:r>
      <w:r w:rsidRPr="0000517E">
        <w:rPr>
          <w:rStyle w:val="FootnoteReference"/>
        </w:rPr>
        <w:footnoteReference w:id="9"/>
      </w:r>
      <w:r w:rsidRPr="0000517E">
        <w:rPr>
          <w:b/>
          <w:bCs/>
          <w:sz w:val="20"/>
          <w:szCs w:val="20"/>
        </w:rPr>
        <w:t xml:space="preserve">  №1      </w:t>
      </w:r>
      <w:r w:rsidRPr="0000517E">
        <w:rPr>
          <w:b/>
          <w:bCs/>
          <w:sz w:val="20"/>
          <w:szCs w:val="20"/>
        </w:rPr>
        <w:tab/>
      </w:r>
      <w:r w:rsidRPr="0000517E">
        <w:rPr>
          <w:b/>
          <w:bCs/>
          <w:sz w:val="20"/>
          <w:szCs w:val="20"/>
        </w:rPr>
        <w:tab/>
        <w:t xml:space="preserve">                                          </w:t>
      </w:r>
      <w:r w:rsidRPr="0000517E">
        <w:rPr>
          <w:b/>
          <w:bCs/>
          <w:sz w:val="20"/>
          <w:szCs w:val="20"/>
        </w:rPr>
        <w:tab/>
      </w:r>
      <w:r w:rsidRPr="0000517E">
        <w:rPr>
          <w:b/>
          <w:bCs/>
          <w:sz w:val="20"/>
          <w:szCs w:val="20"/>
        </w:rPr>
        <w:tab/>
      </w:r>
      <w:r w:rsidRPr="0000517E">
        <w:rPr>
          <w:b/>
          <w:bCs/>
          <w:sz w:val="20"/>
          <w:szCs w:val="20"/>
        </w:rPr>
        <w:tab/>
      </w:r>
      <w:r w:rsidRPr="0000517E">
        <w:rPr>
          <w:b/>
          <w:bCs/>
          <w:sz w:val="20"/>
          <w:szCs w:val="20"/>
        </w:rPr>
        <w:tab/>
      </w:r>
      <w:r w:rsidRPr="0000517E">
        <w:rPr>
          <w:b/>
          <w:bCs/>
          <w:sz w:val="20"/>
          <w:szCs w:val="20"/>
        </w:rPr>
        <w:tab/>
      </w:r>
      <w:r w:rsidRPr="0000517E">
        <w:rPr>
          <w:b/>
          <w:bCs/>
          <w:sz w:val="20"/>
          <w:szCs w:val="20"/>
        </w:rPr>
        <w:tab/>
        <w:t>(млн. лв.)</w:t>
      </w:r>
    </w:p>
    <w:tbl>
      <w:tblPr>
        <w:tblW w:w="9050" w:type="dxa"/>
        <w:jc w:val="center"/>
        <w:tblCellMar>
          <w:left w:w="70" w:type="dxa"/>
          <w:right w:w="70" w:type="dxa"/>
        </w:tblCellMar>
        <w:tblLook w:val="0000" w:firstRow="0" w:lastRow="0" w:firstColumn="0" w:lastColumn="0" w:noHBand="0" w:noVBand="0"/>
      </w:tblPr>
      <w:tblGrid>
        <w:gridCol w:w="4854"/>
        <w:gridCol w:w="1276"/>
        <w:gridCol w:w="1616"/>
        <w:gridCol w:w="1304"/>
      </w:tblGrid>
      <w:tr w:rsidR="00C35EB3" w:rsidRPr="00230EFC" w:rsidTr="00902F75">
        <w:trPr>
          <w:trHeight w:val="520"/>
          <w:jc w:val="center"/>
        </w:trPr>
        <w:tc>
          <w:tcPr>
            <w:tcW w:w="4854" w:type="dxa"/>
            <w:tcBorders>
              <w:top w:val="single" w:sz="8" w:space="0" w:color="auto"/>
              <w:left w:val="single" w:sz="8" w:space="0" w:color="auto"/>
              <w:bottom w:val="nil"/>
              <w:right w:val="single" w:sz="8" w:space="0" w:color="auto"/>
            </w:tcBorders>
            <w:shd w:val="clear" w:color="auto" w:fill="auto"/>
            <w:noWrap/>
            <w:vAlign w:val="center"/>
          </w:tcPr>
          <w:p w:rsidR="00C35EB3" w:rsidRPr="0000517E" w:rsidRDefault="00C35EB3" w:rsidP="00902F75">
            <w:pPr>
              <w:jc w:val="center"/>
              <w:rPr>
                <w:b/>
                <w:bCs/>
                <w:sz w:val="18"/>
                <w:szCs w:val="18"/>
              </w:rPr>
            </w:pPr>
            <w:r w:rsidRPr="0000517E">
              <w:rPr>
                <w:b/>
                <w:bCs/>
                <w:sz w:val="18"/>
                <w:szCs w:val="18"/>
              </w:rPr>
              <w:t>ПОКАЗАТЕЛИ</w:t>
            </w:r>
          </w:p>
        </w:tc>
        <w:tc>
          <w:tcPr>
            <w:tcW w:w="1276" w:type="dxa"/>
            <w:tcBorders>
              <w:top w:val="single" w:sz="8" w:space="0" w:color="auto"/>
              <w:left w:val="nil"/>
              <w:bottom w:val="single" w:sz="4" w:space="0" w:color="auto"/>
              <w:right w:val="nil"/>
            </w:tcBorders>
            <w:shd w:val="clear" w:color="auto" w:fill="auto"/>
            <w:vAlign w:val="center"/>
          </w:tcPr>
          <w:p w:rsidR="00C35EB3" w:rsidRPr="0000517E" w:rsidRDefault="00C35EB3" w:rsidP="00902F75">
            <w:pPr>
              <w:jc w:val="center"/>
              <w:rPr>
                <w:b/>
                <w:bCs/>
                <w:sz w:val="18"/>
                <w:szCs w:val="18"/>
              </w:rPr>
            </w:pPr>
            <w:r w:rsidRPr="0000517E">
              <w:rPr>
                <w:b/>
                <w:bCs/>
                <w:sz w:val="18"/>
                <w:szCs w:val="18"/>
              </w:rPr>
              <w:t xml:space="preserve">ЗДБРБ    </w:t>
            </w:r>
            <w:r w:rsidRPr="0000517E">
              <w:rPr>
                <w:b/>
                <w:bCs/>
                <w:sz w:val="18"/>
                <w:szCs w:val="18"/>
                <w:highlight w:val="yellow"/>
              </w:rPr>
              <w:t xml:space="preserve"> </w:t>
            </w:r>
            <w:r w:rsidRPr="0000517E">
              <w:rPr>
                <w:b/>
                <w:bCs/>
                <w:sz w:val="18"/>
                <w:szCs w:val="18"/>
              </w:rPr>
              <w:t>2025 г.</w:t>
            </w:r>
          </w:p>
        </w:tc>
        <w:tc>
          <w:tcPr>
            <w:tcW w:w="1616" w:type="dxa"/>
            <w:tcBorders>
              <w:top w:val="single" w:sz="8" w:space="0" w:color="auto"/>
              <w:left w:val="nil"/>
              <w:bottom w:val="single" w:sz="4" w:space="0" w:color="auto"/>
              <w:right w:val="nil"/>
            </w:tcBorders>
            <w:shd w:val="clear" w:color="auto" w:fill="auto"/>
            <w:vAlign w:val="center"/>
          </w:tcPr>
          <w:p w:rsidR="00C35EB3" w:rsidRPr="00D54877" w:rsidRDefault="00C35EB3" w:rsidP="00902F75">
            <w:pPr>
              <w:jc w:val="center"/>
              <w:rPr>
                <w:b/>
                <w:bCs/>
                <w:sz w:val="18"/>
                <w:szCs w:val="18"/>
              </w:rPr>
            </w:pPr>
            <w:r w:rsidRPr="00D54877">
              <w:rPr>
                <w:b/>
                <w:bCs/>
                <w:sz w:val="18"/>
                <w:szCs w:val="18"/>
              </w:rPr>
              <w:t xml:space="preserve">Отчет </w:t>
            </w:r>
          </w:p>
          <w:p w:rsidR="00C35EB3" w:rsidRPr="00D54877" w:rsidRDefault="00C35EB3" w:rsidP="00902F75">
            <w:pPr>
              <w:jc w:val="center"/>
              <w:rPr>
                <w:b/>
                <w:bCs/>
                <w:sz w:val="18"/>
                <w:szCs w:val="18"/>
              </w:rPr>
            </w:pPr>
            <w:r w:rsidRPr="00D54877">
              <w:rPr>
                <w:b/>
                <w:bCs/>
                <w:sz w:val="18"/>
                <w:szCs w:val="18"/>
              </w:rPr>
              <w:t>декември 2025 г.</w:t>
            </w:r>
          </w:p>
        </w:tc>
        <w:tc>
          <w:tcPr>
            <w:tcW w:w="1304" w:type="dxa"/>
            <w:tcBorders>
              <w:top w:val="single" w:sz="8" w:space="0" w:color="auto"/>
              <w:left w:val="nil"/>
              <w:bottom w:val="single" w:sz="4" w:space="0" w:color="auto"/>
              <w:right w:val="single" w:sz="8" w:space="0" w:color="auto"/>
            </w:tcBorders>
            <w:shd w:val="clear" w:color="auto" w:fill="auto"/>
            <w:vAlign w:val="center"/>
          </w:tcPr>
          <w:p w:rsidR="00C35EB3" w:rsidRPr="00D54877" w:rsidRDefault="00C35EB3" w:rsidP="00902F75">
            <w:pPr>
              <w:jc w:val="center"/>
              <w:rPr>
                <w:b/>
                <w:bCs/>
                <w:sz w:val="18"/>
                <w:szCs w:val="18"/>
              </w:rPr>
            </w:pPr>
            <w:r w:rsidRPr="00D54877">
              <w:rPr>
                <w:b/>
                <w:bCs/>
                <w:sz w:val="18"/>
                <w:szCs w:val="18"/>
              </w:rPr>
              <w:t>Изпълнение спрямо ЗДБРБ 2025 г.</w:t>
            </w:r>
          </w:p>
        </w:tc>
      </w:tr>
      <w:tr w:rsidR="00C35EB3" w:rsidRPr="00230EFC" w:rsidTr="00902F75">
        <w:trPr>
          <w:trHeight w:val="92"/>
          <w:jc w:val="center"/>
        </w:trPr>
        <w:tc>
          <w:tcPr>
            <w:tcW w:w="4854" w:type="dxa"/>
            <w:tcBorders>
              <w:top w:val="single" w:sz="4" w:space="0" w:color="auto"/>
              <w:left w:val="single" w:sz="8" w:space="0" w:color="auto"/>
              <w:bottom w:val="single" w:sz="4" w:space="0" w:color="auto"/>
              <w:right w:val="single" w:sz="8" w:space="0" w:color="auto"/>
            </w:tcBorders>
            <w:shd w:val="clear" w:color="auto" w:fill="auto"/>
            <w:noWrap/>
            <w:vAlign w:val="bottom"/>
          </w:tcPr>
          <w:p w:rsidR="00C35EB3" w:rsidRPr="0000517E" w:rsidRDefault="00C35EB3" w:rsidP="00902F75">
            <w:pPr>
              <w:rPr>
                <w:b/>
                <w:bCs/>
                <w:sz w:val="18"/>
                <w:szCs w:val="18"/>
              </w:rPr>
            </w:pPr>
            <w:r w:rsidRPr="0000517E">
              <w:rPr>
                <w:b/>
                <w:bCs/>
                <w:sz w:val="18"/>
                <w:szCs w:val="18"/>
              </w:rPr>
              <w:t>Общо приходи, помощи и дарения</w:t>
            </w:r>
          </w:p>
        </w:tc>
        <w:tc>
          <w:tcPr>
            <w:tcW w:w="1276" w:type="dxa"/>
            <w:tcBorders>
              <w:top w:val="single" w:sz="4" w:space="0" w:color="auto"/>
              <w:left w:val="single" w:sz="4" w:space="0" w:color="auto"/>
              <w:bottom w:val="single" w:sz="4" w:space="0" w:color="auto"/>
            </w:tcBorders>
            <w:shd w:val="clear" w:color="auto" w:fill="auto"/>
            <w:noWrap/>
            <w:vAlign w:val="bottom"/>
          </w:tcPr>
          <w:p w:rsidR="00C35EB3" w:rsidRPr="0000517E" w:rsidRDefault="00C35EB3" w:rsidP="00902F75">
            <w:pPr>
              <w:jc w:val="right"/>
              <w:rPr>
                <w:b/>
                <w:bCs/>
                <w:sz w:val="18"/>
                <w:szCs w:val="18"/>
              </w:rPr>
            </w:pPr>
            <w:r w:rsidRPr="0000517E">
              <w:rPr>
                <w:b/>
                <w:bCs/>
                <w:sz w:val="18"/>
                <w:szCs w:val="18"/>
              </w:rPr>
              <w:t>55 168,4</w:t>
            </w:r>
          </w:p>
        </w:tc>
        <w:tc>
          <w:tcPr>
            <w:tcW w:w="1616" w:type="dxa"/>
            <w:tcBorders>
              <w:top w:val="single" w:sz="4" w:space="0" w:color="auto"/>
              <w:left w:val="nil"/>
              <w:bottom w:val="single" w:sz="4" w:space="0" w:color="auto"/>
              <w:right w:val="nil"/>
            </w:tcBorders>
            <w:shd w:val="clear" w:color="auto" w:fill="auto"/>
            <w:noWrap/>
            <w:vAlign w:val="bottom"/>
          </w:tcPr>
          <w:p w:rsidR="00C35EB3" w:rsidRDefault="00C35EB3" w:rsidP="00902F75">
            <w:pPr>
              <w:jc w:val="right"/>
              <w:rPr>
                <w:b/>
                <w:bCs/>
                <w:sz w:val="18"/>
                <w:szCs w:val="18"/>
              </w:rPr>
            </w:pPr>
            <w:r>
              <w:rPr>
                <w:b/>
                <w:bCs/>
                <w:sz w:val="18"/>
                <w:szCs w:val="18"/>
              </w:rPr>
              <w:t>51 456,0</w:t>
            </w:r>
          </w:p>
        </w:tc>
        <w:tc>
          <w:tcPr>
            <w:tcW w:w="1304" w:type="dxa"/>
            <w:tcBorders>
              <w:top w:val="single" w:sz="4" w:space="0" w:color="auto"/>
              <w:left w:val="nil"/>
              <w:bottom w:val="single" w:sz="4" w:space="0" w:color="auto"/>
              <w:right w:val="single" w:sz="4" w:space="0" w:color="auto"/>
            </w:tcBorders>
            <w:shd w:val="clear" w:color="auto" w:fill="auto"/>
            <w:noWrap/>
            <w:vAlign w:val="bottom"/>
          </w:tcPr>
          <w:p w:rsidR="00C35EB3" w:rsidRDefault="00C35EB3" w:rsidP="00902F75">
            <w:pPr>
              <w:jc w:val="right"/>
              <w:rPr>
                <w:b/>
                <w:bCs/>
                <w:sz w:val="18"/>
                <w:szCs w:val="18"/>
              </w:rPr>
            </w:pPr>
            <w:r>
              <w:rPr>
                <w:b/>
                <w:bCs/>
                <w:sz w:val="18"/>
                <w:szCs w:val="18"/>
              </w:rPr>
              <w:t>93,3%</w:t>
            </w:r>
          </w:p>
        </w:tc>
      </w:tr>
      <w:tr w:rsidR="00C35EB3" w:rsidRPr="00230EFC" w:rsidTr="00902F75">
        <w:trPr>
          <w:trHeight w:val="80"/>
          <w:jc w:val="center"/>
        </w:trPr>
        <w:tc>
          <w:tcPr>
            <w:tcW w:w="4854" w:type="dxa"/>
            <w:tcBorders>
              <w:top w:val="single" w:sz="4" w:space="0" w:color="auto"/>
              <w:left w:val="single" w:sz="8" w:space="0" w:color="auto"/>
              <w:bottom w:val="nil"/>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-Данъчни приходи</w:t>
            </w:r>
          </w:p>
        </w:tc>
        <w:tc>
          <w:tcPr>
            <w:tcW w:w="1276" w:type="dxa"/>
            <w:tcBorders>
              <w:top w:val="single" w:sz="4" w:space="0" w:color="auto"/>
              <w:left w:val="nil"/>
              <w:bottom w:val="nil"/>
            </w:tcBorders>
            <w:shd w:val="clear" w:color="auto" w:fill="auto"/>
            <w:noWrap/>
          </w:tcPr>
          <w:p w:rsidR="00C35EB3" w:rsidRPr="0000517E" w:rsidRDefault="00C35EB3" w:rsidP="00902F75">
            <w:pPr>
              <w:jc w:val="right"/>
              <w:rPr>
                <w:sz w:val="18"/>
                <w:szCs w:val="18"/>
              </w:rPr>
            </w:pPr>
            <w:r w:rsidRPr="0000517E">
              <w:rPr>
                <w:sz w:val="18"/>
                <w:szCs w:val="18"/>
              </w:rPr>
              <w:t>48 187,2</w:t>
            </w:r>
          </w:p>
        </w:tc>
        <w:tc>
          <w:tcPr>
            <w:tcW w:w="1616" w:type="dxa"/>
            <w:tcBorders>
              <w:top w:val="single" w:sz="4" w:space="0" w:color="auto"/>
              <w:left w:val="nil"/>
              <w:bottom w:val="nil"/>
              <w:right w:val="nil"/>
            </w:tcBorders>
            <w:shd w:val="clear" w:color="auto" w:fill="auto"/>
            <w:noWrap/>
            <w:vAlign w:val="bottom"/>
          </w:tcPr>
          <w:p w:rsidR="00C35EB3" w:rsidRDefault="00C35EB3" w:rsidP="00902F75">
            <w:pPr>
              <w:jc w:val="right"/>
              <w:rPr>
                <w:sz w:val="18"/>
                <w:szCs w:val="18"/>
              </w:rPr>
            </w:pPr>
            <w:r>
              <w:rPr>
                <w:sz w:val="18"/>
                <w:szCs w:val="18"/>
              </w:rPr>
              <w:t>44 542,6</w:t>
            </w:r>
          </w:p>
        </w:tc>
        <w:tc>
          <w:tcPr>
            <w:tcW w:w="1304" w:type="dxa"/>
            <w:tcBorders>
              <w:top w:val="single" w:sz="4" w:space="0" w:color="auto"/>
              <w:left w:val="nil"/>
              <w:bottom w:val="nil"/>
              <w:right w:val="single" w:sz="4" w:space="0" w:color="auto"/>
            </w:tcBorders>
            <w:shd w:val="clear" w:color="auto" w:fill="auto"/>
            <w:noWrap/>
            <w:vAlign w:val="bottom"/>
          </w:tcPr>
          <w:p w:rsidR="00C35EB3" w:rsidRDefault="00C35EB3" w:rsidP="00902F75">
            <w:pPr>
              <w:jc w:val="right"/>
              <w:rPr>
                <w:sz w:val="18"/>
                <w:szCs w:val="18"/>
              </w:rPr>
            </w:pPr>
            <w:r>
              <w:rPr>
                <w:sz w:val="18"/>
                <w:szCs w:val="18"/>
              </w:rPr>
              <w:t>92,4%</w:t>
            </w:r>
          </w:p>
        </w:tc>
      </w:tr>
      <w:tr w:rsidR="00C35EB3" w:rsidRPr="00230EFC" w:rsidTr="00902F75">
        <w:trPr>
          <w:trHeight w:val="80"/>
          <w:jc w:val="center"/>
        </w:trPr>
        <w:tc>
          <w:tcPr>
            <w:tcW w:w="4854" w:type="dxa"/>
            <w:tcBorders>
              <w:left w:val="single" w:sz="8" w:space="0" w:color="auto"/>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Корпоративни данъци</w:t>
            </w:r>
          </w:p>
        </w:tc>
        <w:tc>
          <w:tcPr>
            <w:tcW w:w="1276" w:type="dxa"/>
            <w:tcBorders>
              <w:left w:val="nil"/>
              <w:bottom w:val="nil"/>
            </w:tcBorders>
            <w:shd w:val="clear" w:color="auto" w:fill="auto"/>
            <w:noWrap/>
          </w:tcPr>
          <w:p w:rsidR="00C35EB3" w:rsidRPr="0000517E" w:rsidRDefault="00C35EB3" w:rsidP="00902F75">
            <w:pPr>
              <w:jc w:val="right"/>
              <w:rPr>
                <w:sz w:val="18"/>
                <w:szCs w:val="18"/>
              </w:rPr>
            </w:pPr>
            <w:r w:rsidRPr="0000517E">
              <w:rPr>
                <w:sz w:val="18"/>
                <w:szCs w:val="18"/>
              </w:rPr>
              <w:t>6 619,4</w:t>
            </w:r>
          </w:p>
        </w:tc>
        <w:tc>
          <w:tcPr>
            <w:tcW w:w="1616" w:type="dxa"/>
            <w:tcBorders>
              <w:top w:val="nil"/>
              <w:left w:val="nil"/>
              <w:bottom w:val="nil"/>
              <w:right w:val="nil"/>
            </w:tcBorders>
            <w:shd w:val="clear" w:color="auto" w:fill="auto"/>
            <w:noWrap/>
            <w:vAlign w:val="bottom"/>
          </w:tcPr>
          <w:p w:rsidR="00C35EB3" w:rsidRPr="00AD0F85" w:rsidRDefault="00C35EB3" w:rsidP="00902F75">
            <w:pPr>
              <w:jc w:val="right"/>
              <w:rPr>
                <w:sz w:val="18"/>
                <w:szCs w:val="18"/>
              </w:rPr>
            </w:pPr>
            <w:r w:rsidRPr="00AD0F85">
              <w:rPr>
                <w:sz w:val="18"/>
                <w:szCs w:val="18"/>
              </w:rPr>
              <w:t>6 655,6</w:t>
            </w:r>
          </w:p>
        </w:tc>
        <w:tc>
          <w:tcPr>
            <w:tcW w:w="1304" w:type="dxa"/>
            <w:tcBorders>
              <w:top w:val="nil"/>
              <w:left w:val="nil"/>
              <w:bottom w:val="nil"/>
              <w:right w:val="single" w:sz="4" w:space="0" w:color="auto"/>
            </w:tcBorders>
            <w:shd w:val="clear" w:color="auto" w:fill="auto"/>
            <w:noWrap/>
            <w:vAlign w:val="bottom"/>
          </w:tcPr>
          <w:p w:rsidR="00C35EB3" w:rsidRPr="00AD0F85" w:rsidRDefault="00C35EB3" w:rsidP="00902F75">
            <w:pPr>
              <w:jc w:val="right"/>
              <w:rPr>
                <w:sz w:val="18"/>
                <w:szCs w:val="18"/>
              </w:rPr>
            </w:pPr>
            <w:r w:rsidRPr="00AD0F85">
              <w:rPr>
                <w:sz w:val="18"/>
                <w:szCs w:val="18"/>
              </w:rPr>
              <w:t>100,5%</w:t>
            </w:r>
          </w:p>
        </w:tc>
      </w:tr>
      <w:tr w:rsidR="00C35EB3" w:rsidRPr="00230EFC" w:rsidTr="00902F75">
        <w:trPr>
          <w:trHeight w:val="165"/>
          <w:jc w:val="center"/>
        </w:trPr>
        <w:tc>
          <w:tcPr>
            <w:tcW w:w="4854" w:type="dxa"/>
            <w:tcBorders>
              <w:left w:val="single" w:sz="8" w:space="0" w:color="auto"/>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w:t>
            </w:r>
            <w:r w:rsidRPr="0000517E">
              <w:rPr>
                <w:sz w:val="18"/>
                <w:szCs w:val="18"/>
                <w:lang w:val="en-US"/>
              </w:rPr>
              <w:t xml:space="preserve"> </w:t>
            </w:r>
            <w:r w:rsidRPr="0000517E">
              <w:rPr>
                <w:sz w:val="18"/>
                <w:szCs w:val="18"/>
              </w:rPr>
              <w:t>ДДФЛ</w:t>
            </w:r>
          </w:p>
        </w:tc>
        <w:tc>
          <w:tcPr>
            <w:tcW w:w="1276" w:type="dxa"/>
            <w:tcBorders>
              <w:left w:val="nil"/>
              <w:bottom w:val="nil"/>
            </w:tcBorders>
            <w:shd w:val="clear" w:color="auto" w:fill="auto"/>
            <w:noWrap/>
          </w:tcPr>
          <w:p w:rsidR="00C35EB3" w:rsidRPr="0000517E" w:rsidRDefault="00C35EB3" w:rsidP="00902F75">
            <w:pPr>
              <w:jc w:val="right"/>
              <w:rPr>
                <w:sz w:val="18"/>
                <w:szCs w:val="18"/>
              </w:rPr>
            </w:pPr>
            <w:r w:rsidRPr="0000517E">
              <w:rPr>
                <w:sz w:val="18"/>
                <w:szCs w:val="18"/>
              </w:rPr>
              <w:t>7 972,1</w:t>
            </w:r>
          </w:p>
        </w:tc>
        <w:tc>
          <w:tcPr>
            <w:tcW w:w="1616" w:type="dxa"/>
            <w:tcBorders>
              <w:top w:val="nil"/>
              <w:left w:val="nil"/>
              <w:bottom w:val="nil"/>
              <w:right w:val="nil"/>
            </w:tcBorders>
            <w:shd w:val="clear" w:color="auto" w:fill="auto"/>
            <w:noWrap/>
            <w:vAlign w:val="bottom"/>
          </w:tcPr>
          <w:p w:rsidR="00C35EB3" w:rsidRPr="00AD0F85" w:rsidRDefault="00C35EB3" w:rsidP="00902F75">
            <w:pPr>
              <w:jc w:val="right"/>
              <w:rPr>
                <w:sz w:val="18"/>
                <w:szCs w:val="18"/>
              </w:rPr>
            </w:pPr>
            <w:r w:rsidRPr="00AD0F85">
              <w:rPr>
                <w:sz w:val="18"/>
                <w:szCs w:val="18"/>
              </w:rPr>
              <w:t>8 183,2</w:t>
            </w:r>
          </w:p>
        </w:tc>
        <w:tc>
          <w:tcPr>
            <w:tcW w:w="1304" w:type="dxa"/>
            <w:tcBorders>
              <w:top w:val="nil"/>
              <w:left w:val="nil"/>
              <w:bottom w:val="nil"/>
              <w:right w:val="single" w:sz="4" w:space="0" w:color="auto"/>
            </w:tcBorders>
            <w:shd w:val="clear" w:color="auto" w:fill="auto"/>
            <w:noWrap/>
            <w:vAlign w:val="bottom"/>
          </w:tcPr>
          <w:p w:rsidR="00C35EB3" w:rsidRPr="00AD0F85" w:rsidRDefault="00C35EB3" w:rsidP="00902F75">
            <w:pPr>
              <w:jc w:val="right"/>
              <w:rPr>
                <w:sz w:val="18"/>
                <w:szCs w:val="18"/>
              </w:rPr>
            </w:pPr>
            <w:r w:rsidRPr="00AD0F85">
              <w:rPr>
                <w:sz w:val="18"/>
                <w:szCs w:val="18"/>
              </w:rPr>
              <w:t>102,6%</w:t>
            </w:r>
          </w:p>
        </w:tc>
      </w:tr>
      <w:tr w:rsidR="00C35EB3" w:rsidRPr="00230EFC" w:rsidTr="00902F75">
        <w:trPr>
          <w:trHeight w:val="165"/>
          <w:jc w:val="center"/>
        </w:trPr>
        <w:tc>
          <w:tcPr>
            <w:tcW w:w="4854" w:type="dxa"/>
            <w:tcBorders>
              <w:left w:val="single" w:sz="8" w:space="0" w:color="auto"/>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w:t>
            </w:r>
            <w:r w:rsidRPr="0000517E">
              <w:rPr>
                <w:sz w:val="18"/>
                <w:szCs w:val="18"/>
                <w:lang w:val="en-US"/>
              </w:rPr>
              <w:t xml:space="preserve"> </w:t>
            </w:r>
            <w:r w:rsidRPr="0000517E">
              <w:rPr>
                <w:sz w:val="18"/>
                <w:szCs w:val="18"/>
              </w:rPr>
              <w:t>ДДС</w:t>
            </w:r>
          </w:p>
        </w:tc>
        <w:tc>
          <w:tcPr>
            <w:tcW w:w="1276" w:type="dxa"/>
            <w:tcBorders>
              <w:left w:val="nil"/>
              <w:bottom w:val="nil"/>
            </w:tcBorders>
            <w:shd w:val="clear" w:color="auto" w:fill="auto"/>
            <w:noWrap/>
          </w:tcPr>
          <w:p w:rsidR="00C35EB3" w:rsidRPr="0000517E" w:rsidRDefault="00C35EB3" w:rsidP="00902F75">
            <w:pPr>
              <w:jc w:val="right"/>
              <w:rPr>
                <w:sz w:val="18"/>
                <w:szCs w:val="18"/>
              </w:rPr>
            </w:pPr>
            <w:r w:rsidRPr="0000517E">
              <w:rPr>
                <w:sz w:val="18"/>
                <w:szCs w:val="18"/>
              </w:rPr>
              <w:t>24 833,6</w:t>
            </w:r>
          </w:p>
        </w:tc>
        <w:tc>
          <w:tcPr>
            <w:tcW w:w="1616" w:type="dxa"/>
            <w:tcBorders>
              <w:top w:val="nil"/>
              <w:left w:val="nil"/>
              <w:bottom w:val="nil"/>
              <w:right w:val="nil"/>
            </w:tcBorders>
            <w:shd w:val="clear" w:color="auto" w:fill="auto"/>
            <w:noWrap/>
            <w:vAlign w:val="bottom"/>
          </w:tcPr>
          <w:p w:rsidR="00C35EB3" w:rsidRPr="00AD0F85" w:rsidRDefault="00C35EB3" w:rsidP="00902F75">
            <w:pPr>
              <w:jc w:val="right"/>
              <w:rPr>
                <w:sz w:val="18"/>
                <w:szCs w:val="18"/>
              </w:rPr>
            </w:pPr>
            <w:r w:rsidRPr="00AD0F85">
              <w:rPr>
                <w:sz w:val="18"/>
                <w:szCs w:val="18"/>
              </w:rPr>
              <w:t>21 571,5</w:t>
            </w:r>
          </w:p>
        </w:tc>
        <w:tc>
          <w:tcPr>
            <w:tcW w:w="1304" w:type="dxa"/>
            <w:tcBorders>
              <w:top w:val="nil"/>
              <w:left w:val="nil"/>
              <w:bottom w:val="nil"/>
              <w:right w:val="single" w:sz="4" w:space="0" w:color="auto"/>
            </w:tcBorders>
            <w:shd w:val="clear" w:color="auto" w:fill="auto"/>
            <w:noWrap/>
            <w:vAlign w:val="bottom"/>
          </w:tcPr>
          <w:p w:rsidR="00C35EB3" w:rsidRPr="00AD0F85" w:rsidRDefault="00C35EB3" w:rsidP="00902F75">
            <w:pPr>
              <w:jc w:val="right"/>
              <w:rPr>
                <w:sz w:val="18"/>
                <w:szCs w:val="18"/>
              </w:rPr>
            </w:pPr>
            <w:r w:rsidRPr="00AD0F85">
              <w:rPr>
                <w:sz w:val="18"/>
                <w:szCs w:val="18"/>
              </w:rPr>
              <w:t>86,9%</w:t>
            </w:r>
          </w:p>
        </w:tc>
      </w:tr>
      <w:tr w:rsidR="00C35EB3" w:rsidRPr="00230EFC" w:rsidTr="00902F75">
        <w:trPr>
          <w:trHeight w:val="165"/>
          <w:jc w:val="center"/>
        </w:trPr>
        <w:tc>
          <w:tcPr>
            <w:tcW w:w="4854" w:type="dxa"/>
            <w:tcBorders>
              <w:left w:val="single" w:sz="8" w:space="0" w:color="auto"/>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w:t>
            </w:r>
            <w:r w:rsidRPr="0000517E">
              <w:rPr>
                <w:sz w:val="18"/>
                <w:szCs w:val="18"/>
                <w:lang w:val="en-US"/>
              </w:rPr>
              <w:t xml:space="preserve"> </w:t>
            </w:r>
            <w:r w:rsidRPr="0000517E">
              <w:rPr>
                <w:sz w:val="18"/>
                <w:szCs w:val="18"/>
              </w:rPr>
              <w:t xml:space="preserve">Акцизи </w:t>
            </w:r>
          </w:p>
        </w:tc>
        <w:tc>
          <w:tcPr>
            <w:tcW w:w="1276" w:type="dxa"/>
            <w:tcBorders>
              <w:left w:val="nil"/>
              <w:bottom w:val="nil"/>
            </w:tcBorders>
            <w:shd w:val="clear" w:color="auto" w:fill="auto"/>
            <w:noWrap/>
          </w:tcPr>
          <w:p w:rsidR="00C35EB3" w:rsidRPr="0000517E" w:rsidRDefault="00C35EB3" w:rsidP="00902F75">
            <w:pPr>
              <w:jc w:val="right"/>
              <w:rPr>
                <w:sz w:val="18"/>
                <w:szCs w:val="18"/>
              </w:rPr>
            </w:pPr>
            <w:r w:rsidRPr="0000517E">
              <w:rPr>
                <w:sz w:val="18"/>
                <w:szCs w:val="18"/>
              </w:rPr>
              <w:t>7 693,0</w:t>
            </w:r>
          </w:p>
        </w:tc>
        <w:tc>
          <w:tcPr>
            <w:tcW w:w="1616" w:type="dxa"/>
            <w:tcBorders>
              <w:top w:val="nil"/>
              <w:left w:val="nil"/>
              <w:bottom w:val="nil"/>
              <w:right w:val="nil"/>
            </w:tcBorders>
            <w:shd w:val="clear" w:color="auto" w:fill="auto"/>
            <w:noWrap/>
            <w:vAlign w:val="bottom"/>
          </w:tcPr>
          <w:p w:rsidR="00C35EB3" w:rsidRPr="00AD0F85" w:rsidRDefault="00C35EB3" w:rsidP="00902F75">
            <w:pPr>
              <w:jc w:val="right"/>
              <w:rPr>
                <w:sz w:val="18"/>
                <w:szCs w:val="18"/>
              </w:rPr>
            </w:pPr>
            <w:r w:rsidRPr="00AD0F85">
              <w:rPr>
                <w:sz w:val="18"/>
                <w:szCs w:val="18"/>
              </w:rPr>
              <w:t>7 423,7</w:t>
            </w:r>
          </w:p>
        </w:tc>
        <w:tc>
          <w:tcPr>
            <w:tcW w:w="1304" w:type="dxa"/>
            <w:tcBorders>
              <w:top w:val="nil"/>
              <w:left w:val="nil"/>
              <w:bottom w:val="nil"/>
              <w:right w:val="single" w:sz="4" w:space="0" w:color="auto"/>
            </w:tcBorders>
            <w:shd w:val="clear" w:color="auto" w:fill="auto"/>
            <w:noWrap/>
            <w:vAlign w:val="bottom"/>
          </w:tcPr>
          <w:p w:rsidR="00C35EB3" w:rsidRPr="00AD0F85" w:rsidRDefault="00C35EB3" w:rsidP="00902F75">
            <w:pPr>
              <w:jc w:val="right"/>
              <w:rPr>
                <w:sz w:val="18"/>
                <w:szCs w:val="18"/>
              </w:rPr>
            </w:pPr>
            <w:r w:rsidRPr="00AD0F85">
              <w:rPr>
                <w:sz w:val="18"/>
                <w:szCs w:val="18"/>
              </w:rPr>
              <w:t>96,5%</w:t>
            </w:r>
          </w:p>
        </w:tc>
      </w:tr>
      <w:tr w:rsidR="00C35EB3" w:rsidRPr="00230EFC" w:rsidTr="00902F75">
        <w:trPr>
          <w:trHeight w:val="165"/>
          <w:jc w:val="center"/>
        </w:trPr>
        <w:tc>
          <w:tcPr>
            <w:tcW w:w="4854" w:type="dxa"/>
            <w:tcBorders>
              <w:left w:val="single" w:sz="8" w:space="0" w:color="auto"/>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Данък в/у застрахователните премии</w:t>
            </w:r>
          </w:p>
        </w:tc>
        <w:tc>
          <w:tcPr>
            <w:tcW w:w="1276" w:type="dxa"/>
            <w:tcBorders>
              <w:left w:val="nil"/>
              <w:bottom w:val="nil"/>
            </w:tcBorders>
            <w:shd w:val="clear" w:color="auto" w:fill="auto"/>
            <w:noWrap/>
          </w:tcPr>
          <w:p w:rsidR="00C35EB3" w:rsidRPr="0000517E" w:rsidRDefault="00C35EB3" w:rsidP="00902F75">
            <w:pPr>
              <w:jc w:val="right"/>
              <w:rPr>
                <w:sz w:val="18"/>
                <w:szCs w:val="18"/>
              </w:rPr>
            </w:pPr>
            <w:r w:rsidRPr="0000517E">
              <w:rPr>
                <w:sz w:val="18"/>
                <w:szCs w:val="18"/>
              </w:rPr>
              <w:t>74,6</w:t>
            </w:r>
          </w:p>
        </w:tc>
        <w:tc>
          <w:tcPr>
            <w:tcW w:w="1616" w:type="dxa"/>
            <w:tcBorders>
              <w:top w:val="nil"/>
              <w:left w:val="nil"/>
              <w:bottom w:val="nil"/>
              <w:right w:val="nil"/>
            </w:tcBorders>
            <w:shd w:val="clear" w:color="auto" w:fill="auto"/>
            <w:noWrap/>
            <w:vAlign w:val="bottom"/>
          </w:tcPr>
          <w:p w:rsidR="00C35EB3" w:rsidRPr="00AD0F85" w:rsidRDefault="00C35EB3" w:rsidP="00902F75">
            <w:pPr>
              <w:jc w:val="right"/>
              <w:rPr>
                <w:sz w:val="18"/>
                <w:szCs w:val="18"/>
              </w:rPr>
            </w:pPr>
            <w:r w:rsidRPr="00AD0F85">
              <w:rPr>
                <w:sz w:val="18"/>
                <w:szCs w:val="18"/>
              </w:rPr>
              <w:t>77,3</w:t>
            </w:r>
          </w:p>
        </w:tc>
        <w:tc>
          <w:tcPr>
            <w:tcW w:w="1304" w:type="dxa"/>
            <w:tcBorders>
              <w:top w:val="nil"/>
              <w:left w:val="nil"/>
              <w:bottom w:val="nil"/>
              <w:right w:val="single" w:sz="4" w:space="0" w:color="auto"/>
            </w:tcBorders>
            <w:shd w:val="clear" w:color="auto" w:fill="auto"/>
            <w:noWrap/>
            <w:vAlign w:val="bottom"/>
          </w:tcPr>
          <w:p w:rsidR="00C35EB3" w:rsidRPr="00AD0F85" w:rsidRDefault="00C35EB3" w:rsidP="00902F75">
            <w:pPr>
              <w:jc w:val="right"/>
              <w:rPr>
                <w:sz w:val="18"/>
                <w:szCs w:val="18"/>
              </w:rPr>
            </w:pPr>
            <w:r w:rsidRPr="00AD0F85">
              <w:rPr>
                <w:sz w:val="18"/>
                <w:szCs w:val="18"/>
              </w:rPr>
              <w:t>103,7%</w:t>
            </w:r>
          </w:p>
        </w:tc>
      </w:tr>
      <w:tr w:rsidR="00C35EB3" w:rsidRPr="00230EFC" w:rsidTr="00902F75">
        <w:trPr>
          <w:trHeight w:val="165"/>
          <w:jc w:val="center"/>
        </w:trPr>
        <w:tc>
          <w:tcPr>
            <w:tcW w:w="4854" w:type="dxa"/>
            <w:tcBorders>
              <w:left w:val="single" w:sz="8" w:space="0" w:color="auto"/>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w:t>
            </w:r>
            <w:r w:rsidRPr="0000517E">
              <w:rPr>
                <w:sz w:val="18"/>
                <w:szCs w:val="18"/>
                <w:lang w:val="en-US"/>
              </w:rPr>
              <w:t xml:space="preserve"> </w:t>
            </w:r>
            <w:r w:rsidRPr="0000517E">
              <w:rPr>
                <w:sz w:val="18"/>
                <w:szCs w:val="18"/>
              </w:rPr>
              <w:t>Мита и митнически такси</w:t>
            </w:r>
          </w:p>
        </w:tc>
        <w:tc>
          <w:tcPr>
            <w:tcW w:w="1276" w:type="dxa"/>
            <w:tcBorders>
              <w:left w:val="nil"/>
              <w:bottom w:val="nil"/>
            </w:tcBorders>
            <w:shd w:val="clear" w:color="auto" w:fill="auto"/>
            <w:noWrap/>
          </w:tcPr>
          <w:p w:rsidR="00C35EB3" w:rsidRPr="0000517E" w:rsidRDefault="00C35EB3" w:rsidP="00902F75">
            <w:pPr>
              <w:jc w:val="right"/>
              <w:rPr>
                <w:sz w:val="18"/>
                <w:szCs w:val="18"/>
              </w:rPr>
            </w:pPr>
            <w:r w:rsidRPr="0000517E">
              <w:rPr>
                <w:sz w:val="18"/>
                <w:szCs w:val="18"/>
              </w:rPr>
              <w:t>367,0</w:t>
            </w:r>
          </w:p>
        </w:tc>
        <w:tc>
          <w:tcPr>
            <w:tcW w:w="1616" w:type="dxa"/>
            <w:tcBorders>
              <w:top w:val="nil"/>
              <w:left w:val="nil"/>
              <w:bottom w:val="nil"/>
              <w:right w:val="nil"/>
            </w:tcBorders>
            <w:shd w:val="clear" w:color="auto" w:fill="auto"/>
            <w:noWrap/>
            <w:vAlign w:val="bottom"/>
          </w:tcPr>
          <w:p w:rsidR="00C35EB3" w:rsidRPr="00AD0F85" w:rsidRDefault="00C35EB3" w:rsidP="00902F75">
            <w:pPr>
              <w:jc w:val="right"/>
              <w:rPr>
                <w:sz w:val="18"/>
                <w:szCs w:val="18"/>
              </w:rPr>
            </w:pPr>
            <w:r w:rsidRPr="00AD0F85">
              <w:rPr>
                <w:sz w:val="18"/>
                <w:szCs w:val="18"/>
              </w:rPr>
              <w:t>398,3</w:t>
            </w:r>
          </w:p>
        </w:tc>
        <w:tc>
          <w:tcPr>
            <w:tcW w:w="1304" w:type="dxa"/>
            <w:tcBorders>
              <w:top w:val="nil"/>
              <w:left w:val="nil"/>
              <w:bottom w:val="nil"/>
              <w:right w:val="single" w:sz="4" w:space="0" w:color="auto"/>
            </w:tcBorders>
            <w:shd w:val="clear" w:color="auto" w:fill="auto"/>
            <w:noWrap/>
            <w:vAlign w:val="bottom"/>
          </w:tcPr>
          <w:p w:rsidR="00C35EB3" w:rsidRPr="00AD0F85" w:rsidRDefault="00C35EB3" w:rsidP="00902F75">
            <w:pPr>
              <w:jc w:val="right"/>
              <w:rPr>
                <w:sz w:val="18"/>
                <w:szCs w:val="18"/>
              </w:rPr>
            </w:pPr>
            <w:r w:rsidRPr="00AD0F85">
              <w:rPr>
                <w:sz w:val="18"/>
                <w:szCs w:val="18"/>
              </w:rPr>
              <w:t>108,5%</w:t>
            </w:r>
          </w:p>
        </w:tc>
      </w:tr>
      <w:tr w:rsidR="00C35EB3" w:rsidRPr="00230EFC" w:rsidTr="00902F75">
        <w:trPr>
          <w:trHeight w:val="165"/>
          <w:jc w:val="center"/>
        </w:trPr>
        <w:tc>
          <w:tcPr>
            <w:tcW w:w="4854" w:type="dxa"/>
            <w:tcBorders>
              <w:left w:val="single" w:sz="8" w:space="0" w:color="auto"/>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w:t>
            </w:r>
            <w:r w:rsidRPr="0000517E">
              <w:rPr>
                <w:sz w:val="18"/>
                <w:szCs w:val="18"/>
                <w:lang w:val="en-US"/>
              </w:rPr>
              <w:t xml:space="preserve"> </w:t>
            </w:r>
            <w:r w:rsidRPr="0000517E">
              <w:rPr>
                <w:sz w:val="18"/>
                <w:szCs w:val="18"/>
              </w:rPr>
              <w:t>Други данъци</w:t>
            </w:r>
          </w:p>
        </w:tc>
        <w:tc>
          <w:tcPr>
            <w:tcW w:w="1276" w:type="dxa"/>
            <w:tcBorders>
              <w:top w:val="nil"/>
              <w:left w:val="nil"/>
              <w:bottom w:val="nil"/>
            </w:tcBorders>
            <w:shd w:val="clear" w:color="auto" w:fill="auto"/>
            <w:noWrap/>
          </w:tcPr>
          <w:p w:rsidR="00C35EB3" w:rsidRPr="0000517E" w:rsidRDefault="00C35EB3" w:rsidP="00902F75">
            <w:pPr>
              <w:jc w:val="right"/>
              <w:rPr>
                <w:sz w:val="18"/>
                <w:szCs w:val="18"/>
              </w:rPr>
            </w:pPr>
            <w:r w:rsidRPr="0000517E">
              <w:rPr>
                <w:sz w:val="18"/>
                <w:szCs w:val="18"/>
              </w:rPr>
              <w:t>627,5</w:t>
            </w:r>
          </w:p>
        </w:tc>
        <w:tc>
          <w:tcPr>
            <w:tcW w:w="1616" w:type="dxa"/>
            <w:tcBorders>
              <w:top w:val="nil"/>
              <w:left w:val="nil"/>
              <w:bottom w:val="nil"/>
              <w:right w:val="nil"/>
            </w:tcBorders>
            <w:shd w:val="clear" w:color="auto" w:fill="auto"/>
            <w:noWrap/>
            <w:vAlign w:val="bottom"/>
          </w:tcPr>
          <w:p w:rsidR="00C35EB3" w:rsidRPr="00AD0F85" w:rsidRDefault="00C35EB3" w:rsidP="00902F75">
            <w:pPr>
              <w:jc w:val="right"/>
              <w:rPr>
                <w:sz w:val="18"/>
                <w:szCs w:val="18"/>
              </w:rPr>
            </w:pPr>
            <w:r w:rsidRPr="00AD0F85">
              <w:rPr>
                <w:sz w:val="18"/>
                <w:szCs w:val="18"/>
              </w:rPr>
              <w:t>233,0</w:t>
            </w:r>
          </w:p>
        </w:tc>
        <w:tc>
          <w:tcPr>
            <w:tcW w:w="1304" w:type="dxa"/>
            <w:tcBorders>
              <w:top w:val="nil"/>
              <w:left w:val="nil"/>
              <w:bottom w:val="nil"/>
              <w:right w:val="single" w:sz="4" w:space="0" w:color="auto"/>
            </w:tcBorders>
            <w:shd w:val="clear" w:color="auto" w:fill="auto"/>
            <w:noWrap/>
            <w:vAlign w:val="bottom"/>
          </w:tcPr>
          <w:p w:rsidR="00C35EB3" w:rsidRPr="00AD0F85" w:rsidRDefault="00C35EB3" w:rsidP="00902F75">
            <w:pPr>
              <w:jc w:val="right"/>
              <w:rPr>
                <w:sz w:val="18"/>
                <w:szCs w:val="18"/>
              </w:rPr>
            </w:pPr>
            <w:r w:rsidRPr="00AD0F85">
              <w:rPr>
                <w:sz w:val="18"/>
                <w:szCs w:val="18"/>
              </w:rPr>
              <w:t>37,1%</w:t>
            </w:r>
          </w:p>
        </w:tc>
      </w:tr>
      <w:tr w:rsidR="00C35EB3" w:rsidRPr="00230EFC" w:rsidTr="00902F75">
        <w:trPr>
          <w:trHeight w:val="165"/>
          <w:jc w:val="center"/>
        </w:trPr>
        <w:tc>
          <w:tcPr>
            <w:tcW w:w="4854" w:type="dxa"/>
            <w:tcBorders>
              <w:left w:val="single" w:sz="8" w:space="0" w:color="auto"/>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-Неданъчни приходи</w:t>
            </w:r>
          </w:p>
        </w:tc>
        <w:tc>
          <w:tcPr>
            <w:tcW w:w="1276" w:type="dxa"/>
            <w:tcBorders>
              <w:top w:val="nil"/>
              <w:left w:val="nil"/>
              <w:bottom w:val="nil"/>
            </w:tcBorders>
            <w:shd w:val="clear" w:color="auto" w:fill="auto"/>
            <w:noWrap/>
          </w:tcPr>
          <w:p w:rsidR="00C35EB3" w:rsidRPr="0000517E" w:rsidRDefault="00C35EB3" w:rsidP="00902F75">
            <w:pPr>
              <w:jc w:val="right"/>
              <w:rPr>
                <w:sz w:val="18"/>
                <w:szCs w:val="18"/>
              </w:rPr>
            </w:pPr>
            <w:r w:rsidRPr="0000517E">
              <w:rPr>
                <w:sz w:val="18"/>
                <w:szCs w:val="18"/>
              </w:rPr>
              <w:t>6 980,7</w:t>
            </w:r>
          </w:p>
        </w:tc>
        <w:tc>
          <w:tcPr>
            <w:tcW w:w="1616" w:type="dxa"/>
            <w:tcBorders>
              <w:top w:val="nil"/>
              <w:left w:val="nil"/>
              <w:bottom w:val="nil"/>
              <w:right w:val="nil"/>
            </w:tcBorders>
            <w:shd w:val="clear" w:color="auto" w:fill="auto"/>
            <w:noWrap/>
            <w:vAlign w:val="bottom"/>
          </w:tcPr>
          <w:p w:rsidR="00C35EB3" w:rsidRPr="00AD0F85" w:rsidRDefault="00C35EB3" w:rsidP="00902F75">
            <w:pPr>
              <w:jc w:val="right"/>
              <w:rPr>
                <w:sz w:val="18"/>
                <w:szCs w:val="18"/>
              </w:rPr>
            </w:pPr>
            <w:r w:rsidRPr="00AD0F85">
              <w:rPr>
                <w:sz w:val="18"/>
                <w:szCs w:val="18"/>
              </w:rPr>
              <w:t>6 556,2</w:t>
            </w:r>
          </w:p>
        </w:tc>
        <w:tc>
          <w:tcPr>
            <w:tcW w:w="1304" w:type="dxa"/>
            <w:tcBorders>
              <w:top w:val="nil"/>
              <w:left w:val="nil"/>
              <w:bottom w:val="nil"/>
              <w:right w:val="single" w:sz="4" w:space="0" w:color="auto"/>
            </w:tcBorders>
            <w:shd w:val="clear" w:color="auto" w:fill="auto"/>
            <w:noWrap/>
            <w:vAlign w:val="bottom"/>
          </w:tcPr>
          <w:p w:rsidR="00C35EB3" w:rsidRPr="00AD0F85" w:rsidRDefault="00C35EB3" w:rsidP="00902F75">
            <w:pPr>
              <w:jc w:val="right"/>
              <w:rPr>
                <w:sz w:val="18"/>
                <w:szCs w:val="18"/>
              </w:rPr>
            </w:pPr>
            <w:r w:rsidRPr="00AD0F85">
              <w:rPr>
                <w:sz w:val="18"/>
                <w:szCs w:val="18"/>
              </w:rPr>
              <w:t>93,9%</w:t>
            </w:r>
          </w:p>
        </w:tc>
      </w:tr>
      <w:tr w:rsidR="00C35EB3" w:rsidRPr="00230EFC" w:rsidTr="00902F75">
        <w:trPr>
          <w:trHeight w:val="165"/>
          <w:jc w:val="center"/>
        </w:trPr>
        <w:tc>
          <w:tcPr>
            <w:tcW w:w="4854" w:type="dxa"/>
            <w:tcBorders>
              <w:left w:val="single" w:sz="8" w:space="0" w:color="auto"/>
              <w:bottom w:val="single" w:sz="4" w:space="0" w:color="auto"/>
              <w:right w:val="single" w:sz="8"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-Помощи и дарения</w:t>
            </w:r>
          </w:p>
        </w:tc>
        <w:tc>
          <w:tcPr>
            <w:tcW w:w="1276" w:type="dxa"/>
            <w:tcBorders>
              <w:top w:val="nil"/>
              <w:left w:val="nil"/>
              <w:bottom w:val="single" w:sz="4" w:space="0" w:color="auto"/>
            </w:tcBorders>
            <w:shd w:val="clear" w:color="auto" w:fill="auto"/>
            <w:noWrap/>
          </w:tcPr>
          <w:p w:rsidR="00C35EB3" w:rsidRPr="0000517E" w:rsidRDefault="00C35EB3" w:rsidP="00902F75">
            <w:pPr>
              <w:jc w:val="right"/>
              <w:rPr>
                <w:sz w:val="18"/>
                <w:szCs w:val="18"/>
              </w:rPr>
            </w:pPr>
            <w:r w:rsidRPr="0000517E">
              <w:rPr>
                <w:sz w:val="18"/>
                <w:szCs w:val="18"/>
              </w:rPr>
              <w:t>0,5</w:t>
            </w:r>
          </w:p>
        </w:tc>
        <w:tc>
          <w:tcPr>
            <w:tcW w:w="1616" w:type="dxa"/>
            <w:tcBorders>
              <w:top w:val="nil"/>
              <w:left w:val="nil"/>
              <w:bottom w:val="nil"/>
              <w:right w:val="nil"/>
            </w:tcBorders>
            <w:shd w:val="clear" w:color="auto" w:fill="auto"/>
            <w:noWrap/>
            <w:vAlign w:val="bottom"/>
          </w:tcPr>
          <w:p w:rsidR="00C35EB3" w:rsidRDefault="00C35EB3" w:rsidP="00902F75">
            <w:pPr>
              <w:jc w:val="right"/>
              <w:rPr>
                <w:sz w:val="18"/>
                <w:szCs w:val="18"/>
              </w:rPr>
            </w:pPr>
            <w:r>
              <w:rPr>
                <w:sz w:val="18"/>
                <w:szCs w:val="18"/>
              </w:rPr>
              <w:t>357,2</w:t>
            </w:r>
          </w:p>
        </w:tc>
        <w:tc>
          <w:tcPr>
            <w:tcW w:w="1304" w:type="dxa"/>
            <w:tcBorders>
              <w:top w:val="nil"/>
              <w:left w:val="nil"/>
              <w:bottom w:val="single" w:sz="4" w:space="0" w:color="auto"/>
              <w:right w:val="single" w:sz="4" w:space="0" w:color="auto"/>
            </w:tcBorders>
            <w:shd w:val="clear" w:color="auto" w:fill="auto"/>
            <w:noWrap/>
            <w:vAlign w:val="bottom"/>
          </w:tcPr>
          <w:p w:rsidR="00C35EB3" w:rsidRDefault="00C35EB3" w:rsidP="00902F75">
            <w:pPr>
              <w:rPr>
                <w:sz w:val="18"/>
                <w:szCs w:val="18"/>
              </w:rPr>
            </w:pPr>
            <w:r>
              <w:rPr>
                <w:sz w:val="18"/>
                <w:szCs w:val="18"/>
              </w:rPr>
              <w:t> </w:t>
            </w:r>
          </w:p>
        </w:tc>
      </w:tr>
      <w:tr w:rsidR="00C35EB3" w:rsidRPr="00230EFC" w:rsidTr="00902F75">
        <w:trPr>
          <w:trHeight w:val="199"/>
          <w:jc w:val="center"/>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EB3" w:rsidRPr="0000517E" w:rsidRDefault="00C35EB3" w:rsidP="00902F75">
            <w:pPr>
              <w:rPr>
                <w:b/>
                <w:bCs/>
                <w:sz w:val="18"/>
                <w:szCs w:val="18"/>
              </w:rPr>
            </w:pPr>
            <w:r w:rsidRPr="0000517E">
              <w:rPr>
                <w:b/>
                <w:bCs/>
                <w:sz w:val="18"/>
                <w:szCs w:val="18"/>
              </w:rPr>
              <w:t xml:space="preserve"> Разходи, трансфери и вноска в бюджета на ЕС</w:t>
            </w:r>
          </w:p>
        </w:tc>
        <w:tc>
          <w:tcPr>
            <w:tcW w:w="1276" w:type="dxa"/>
            <w:tcBorders>
              <w:top w:val="single" w:sz="4" w:space="0" w:color="auto"/>
              <w:left w:val="nil"/>
              <w:bottom w:val="single" w:sz="4" w:space="0" w:color="auto"/>
            </w:tcBorders>
            <w:shd w:val="clear" w:color="auto" w:fill="auto"/>
            <w:noWrap/>
          </w:tcPr>
          <w:p w:rsidR="00C35EB3" w:rsidRPr="0000517E" w:rsidRDefault="00C35EB3" w:rsidP="00902F75">
            <w:pPr>
              <w:jc w:val="right"/>
              <w:rPr>
                <w:b/>
                <w:sz w:val="18"/>
                <w:szCs w:val="18"/>
              </w:rPr>
            </w:pPr>
            <w:r w:rsidRPr="0000517E">
              <w:rPr>
                <w:b/>
                <w:sz w:val="18"/>
                <w:szCs w:val="18"/>
              </w:rPr>
              <w:t>62 301,0</w:t>
            </w:r>
          </w:p>
        </w:tc>
        <w:tc>
          <w:tcPr>
            <w:tcW w:w="1616" w:type="dxa"/>
            <w:tcBorders>
              <w:top w:val="single" w:sz="4" w:space="0" w:color="auto"/>
              <w:left w:val="nil"/>
              <w:bottom w:val="single" w:sz="4" w:space="0" w:color="auto"/>
              <w:right w:val="nil"/>
            </w:tcBorders>
            <w:shd w:val="clear" w:color="auto" w:fill="auto"/>
            <w:noWrap/>
            <w:vAlign w:val="bottom"/>
          </w:tcPr>
          <w:p w:rsidR="00C35EB3" w:rsidRDefault="00C35EB3" w:rsidP="00902F75">
            <w:pPr>
              <w:jc w:val="right"/>
              <w:rPr>
                <w:b/>
                <w:bCs/>
                <w:sz w:val="18"/>
                <w:szCs w:val="18"/>
              </w:rPr>
            </w:pPr>
            <w:r>
              <w:rPr>
                <w:b/>
                <w:bCs/>
                <w:sz w:val="18"/>
                <w:szCs w:val="18"/>
              </w:rPr>
              <w:t>57 544,6</w:t>
            </w:r>
          </w:p>
        </w:tc>
        <w:tc>
          <w:tcPr>
            <w:tcW w:w="1304" w:type="dxa"/>
            <w:tcBorders>
              <w:top w:val="single" w:sz="4" w:space="0" w:color="auto"/>
              <w:left w:val="nil"/>
              <w:bottom w:val="single" w:sz="4" w:space="0" w:color="auto"/>
              <w:right w:val="single" w:sz="8" w:space="0" w:color="auto"/>
            </w:tcBorders>
            <w:shd w:val="clear" w:color="auto" w:fill="auto"/>
            <w:noWrap/>
            <w:vAlign w:val="bottom"/>
          </w:tcPr>
          <w:p w:rsidR="00C35EB3" w:rsidRDefault="00C35EB3" w:rsidP="00902F75">
            <w:pPr>
              <w:jc w:val="right"/>
              <w:rPr>
                <w:b/>
                <w:bCs/>
                <w:sz w:val="18"/>
                <w:szCs w:val="18"/>
              </w:rPr>
            </w:pPr>
            <w:r>
              <w:rPr>
                <w:b/>
                <w:bCs/>
                <w:sz w:val="18"/>
                <w:szCs w:val="18"/>
              </w:rPr>
              <w:t>92,4%</w:t>
            </w:r>
          </w:p>
        </w:tc>
      </w:tr>
      <w:tr w:rsidR="00C35EB3" w:rsidRPr="00230EFC" w:rsidTr="00902F75">
        <w:trPr>
          <w:trHeight w:val="101"/>
          <w:jc w:val="center"/>
        </w:trPr>
        <w:tc>
          <w:tcPr>
            <w:tcW w:w="4854" w:type="dxa"/>
            <w:tcBorders>
              <w:top w:val="single" w:sz="4" w:space="0" w:color="auto"/>
              <w:left w:val="single" w:sz="4" w:space="0" w:color="auto"/>
              <w:bottom w:val="nil"/>
              <w:right w:val="single" w:sz="4" w:space="0" w:color="auto"/>
            </w:tcBorders>
            <w:shd w:val="clear" w:color="auto" w:fill="auto"/>
            <w:noWrap/>
            <w:vAlign w:val="bottom"/>
          </w:tcPr>
          <w:p w:rsidR="00C35EB3" w:rsidRPr="0000517E" w:rsidRDefault="00C35EB3" w:rsidP="00902F75">
            <w:pPr>
              <w:rPr>
                <w:i/>
                <w:sz w:val="18"/>
                <w:szCs w:val="18"/>
              </w:rPr>
            </w:pPr>
            <w:r w:rsidRPr="0000517E">
              <w:rPr>
                <w:i/>
                <w:sz w:val="18"/>
                <w:szCs w:val="18"/>
              </w:rPr>
              <w:t xml:space="preserve">   -Нелихвени разходи</w:t>
            </w:r>
          </w:p>
        </w:tc>
        <w:tc>
          <w:tcPr>
            <w:tcW w:w="1276" w:type="dxa"/>
            <w:tcBorders>
              <w:top w:val="single" w:sz="4" w:space="0" w:color="auto"/>
              <w:left w:val="nil"/>
              <w:bottom w:val="nil"/>
              <w:right w:val="nil"/>
            </w:tcBorders>
            <w:shd w:val="clear" w:color="auto" w:fill="auto"/>
            <w:noWrap/>
          </w:tcPr>
          <w:p w:rsidR="00C35EB3" w:rsidRPr="0000517E" w:rsidRDefault="00C35EB3" w:rsidP="00902F75">
            <w:pPr>
              <w:jc w:val="right"/>
              <w:rPr>
                <w:sz w:val="18"/>
                <w:szCs w:val="18"/>
              </w:rPr>
            </w:pPr>
            <w:r w:rsidRPr="0000517E">
              <w:rPr>
                <w:sz w:val="18"/>
                <w:szCs w:val="18"/>
              </w:rPr>
              <w:t>29 105,5</w:t>
            </w:r>
          </w:p>
        </w:tc>
        <w:tc>
          <w:tcPr>
            <w:tcW w:w="1616" w:type="dxa"/>
            <w:tcBorders>
              <w:top w:val="single" w:sz="4" w:space="0" w:color="auto"/>
              <w:left w:val="nil"/>
              <w:bottom w:val="nil"/>
              <w:right w:val="nil"/>
            </w:tcBorders>
            <w:shd w:val="clear" w:color="auto" w:fill="auto"/>
            <w:noWrap/>
            <w:vAlign w:val="bottom"/>
          </w:tcPr>
          <w:p w:rsidR="00C35EB3" w:rsidRDefault="00C35EB3" w:rsidP="00902F75">
            <w:pPr>
              <w:jc w:val="right"/>
              <w:rPr>
                <w:sz w:val="18"/>
                <w:szCs w:val="18"/>
              </w:rPr>
            </w:pPr>
            <w:r>
              <w:rPr>
                <w:sz w:val="18"/>
                <w:szCs w:val="18"/>
              </w:rPr>
              <w:t>23 924,5</w:t>
            </w:r>
          </w:p>
        </w:tc>
        <w:tc>
          <w:tcPr>
            <w:tcW w:w="1304" w:type="dxa"/>
            <w:tcBorders>
              <w:top w:val="single" w:sz="4" w:space="0" w:color="auto"/>
              <w:left w:val="nil"/>
              <w:bottom w:val="nil"/>
              <w:right w:val="single" w:sz="8" w:space="0" w:color="auto"/>
            </w:tcBorders>
            <w:shd w:val="clear" w:color="auto" w:fill="auto"/>
            <w:noWrap/>
            <w:vAlign w:val="bottom"/>
          </w:tcPr>
          <w:p w:rsidR="00C35EB3" w:rsidRDefault="00C35EB3" w:rsidP="00902F75">
            <w:pPr>
              <w:jc w:val="right"/>
              <w:rPr>
                <w:sz w:val="18"/>
                <w:szCs w:val="18"/>
              </w:rPr>
            </w:pPr>
            <w:r>
              <w:rPr>
                <w:sz w:val="18"/>
                <w:szCs w:val="18"/>
              </w:rPr>
              <w:t>82,2%</w:t>
            </w:r>
          </w:p>
        </w:tc>
      </w:tr>
      <w:tr w:rsidR="00C35EB3" w:rsidRPr="00230EFC" w:rsidTr="00902F75">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Текущи </w:t>
            </w:r>
          </w:p>
        </w:tc>
        <w:tc>
          <w:tcPr>
            <w:tcW w:w="1276" w:type="dxa"/>
            <w:tcBorders>
              <w:top w:val="nil"/>
              <w:left w:val="nil"/>
              <w:bottom w:val="nil"/>
              <w:right w:val="nil"/>
            </w:tcBorders>
            <w:shd w:val="clear" w:color="auto" w:fill="auto"/>
            <w:noWrap/>
          </w:tcPr>
          <w:p w:rsidR="00C35EB3" w:rsidRPr="0000517E" w:rsidRDefault="00C35EB3" w:rsidP="00902F75">
            <w:pPr>
              <w:jc w:val="right"/>
              <w:rPr>
                <w:sz w:val="18"/>
                <w:szCs w:val="18"/>
              </w:rPr>
            </w:pPr>
            <w:r w:rsidRPr="0000517E">
              <w:rPr>
                <w:sz w:val="18"/>
                <w:szCs w:val="18"/>
              </w:rPr>
              <w:t>23 695,7</w:t>
            </w:r>
          </w:p>
        </w:tc>
        <w:tc>
          <w:tcPr>
            <w:tcW w:w="1616" w:type="dxa"/>
            <w:tcBorders>
              <w:top w:val="nil"/>
              <w:left w:val="nil"/>
              <w:bottom w:val="nil"/>
              <w:right w:val="nil"/>
            </w:tcBorders>
            <w:shd w:val="clear" w:color="auto" w:fill="auto"/>
            <w:noWrap/>
            <w:vAlign w:val="bottom"/>
          </w:tcPr>
          <w:p w:rsidR="00C35EB3" w:rsidRDefault="00C35EB3" w:rsidP="00902F75">
            <w:pPr>
              <w:jc w:val="right"/>
              <w:rPr>
                <w:sz w:val="18"/>
                <w:szCs w:val="18"/>
              </w:rPr>
            </w:pPr>
            <w:r>
              <w:rPr>
                <w:sz w:val="18"/>
                <w:szCs w:val="18"/>
              </w:rPr>
              <w:t>20 247,9</w:t>
            </w:r>
          </w:p>
        </w:tc>
        <w:tc>
          <w:tcPr>
            <w:tcW w:w="1304" w:type="dxa"/>
            <w:tcBorders>
              <w:top w:val="nil"/>
              <w:left w:val="nil"/>
              <w:bottom w:val="nil"/>
              <w:right w:val="single" w:sz="8" w:space="0" w:color="auto"/>
            </w:tcBorders>
            <w:shd w:val="clear" w:color="auto" w:fill="auto"/>
            <w:noWrap/>
            <w:vAlign w:val="bottom"/>
          </w:tcPr>
          <w:p w:rsidR="00C35EB3" w:rsidRDefault="00C35EB3" w:rsidP="00902F75">
            <w:pPr>
              <w:jc w:val="right"/>
              <w:rPr>
                <w:sz w:val="18"/>
                <w:szCs w:val="18"/>
              </w:rPr>
            </w:pPr>
            <w:r>
              <w:rPr>
                <w:sz w:val="18"/>
                <w:szCs w:val="18"/>
              </w:rPr>
              <w:t>85,4%</w:t>
            </w:r>
          </w:p>
        </w:tc>
      </w:tr>
      <w:tr w:rsidR="00C35EB3" w:rsidRPr="00230EFC" w:rsidTr="00902F75">
        <w:trPr>
          <w:trHeight w:val="78"/>
          <w:jc w:val="center"/>
        </w:trPr>
        <w:tc>
          <w:tcPr>
            <w:tcW w:w="4854" w:type="dxa"/>
            <w:tcBorders>
              <w:top w:val="nil"/>
              <w:left w:val="single" w:sz="4" w:space="0" w:color="auto"/>
              <w:bottom w:val="nil"/>
              <w:right w:val="single" w:sz="4"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Предоставени </w:t>
            </w:r>
            <w:proofErr w:type="spellStart"/>
            <w:r w:rsidRPr="0000517E">
              <w:rPr>
                <w:sz w:val="18"/>
                <w:szCs w:val="18"/>
              </w:rPr>
              <w:t>тек</w:t>
            </w:r>
            <w:proofErr w:type="spellEnd"/>
            <w:r w:rsidRPr="0000517E">
              <w:rPr>
                <w:sz w:val="18"/>
                <w:szCs w:val="18"/>
              </w:rPr>
              <w:t xml:space="preserve">. и </w:t>
            </w:r>
            <w:proofErr w:type="spellStart"/>
            <w:r w:rsidRPr="0000517E">
              <w:rPr>
                <w:sz w:val="18"/>
                <w:szCs w:val="18"/>
              </w:rPr>
              <w:t>капит</w:t>
            </w:r>
            <w:proofErr w:type="spellEnd"/>
            <w:r w:rsidRPr="0000517E">
              <w:rPr>
                <w:sz w:val="18"/>
                <w:szCs w:val="18"/>
              </w:rPr>
              <w:t>. трансфери за чужбина</w:t>
            </w:r>
          </w:p>
        </w:tc>
        <w:tc>
          <w:tcPr>
            <w:tcW w:w="1276" w:type="dxa"/>
            <w:tcBorders>
              <w:top w:val="nil"/>
              <w:left w:val="nil"/>
              <w:bottom w:val="nil"/>
              <w:right w:val="nil"/>
            </w:tcBorders>
            <w:shd w:val="clear" w:color="auto" w:fill="auto"/>
            <w:noWrap/>
          </w:tcPr>
          <w:p w:rsidR="00C35EB3" w:rsidRPr="0000517E" w:rsidRDefault="00C35EB3" w:rsidP="00902F75">
            <w:pPr>
              <w:jc w:val="right"/>
              <w:rPr>
                <w:sz w:val="18"/>
                <w:szCs w:val="18"/>
              </w:rPr>
            </w:pPr>
            <w:r w:rsidRPr="0000517E">
              <w:rPr>
                <w:sz w:val="18"/>
                <w:szCs w:val="18"/>
              </w:rPr>
              <w:t>27,7</w:t>
            </w:r>
          </w:p>
        </w:tc>
        <w:tc>
          <w:tcPr>
            <w:tcW w:w="1616" w:type="dxa"/>
            <w:tcBorders>
              <w:top w:val="nil"/>
              <w:left w:val="nil"/>
              <w:bottom w:val="nil"/>
              <w:right w:val="nil"/>
            </w:tcBorders>
            <w:shd w:val="clear" w:color="auto" w:fill="auto"/>
            <w:noWrap/>
            <w:vAlign w:val="bottom"/>
          </w:tcPr>
          <w:p w:rsidR="00C35EB3" w:rsidRDefault="00C35EB3" w:rsidP="00902F75">
            <w:pPr>
              <w:jc w:val="right"/>
              <w:rPr>
                <w:sz w:val="18"/>
                <w:szCs w:val="18"/>
              </w:rPr>
            </w:pPr>
            <w:r>
              <w:rPr>
                <w:sz w:val="18"/>
                <w:szCs w:val="18"/>
              </w:rPr>
              <w:t>28,9</w:t>
            </w:r>
          </w:p>
        </w:tc>
        <w:tc>
          <w:tcPr>
            <w:tcW w:w="1304" w:type="dxa"/>
            <w:tcBorders>
              <w:top w:val="nil"/>
              <w:left w:val="nil"/>
              <w:bottom w:val="nil"/>
              <w:right w:val="single" w:sz="8" w:space="0" w:color="auto"/>
            </w:tcBorders>
            <w:shd w:val="clear" w:color="auto" w:fill="auto"/>
            <w:noWrap/>
            <w:vAlign w:val="bottom"/>
          </w:tcPr>
          <w:p w:rsidR="00C35EB3" w:rsidRDefault="00C35EB3" w:rsidP="00902F75">
            <w:pPr>
              <w:jc w:val="right"/>
              <w:rPr>
                <w:sz w:val="18"/>
                <w:szCs w:val="18"/>
              </w:rPr>
            </w:pPr>
            <w:r>
              <w:rPr>
                <w:sz w:val="18"/>
                <w:szCs w:val="18"/>
              </w:rPr>
              <w:t>104,3%</w:t>
            </w:r>
          </w:p>
        </w:tc>
      </w:tr>
      <w:tr w:rsidR="00C35EB3" w:rsidRPr="00230EFC" w:rsidTr="00902F75">
        <w:trPr>
          <w:trHeight w:val="179"/>
          <w:jc w:val="center"/>
        </w:trPr>
        <w:tc>
          <w:tcPr>
            <w:tcW w:w="4854" w:type="dxa"/>
            <w:tcBorders>
              <w:top w:val="nil"/>
              <w:left w:val="single" w:sz="4" w:space="0" w:color="auto"/>
              <w:bottom w:val="nil"/>
              <w:right w:val="single" w:sz="4"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Капиталови</w:t>
            </w:r>
          </w:p>
        </w:tc>
        <w:tc>
          <w:tcPr>
            <w:tcW w:w="1276" w:type="dxa"/>
            <w:tcBorders>
              <w:top w:val="nil"/>
              <w:left w:val="nil"/>
              <w:bottom w:val="nil"/>
              <w:right w:val="nil"/>
            </w:tcBorders>
            <w:shd w:val="clear" w:color="auto" w:fill="auto"/>
            <w:noWrap/>
          </w:tcPr>
          <w:p w:rsidR="00C35EB3" w:rsidRPr="0000517E" w:rsidRDefault="00C35EB3" w:rsidP="00902F75">
            <w:pPr>
              <w:jc w:val="right"/>
              <w:rPr>
                <w:sz w:val="18"/>
                <w:szCs w:val="18"/>
              </w:rPr>
            </w:pPr>
            <w:r w:rsidRPr="0000517E">
              <w:rPr>
                <w:sz w:val="18"/>
                <w:szCs w:val="18"/>
              </w:rPr>
              <w:t>5 382,1</w:t>
            </w:r>
          </w:p>
        </w:tc>
        <w:tc>
          <w:tcPr>
            <w:tcW w:w="1616" w:type="dxa"/>
            <w:tcBorders>
              <w:top w:val="nil"/>
              <w:left w:val="nil"/>
              <w:bottom w:val="nil"/>
              <w:right w:val="nil"/>
            </w:tcBorders>
            <w:shd w:val="clear" w:color="auto" w:fill="auto"/>
            <w:noWrap/>
            <w:vAlign w:val="bottom"/>
          </w:tcPr>
          <w:p w:rsidR="00C35EB3" w:rsidRDefault="00C35EB3" w:rsidP="00902F75">
            <w:pPr>
              <w:jc w:val="right"/>
              <w:rPr>
                <w:sz w:val="18"/>
                <w:szCs w:val="18"/>
              </w:rPr>
            </w:pPr>
            <w:r>
              <w:rPr>
                <w:sz w:val="18"/>
                <w:szCs w:val="18"/>
              </w:rPr>
              <w:t>3 647,8</w:t>
            </w:r>
          </w:p>
        </w:tc>
        <w:tc>
          <w:tcPr>
            <w:tcW w:w="1304" w:type="dxa"/>
            <w:tcBorders>
              <w:top w:val="nil"/>
              <w:left w:val="nil"/>
              <w:bottom w:val="nil"/>
              <w:right w:val="single" w:sz="8" w:space="0" w:color="auto"/>
            </w:tcBorders>
            <w:shd w:val="clear" w:color="auto" w:fill="auto"/>
            <w:noWrap/>
            <w:vAlign w:val="bottom"/>
          </w:tcPr>
          <w:p w:rsidR="00C35EB3" w:rsidRDefault="00C35EB3" w:rsidP="00902F75">
            <w:pPr>
              <w:jc w:val="right"/>
              <w:rPr>
                <w:sz w:val="18"/>
                <w:szCs w:val="18"/>
              </w:rPr>
            </w:pPr>
            <w:r>
              <w:rPr>
                <w:sz w:val="18"/>
                <w:szCs w:val="18"/>
              </w:rPr>
              <w:t>67,8%</w:t>
            </w:r>
          </w:p>
        </w:tc>
      </w:tr>
      <w:tr w:rsidR="00C35EB3" w:rsidRPr="00230EFC" w:rsidTr="00902F75">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rsidR="00C35EB3" w:rsidRPr="0000517E" w:rsidRDefault="00C35EB3" w:rsidP="00902F75">
            <w:pPr>
              <w:rPr>
                <w:i/>
                <w:sz w:val="18"/>
                <w:szCs w:val="18"/>
              </w:rPr>
            </w:pPr>
            <w:r w:rsidRPr="0000517E">
              <w:rPr>
                <w:i/>
                <w:sz w:val="18"/>
                <w:szCs w:val="18"/>
              </w:rPr>
              <w:t xml:space="preserve">   -Лихви</w:t>
            </w:r>
          </w:p>
        </w:tc>
        <w:tc>
          <w:tcPr>
            <w:tcW w:w="1276" w:type="dxa"/>
            <w:tcBorders>
              <w:top w:val="nil"/>
              <w:left w:val="nil"/>
              <w:bottom w:val="nil"/>
              <w:right w:val="nil"/>
            </w:tcBorders>
            <w:shd w:val="clear" w:color="auto" w:fill="auto"/>
            <w:noWrap/>
          </w:tcPr>
          <w:p w:rsidR="00C35EB3" w:rsidRPr="0000517E" w:rsidRDefault="00C35EB3" w:rsidP="00902F75">
            <w:pPr>
              <w:jc w:val="right"/>
              <w:rPr>
                <w:sz w:val="18"/>
                <w:szCs w:val="18"/>
              </w:rPr>
            </w:pPr>
            <w:r w:rsidRPr="0000517E">
              <w:rPr>
                <w:sz w:val="18"/>
                <w:szCs w:val="18"/>
              </w:rPr>
              <w:t>1 567,0</w:t>
            </w:r>
          </w:p>
        </w:tc>
        <w:tc>
          <w:tcPr>
            <w:tcW w:w="1616" w:type="dxa"/>
            <w:tcBorders>
              <w:top w:val="nil"/>
              <w:left w:val="nil"/>
              <w:bottom w:val="nil"/>
              <w:right w:val="nil"/>
            </w:tcBorders>
            <w:shd w:val="clear" w:color="auto" w:fill="auto"/>
            <w:noWrap/>
            <w:vAlign w:val="bottom"/>
          </w:tcPr>
          <w:p w:rsidR="00C35EB3" w:rsidRDefault="00C35EB3" w:rsidP="00902F75">
            <w:pPr>
              <w:jc w:val="right"/>
              <w:rPr>
                <w:sz w:val="18"/>
                <w:szCs w:val="18"/>
              </w:rPr>
            </w:pPr>
            <w:r>
              <w:rPr>
                <w:sz w:val="18"/>
                <w:szCs w:val="18"/>
              </w:rPr>
              <w:t>1 386,5</w:t>
            </w:r>
          </w:p>
        </w:tc>
        <w:tc>
          <w:tcPr>
            <w:tcW w:w="1304" w:type="dxa"/>
            <w:tcBorders>
              <w:top w:val="nil"/>
              <w:left w:val="nil"/>
              <w:bottom w:val="nil"/>
              <w:right w:val="single" w:sz="8" w:space="0" w:color="auto"/>
            </w:tcBorders>
            <w:shd w:val="clear" w:color="auto" w:fill="auto"/>
            <w:noWrap/>
            <w:vAlign w:val="bottom"/>
          </w:tcPr>
          <w:p w:rsidR="00C35EB3" w:rsidRDefault="00C35EB3" w:rsidP="00902F75">
            <w:pPr>
              <w:jc w:val="right"/>
              <w:rPr>
                <w:sz w:val="18"/>
                <w:szCs w:val="18"/>
              </w:rPr>
            </w:pPr>
            <w:r>
              <w:rPr>
                <w:sz w:val="18"/>
                <w:szCs w:val="18"/>
              </w:rPr>
              <w:t>88,5%</w:t>
            </w:r>
          </w:p>
        </w:tc>
      </w:tr>
      <w:tr w:rsidR="00C35EB3" w:rsidRPr="00230EFC" w:rsidTr="00902F75">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По външни заеми</w:t>
            </w:r>
          </w:p>
        </w:tc>
        <w:tc>
          <w:tcPr>
            <w:tcW w:w="1276" w:type="dxa"/>
            <w:tcBorders>
              <w:top w:val="nil"/>
              <w:left w:val="nil"/>
              <w:bottom w:val="nil"/>
              <w:right w:val="nil"/>
            </w:tcBorders>
            <w:shd w:val="clear" w:color="auto" w:fill="auto"/>
            <w:noWrap/>
          </w:tcPr>
          <w:p w:rsidR="00C35EB3" w:rsidRPr="0000517E" w:rsidRDefault="00C35EB3" w:rsidP="00902F75">
            <w:pPr>
              <w:jc w:val="right"/>
              <w:rPr>
                <w:sz w:val="18"/>
                <w:szCs w:val="18"/>
              </w:rPr>
            </w:pPr>
            <w:r w:rsidRPr="0000517E">
              <w:rPr>
                <w:sz w:val="18"/>
                <w:szCs w:val="18"/>
              </w:rPr>
              <w:t>1 349,1</w:t>
            </w:r>
          </w:p>
        </w:tc>
        <w:tc>
          <w:tcPr>
            <w:tcW w:w="1616" w:type="dxa"/>
            <w:tcBorders>
              <w:top w:val="nil"/>
              <w:left w:val="nil"/>
              <w:bottom w:val="nil"/>
              <w:right w:val="nil"/>
            </w:tcBorders>
            <w:shd w:val="clear" w:color="auto" w:fill="auto"/>
            <w:noWrap/>
            <w:vAlign w:val="bottom"/>
          </w:tcPr>
          <w:p w:rsidR="00C35EB3" w:rsidRDefault="00C35EB3" w:rsidP="00902F75">
            <w:pPr>
              <w:jc w:val="right"/>
              <w:rPr>
                <w:sz w:val="18"/>
                <w:szCs w:val="18"/>
              </w:rPr>
            </w:pPr>
            <w:r>
              <w:rPr>
                <w:sz w:val="18"/>
                <w:szCs w:val="18"/>
              </w:rPr>
              <w:t>1 178,4</w:t>
            </w:r>
          </w:p>
        </w:tc>
        <w:tc>
          <w:tcPr>
            <w:tcW w:w="1304" w:type="dxa"/>
            <w:tcBorders>
              <w:top w:val="nil"/>
              <w:left w:val="nil"/>
              <w:bottom w:val="nil"/>
              <w:right w:val="single" w:sz="8" w:space="0" w:color="auto"/>
            </w:tcBorders>
            <w:shd w:val="clear" w:color="auto" w:fill="auto"/>
            <w:noWrap/>
            <w:vAlign w:val="bottom"/>
          </w:tcPr>
          <w:p w:rsidR="00C35EB3" w:rsidRDefault="00C35EB3" w:rsidP="00902F75">
            <w:pPr>
              <w:jc w:val="right"/>
              <w:rPr>
                <w:sz w:val="18"/>
                <w:szCs w:val="18"/>
              </w:rPr>
            </w:pPr>
            <w:r>
              <w:rPr>
                <w:sz w:val="18"/>
                <w:szCs w:val="18"/>
              </w:rPr>
              <w:t>87,3%</w:t>
            </w:r>
          </w:p>
        </w:tc>
      </w:tr>
      <w:tr w:rsidR="00C35EB3" w:rsidRPr="00230EFC" w:rsidTr="00902F75">
        <w:trPr>
          <w:trHeight w:val="60"/>
          <w:jc w:val="center"/>
        </w:trPr>
        <w:tc>
          <w:tcPr>
            <w:tcW w:w="4854" w:type="dxa"/>
            <w:tcBorders>
              <w:top w:val="nil"/>
              <w:left w:val="single" w:sz="4" w:space="0" w:color="auto"/>
              <w:bottom w:val="nil"/>
              <w:right w:val="single" w:sz="4" w:space="0" w:color="auto"/>
            </w:tcBorders>
            <w:shd w:val="clear" w:color="auto" w:fill="auto"/>
            <w:noWrap/>
            <w:vAlign w:val="bottom"/>
          </w:tcPr>
          <w:p w:rsidR="00C35EB3" w:rsidRPr="0000517E" w:rsidRDefault="00C35EB3" w:rsidP="00902F75">
            <w:pPr>
              <w:rPr>
                <w:sz w:val="18"/>
                <w:szCs w:val="18"/>
              </w:rPr>
            </w:pPr>
            <w:r w:rsidRPr="0000517E">
              <w:rPr>
                <w:sz w:val="18"/>
                <w:szCs w:val="18"/>
              </w:rPr>
              <w:t xml:space="preserve">      По вътрешни заеми</w:t>
            </w:r>
          </w:p>
        </w:tc>
        <w:tc>
          <w:tcPr>
            <w:tcW w:w="1276" w:type="dxa"/>
            <w:tcBorders>
              <w:top w:val="nil"/>
              <w:left w:val="nil"/>
              <w:bottom w:val="nil"/>
              <w:right w:val="nil"/>
            </w:tcBorders>
            <w:shd w:val="clear" w:color="auto" w:fill="auto"/>
            <w:noWrap/>
          </w:tcPr>
          <w:p w:rsidR="00C35EB3" w:rsidRPr="0000517E" w:rsidRDefault="00C35EB3" w:rsidP="00902F75">
            <w:pPr>
              <w:jc w:val="right"/>
              <w:rPr>
                <w:sz w:val="18"/>
                <w:szCs w:val="18"/>
              </w:rPr>
            </w:pPr>
            <w:r w:rsidRPr="0000517E">
              <w:rPr>
                <w:sz w:val="18"/>
                <w:szCs w:val="18"/>
              </w:rPr>
              <w:t>217,9</w:t>
            </w:r>
          </w:p>
        </w:tc>
        <w:tc>
          <w:tcPr>
            <w:tcW w:w="1616" w:type="dxa"/>
            <w:tcBorders>
              <w:top w:val="nil"/>
              <w:left w:val="nil"/>
              <w:bottom w:val="nil"/>
              <w:right w:val="nil"/>
            </w:tcBorders>
            <w:shd w:val="clear" w:color="auto" w:fill="auto"/>
            <w:noWrap/>
            <w:vAlign w:val="bottom"/>
          </w:tcPr>
          <w:p w:rsidR="00C35EB3" w:rsidRDefault="00C35EB3" w:rsidP="00902F75">
            <w:pPr>
              <w:jc w:val="right"/>
              <w:rPr>
                <w:sz w:val="18"/>
                <w:szCs w:val="18"/>
              </w:rPr>
            </w:pPr>
            <w:r>
              <w:rPr>
                <w:sz w:val="18"/>
                <w:szCs w:val="18"/>
              </w:rPr>
              <w:t>208,1</w:t>
            </w:r>
          </w:p>
        </w:tc>
        <w:tc>
          <w:tcPr>
            <w:tcW w:w="1304" w:type="dxa"/>
            <w:tcBorders>
              <w:top w:val="nil"/>
              <w:left w:val="nil"/>
              <w:bottom w:val="nil"/>
              <w:right w:val="single" w:sz="8" w:space="0" w:color="auto"/>
            </w:tcBorders>
            <w:shd w:val="clear" w:color="auto" w:fill="auto"/>
            <w:noWrap/>
            <w:vAlign w:val="bottom"/>
          </w:tcPr>
          <w:p w:rsidR="00C35EB3" w:rsidRDefault="00C35EB3" w:rsidP="00902F75">
            <w:pPr>
              <w:jc w:val="right"/>
              <w:rPr>
                <w:sz w:val="18"/>
                <w:szCs w:val="18"/>
              </w:rPr>
            </w:pPr>
            <w:r>
              <w:rPr>
                <w:sz w:val="18"/>
                <w:szCs w:val="18"/>
              </w:rPr>
              <w:t>95,5%</w:t>
            </w:r>
          </w:p>
        </w:tc>
      </w:tr>
      <w:tr w:rsidR="00C35EB3" w:rsidRPr="00230EFC" w:rsidTr="00902F75">
        <w:trPr>
          <w:trHeight w:val="85"/>
          <w:jc w:val="center"/>
        </w:trPr>
        <w:tc>
          <w:tcPr>
            <w:tcW w:w="4854" w:type="dxa"/>
            <w:tcBorders>
              <w:top w:val="nil"/>
              <w:left w:val="single" w:sz="4" w:space="0" w:color="auto"/>
              <w:bottom w:val="nil"/>
              <w:right w:val="single" w:sz="4" w:space="0" w:color="auto"/>
            </w:tcBorders>
            <w:shd w:val="clear" w:color="auto" w:fill="auto"/>
            <w:noWrap/>
            <w:vAlign w:val="bottom"/>
          </w:tcPr>
          <w:p w:rsidR="00C35EB3" w:rsidRPr="0000517E" w:rsidRDefault="00C35EB3" w:rsidP="00902F75">
            <w:pPr>
              <w:rPr>
                <w:i/>
                <w:sz w:val="18"/>
                <w:szCs w:val="18"/>
              </w:rPr>
            </w:pPr>
            <w:r w:rsidRPr="0000517E">
              <w:rPr>
                <w:i/>
                <w:sz w:val="18"/>
                <w:szCs w:val="18"/>
              </w:rPr>
              <w:t xml:space="preserve"> - Резерв за непредвидени и неотложни разходи</w:t>
            </w:r>
            <w:r w:rsidRPr="0000517E">
              <w:rPr>
                <w:rStyle w:val="FootnoteReference"/>
                <w:i/>
                <w:sz w:val="18"/>
                <w:szCs w:val="18"/>
              </w:rPr>
              <w:footnoteReference w:id="10"/>
            </w:r>
            <w:r w:rsidRPr="0000517E">
              <w:rPr>
                <w:i/>
                <w:sz w:val="18"/>
                <w:szCs w:val="18"/>
              </w:rPr>
              <w:tab/>
            </w:r>
          </w:p>
        </w:tc>
        <w:tc>
          <w:tcPr>
            <w:tcW w:w="1276" w:type="dxa"/>
            <w:tcBorders>
              <w:top w:val="nil"/>
              <w:left w:val="nil"/>
              <w:bottom w:val="nil"/>
              <w:right w:val="nil"/>
            </w:tcBorders>
            <w:shd w:val="clear" w:color="auto" w:fill="auto"/>
            <w:noWrap/>
            <w:vAlign w:val="bottom"/>
          </w:tcPr>
          <w:p w:rsidR="00C35EB3" w:rsidRPr="0000517E" w:rsidRDefault="00C35EB3" w:rsidP="00902F75">
            <w:pPr>
              <w:jc w:val="right"/>
              <w:rPr>
                <w:sz w:val="18"/>
                <w:szCs w:val="18"/>
              </w:rPr>
            </w:pPr>
            <w:r w:rsidRPr="0000517E">
              <w:rPr>
                <w:sz w:val="18"/>
                <w:szCs w:val="18"/>
                <w:lang w:val="ru-RU"/>
              </w:rPr>
              <w:t xml:space="preserve">      </w:t>
            </w:r>
            <w:r w:rsidRPr="0000517E">
              <w:rPr>
                <w:sz w:val="18"/>
                <w:szCs w:val="18"/>
              </w:rPr>
              <w:t>131,4</w:t>
            </w:r>
            <w:r w:rsidRPr="0000517E">
              <w:rPr>
                <w:sz w:val="18"/>
                <w:szCs w:val="18"/>
              </w:rPr>
              <w:tab/>
            </w:r>
          </w:p>
        </w:tc>
        <w:tc>
          <w:tcPr>
            <w:tcW w:w="1616" w:type="dxa"/>
            <w:tcBorders>
              <w:top w:val="nil"/>
              <w:left w:val="nil"/>
              <w:bottom w:val="nil"/>
              <w:right w:val="nil"/>
            </w:tcBorders>
            <w:shd w:val="clear" w:color="auto" w:fill="auto"/>
            <w:noWrap/>
            <w:vAlign w:val="bottom"/>
          </w:tcPr>
          <w:p w:rsidR="00C35EB3" w:rsidRDefault="00C35EB3" w:rsidP="00902F75">
            <w:pPr>
              <w:jc w:val="right"/>
              <w:rPr>
                <w:sz w:val="18"/>
                <w:szCs w:val="18"/>
              </w:rPr>
            </w:pPr>
          </w:p>
        </w:tc>
        <w:tc>
          <w:tcPr>
            <w:tcW w:w="1304" w:type="dxa"/>
            <w:tcBorders>
              <w:top w:val="nil"/>
              <w:left w:val="nil"/>
              <w:bottom w:val="nil"/>
              <w:right w:val="single" w:sz="8" w:space="0" w:color="auto"/>
            </w:tcBorders>
            <w:shd w:val="clear" w:color="auto" w:fill="auto"/>
            <w:noWrap/>
            <w:vAlign w:val="bottom"/>
          </w:tcPr>
          <w:p w:rsidR="00C35EB3" w:rsidRDefault="00C35EB3" w:rsidP="00902F75">
            <w:pPr>
              <w:rPr>
                <w:sz w:val="18"/>
                <w:szCs w:val="18"/>
              </w:rPr>
            </w:pPr>
            <w:r>
              <w:rPr>
                <w:sz w:val="18"/>
                <w:szCs w:val="18"/>
              </w:rPr>
              <w:t> </w:t>
            </w:r>
          </w:p>
        </w:tc>
      </w:tr>
      <w:tr w:rsidR="00C35EB3" w:rsidRPr="00230EFC" w:rsidTr="00902F75">
        <w:trPr>
          <w:trHeight w:val="85"/>
          <w:jc w:val="center"/>
        </w:trPr>
        <w:tc>
          <w:tcPr>
            <w:tcW w:w="4854" w:type="dxa"/>
            <w:tcBorders>
              <w:top w:val="nil"/>
              <w:left w:val="single" w:sz="4" w:space="0" w:color="auto"/>
              <w:bottom w:val="nil"/>
              <w:right w:val="single" w:sz="4" w:space="0" w:color="auto"/>
            </w:tcBorders>
            <w:shd w:val="clear" w:color="auto" w:fill="auto"/>
            <w:noWrap/>
            <w:vAlign w:val="bottom"/>
          </w:tcPr>
          <w:p w:rsidR="00C35EB3" w:rsidRPr="0000517E" w:rsidRDefault="00C35EB3" w:rsidP="00902F75">
            <w:pPr>
              <w:rPr>
                <w:i/>
                <w:sz w:val="18"/>
                <w:szCs w:val="18"/>
              </w:rPr>
            </w:pPr>
            <w:r w:rsidRPr="0000517E">
              <w:rPr>
                <w:i/>
                <w:sz w:val="18"/>
                <w:szCs w:val="18"/>
              </w:rPr>
              <w:t xml:space="preserve"> - Трансфери за  др. бюджети – нето</w:t>
            </w:r>
          </w:p>
        </w:tc>
        <w:tc>
          <w:tcPr>
            <w:tcW w:w="1276" w:type="dxa"/>
            <w:tcBorders>
              <w:top w:val="nil"/>
              <w:left w:val="nil"/>
              <w:bottom w:val="nil"/>
              <w:right w:val="nil"/>
            </w:tcBorders>
            <w:shd w:val="clear" w:color="auto" w:fill="auto"/>
            <w:noWrap/>
          </w:tcPr>
          <w:p w:rsidR="00C35EB3" w:rsidRPr="0000517E" w:rsidRDefault="00C35EB3" w:rsidP="00902F75">
            <w:pPr>
              <w:jc w:val="right"/>
              <w:rPr>
                <w:sz w:val="18"/>
                <w:szCs w:val="18"/>
              </w:rPr>
            </w:pPr>
            <w:r w:rsidRPr="0000517E">
              <w:rPr>
                <w:sz w:val="18"/>
                <w:szCs w:val="18"/>
              </w:rPr>
              <w:t>29 476,6</w:t>
            </w:r>
          </w:p>
        </w:tc>
        <w:tc>
          <w:tcPr>
            <w:tcW w:w="1616" w:type="dxa"/>
            <w:tcBorders>
              <w:top w:val="nil"/>
              <w:left w:val="nil"/>
              <w:bottom w:val="nil"/>
              <w:right w:val="nil"/>
            </w:tcBorders>
            <w:shd w:val="clear" w:color="auto" w:fill="auto"/>
            <w:noWrap/>
            <w:vAlign w:val="bottom"/>
          </w:tcPr>
          <w:p w:rsidR="00C35EB3" w:rsidRDefault="00C35EB3" w:rsidP="00902F75">
            <w:pPr>
              <w:jc w:val="right"/>
              <w:rPr>
                <w:sz w:val="18"/>
                <w:szCs w:val="18"/>
              </w:rPr>
            </w:pPr>
            <w:r>
              <w:rPr>
                <w:sz w:val="18"/>
                <w:szCs w:val="18"/>
              </w:rPr>
              <w:t>30 197,5</w:t>
            </w:r>
          </w:p>
        </w:tc>
        <w:tc>
          <w:tcPr>
            <w:tcW w:w="1304" w:type="dxa"/>
            <w:tcBorders>
              <w:top w:val="nil"/>
              <w:left w:val="nil"/>
              <w:bottom w:val="nil"/>
              <w:right w:val="single" w:sz="8" w:space="0" w:color="auto"/>
            </w:tcBorders>
            <w:shd w:val="clear" w:color="auto" w:fill="auto"/>
            <w:noWrap/>
            <w:vAlign w:val="bottom"/>
          </w:tcPr>
          <w:p w:rsidR="00C35EB3" w:rsidRDefault="00C35EB3" w:rsidP="00902F75">
            <w:pPr>
              <w:jc w:val="right"/>
              <w:rPr>
                <w:sz w:val="18"/>
                <w:szCs w:val="18"/>
              </w:rPr>
            </w:pPr>
            <w:r>
              <w:rPr>
                <w:sz w:val="18"/>
                <w:szCs w:val="18"/>
              </w:rPr>
              <w:t>102,4%</w:t>
            </w:r>
          </w:p>
        </w:tc>
      </w:tr>
      <w:tr w:rsidR="00C35EB3" w:rsidRPr="00230EFC" w:rsidTr="00902F75">
        <w:trPr>
          <w:trHeight w:val="80"/>
          <w:jc w:val="center"/>
        </w:trPr>
        <w:tc>
          <w:tcPr>
            <w:tcW w:w="4854" w:type="dxa"/>
            <w:tcBorders>
              <w:top w:val="nil"/>
              <w:left w:val="single" w:sz="4" w:space="0" w:color="auto"/>
              <w:bottom w:val="single" w:sz="4" w:space="0" w:color="auto"/>
              <w:right w:val="single" w:sz="4" w:space="0" w:color="auto"/>
            </w:tcBorders>
            <w:shd w:val="clear" w:color="auto" w:fill="auto"/>
            <w:noWrap/>
            <w:vAlign w:val="bottom"/>
          </w:tcPr>
          <w:p w:rsidR="00C35EB3" w:rsidRPr="0000517E" w:rsidRDefault="00C35EB3" w:rsidP="00902F75">
            <w:pPr>
              <w:rPr>
                <w:bCs/>
                <w:i/>
                <w:sz w:val="18"/>
                <w:szCs w:val="18"/>
              </w:rPr>
            </w:pPr>
            <w:r w:rsidRPr="0000517E">
              <w:rPr>
                <w:bCs/>
                <w:i/>
                <w:sz w:val="18"/>
                <w:szCs w:val="18"/>
              </w:rPr>
              <w:t xml:space="preserve"> - Вноска в бюджета на ЕС</w:t>
            </w:r>
          </w:p>
        </w:tc>
        <w:tc>
          <w:tcPr>
            <w:tcW w:w="1276" w:type="dxa"/>
            <w:tcBorders>
              <w:top w:val="nil"/>
              <w:left w:val="nil"/>
              <w:bottom w:val="single" w:sz="4" w:space="0" w:color="auto"/>
              <w:right w:val="nil"/>
            </w:tcBorders>
            <w:shd w:val="clear" w:color="auto" w:fill="auto"/>
            <w:noWrap/>
          </w:tcPr>
          <w:p w:rsidR="00C35EB3" w:rsidRPr="0000517E" w:rsidRDefault="00C35EB3" w:rsidP="00902F75">
            <w:pPr>
              <w:jc w:val="right"/>
              <w:rPr>
                <w:sz w:val="18"/>
                <w:szCs w:val="18"/>
              </w:rPr>
            </w:pPr>
            <w:r w:rsidRPr="0000517E">
              <w:rPr>
                <w:sz w:val="18"/>
                <w:szCs w:val="18"/>
              </w:rPr>
              <w:t>2 020,5</w:t>
            </w:r>
          </w:p>
        </w:tc>
        <w:tc>
          <w:tcPr>
            <w:tcW w:w="1616" w:type="dxa"/>
            <w:tcBorders>
              <w:top w:val="nil"/>
              <w:left w:val="nil"/>
              <w:bottom w:val="single" w:sz="4" w:space="0" w:color="auto"/>
              <w:right w:val="nil"/>
            </w:tcBorders>
            <w:shd w:val="clear" w:color="auto" w:fill="auto"/>
            <w:noWrap/>
            <w:vAlign w:val="bottom"/>
          </w:tcPr>
          <w:p w:rsidR="00C35EB3" w:rsidRDefault="00C35EB3" w:rsidP="00902F75">
            <w:pPr>
              <w:jc w:val="right"/>
              <w:rPr>
                <w:sz w:val="18"/>
                <w:szCs w:val="18"/>
              </w:rPr>
            </w:pPr>
            <w:r>
              <w:rPr>
                <w:sz w:val="18"/>
                <w:szCs w:val="18"/>
              </w:rPr>
              <w:t>2 036,0</w:t>
            </w:r>
          </w:p>
        </w:tc>
        <w:tc>
          <w:tcPr>
            <w:tcW w:w="1304" w:type="dxa"/>
            <w:tcBorders>
              <w:top w:val="nil"/>
              <w:left w:val="nil"/>
              <w:bottom w:val="single" w:sz="4" w:space="0" w:color="auto"/>
              <w:right w:val="single" w:sz="8" w:space="0" w:color="auto"/>
            </w:tcBorders>
            <w:shd w:val="clear" w:color="auto" w:fill="auto"/>
            <w:noWrap/>
            <w:vAlign w:val="bottom"/>
          </w:tcPr>
          <w:p w:rsidR="00C35EB3" w:rsidRDefault="00C35EB3" w:rsidP="00902F75">
            <w:pPr>
              <w:jc w:val="right"/>
              <w:rPr>
                <w:sz w:val="18"/>
                <w:szCs w:val="18"/>
              </w:rPr>
            </w:pPr>
            <w:r>
              <w:rPr>
                <w:sz w:val="18"/>
                <w:szCs w:val="18"/>
              </w:rPr>
              <w:t>100,8%</w:t>
            </w:r>
          </w:p>
        </w:tc>
      </w:tr>
      <w:tr w:rsidR="00C35EB3" w:rsidRPr="00230EFC" w:rsidTr="00902F75">
        <w:trPr>
          <w:trHeight w:val="50"/>
          <w:jc w:val="center"/>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5EB3" w:rsidRPr="0000517E" w:rsidRDefault="00C35EB3" w:rsidP="00902F75">
            <w:pPr>
              <w:rPr>
                <w:b/>
                <w:bCs/>
                <w:sz w:val="18"/>
                <w:szCs w:val="18"/>
              </w:rPr>
            </w:pPr>
            <w:r w:rsidRPr="0000517E">
              <w:rPr>
                <w:b/>
                <w:bCs/>
                <w:sz w:val="18"/>
                <w:szCs w:val="18"/>
              </w:rPr>
              <w:t>Бюджетен баланс</w:t>
            </w:r>
          </w:p>
        </w:tc>
        <w:tc>
          <w:tcPr>
            <w:tcW w:w="1276" w:type="dxa"/>
            <w:tcBorders>
              <w:top w:val="nil"/>
              <w:left w:val="nil"/>
              <w:bottom w:val="single" w:sz="8" w:space="0" w:color="auto"/>
              <w:right w:val="nil"/>
            </w:tcBorders>
            <w:shd w:val="clear" w:color="auto" w:fill="auto"/>
            <w:noWrap/>
          </w:tcPr>
          <w:p w:rsidR="00C35EB3" w:rsidRPr="0000517E" w:rsidRDefault="00C35EB3" w:rsidP="00902F75">
            <w:pPr>
              <w:jc w:val="right"/>
              <w:rPr>
                <w:b/>
                <w:sz w:val="18"/>
                <w:szCs w:val="18"/>
              </w:rPr>
            </w:pPr>
            <w:r w:rsidRPr="0000517E">
              <w:rPr>
                <w:b/>
                <w:sz w:val="18"/>
                <w:szCs w:val="18"/>
              </w:rPr>
              <w:t>-7 132,6</w:t>
            </w:r>
          </w:p>
        </w:tc>
        <w:tc>
          <w:tcPr>
            <w:tcW w:w="1616" w:type="dxa"/>
            <w:tcBorders>
              <w:top w:val="nil"/>
              <w:left w:val="nil"/>
              <w:bottom w:val="single" w:sz="8" w:space="0" w:color="auto"/>
              <w:right w:val="nil"/>
            </w:tcBorders>
            <w:shd w:val="clear" w:color="auto" w:fill="auto"/>
            <w:noWrap/>
            <w:vAlign w:val="bottom"/>
          </w:tcPr>
          <w:p w:rsidR="00C35EB3" w:rsidRDefault="00C35EB3" w:rsidP="00902F75">
            <w:pPr>
              <w:jc w:val="right"/>
              <w:rPr>
                <w:b/>
                <w:bCs/>
                <w:sz w:val="18"/>
                <w:szCs w:val="18"/>
              </w:rPr>
            </w:pPr>
            <w:r>
              <w:rPr>
                <w:b/>
                <w:bCs/>
                <w:sz w:val="18"/>
                <w:szCs w:val="18"/>
              </w:rPr>
              <w:t>-6 088,6</w:t>
            </w:r>
          </w:p>
        </w:tc>
        <w:tc>
          <w:tcPr>
            <w:tcW w:w="1304" w:type="dxa"/>
            <w:tcBorders>
              <w:top w:val="nil"/>
              <w:left w:val="nil"/>
              <w:bottom w:val="single" w:sz="8" w:space="0" w:color="auto"/>
              <w:right w:val="single" w:sz="8" w:space="0" w:color="auto"/>
            </w:tcBorders>
            <w:shd w:val="clear" w:color="auto" w:fill="auto"/>
            <w:noWrap/>
            <w:vAlign w:val="bottom"/>
          </w:tcPr>
          <w:p w:rsidR="00C35EB3" w:rsidRDefault="00C35EB3" w:rsidP="00902F75">
            <w:pPr>
              <w:rPr>
                <w:b/>
                <w:bCs/>
                <w:sz w:val="18"/>
                <w:szCs w:val="18"/>
              </w:rPr>
            </w:pPr>
            <w:r>
              <w:rPr>
                <w:b/>
                <w:bCs/>
                <w:sz w:val="18"/>
                <w:szCs w:val="18"/>
              </w:rPr>
              <w:t> </w:t>
            </w:r>
          </w:p>
        </w:tc>
      </w:tr>
    </w:tbl>
    <w:p w:rsidR="00C35EB3" w:rsidRDefault="00C35EB3" w:rsidP="00C35EB3">
      <w:pPr>
        <w:ind w:right="-242"/>
        <w:rPr>
          <w:bCs/>
          <w:color w:val="0070C0"/>
          <w:sz w:val="6"/>
          <w:szCs w:val="6"/>
        </w:rPr>
      </w:pPr>
    </w:p>
    <w:p w:rsidR="00C35EB3" w:rsidRDefault="00C35EB3" w:rsidP="00C35EB3">
      <w:pPr>
        <w:ind w:right="-242"/>
        <w:rPr>
          <w:bCs/>
          <w:color w:val="0070C0"/>
          <w:sz w:val="6"/>
          <w:szCs w:val="6"/>
        </w:rPr>
      </w:pPr>
    </w:p>
    <w:p w:rsidR="00C35EB3" w:rsidRDefault="00C35EB3" w:rsidP="00C35EB3">
      <w:pPr>
        <w:ind w:right="-242"/>
        <w:rPr>
          <w:bCs/>
          <w:color w:val="0070C0"/>
          <w:sz w:val="6"/>
          <w:szCs w:val="6"/>
        </w:rPr>
      </w:pPr>
    </w:p>
    <w:p w:rsidR="00C35EB3" w:rsidRPr="00230EFC" w:rsidRDefault="00C35EB3" w:rsidP="00C35EB3">
      <w:pPr>
        <w:pStyle w:val="BodyTextIndent"/>
        <w:ind w:left="0"/>
        <w:jc w:val="both"/>
        <w:rPr>
          <w:b/>
          <w:color w:val="0070C0"/>
          <w:sz w:val="12"/>
        </w:rPr>
      </w:pPr>
    </w:p>
    <w:p w:rsidR="00C35EB3" w:rsidRPr="0004302D" w:rsidRDefault="00C35EB3" w:rsidP="00C35EB3">
      <w:pPr>
        <w:pStyle w:val="BodyTextIndent"/>
        <w:numPr>
          <w:ilvl w:val="0"/>
          <w:numId w:val="2"/>
        </w:numPr>
        <w:jc w:val="both"/>
        <w:rPr>
          <w:b/>
        </w:rPr>
      </w:pPr>
      <w:r w:rsidRPr="0004302D">
        <w:rPr>
          <w:b/>
          <w:bCs/>
        </w:rPr>
        <w:t xml:space="preserve">Приходи по държавния бюджет </w:t>
      </w:r>
    </w:p>
    <w:p w:rsidR="00C35EB3" w:rsidRPr="00940DE0" w:rsidRDefault="00C35EB3" w:rsidP="00C35EB3">
      <w:pPr>
        <w:spacing w:before="120"/>
        <w:jc w:val="both"/>
        <w:rPr>
          <w:bCs/>
        </w:rPr>
      </w:pPr>
      <w:r w:rsidRPr="0004302D">
        <w:rPr>
          <w:bCs/>
        </w:rPr>
        <w:t>Общият размер на</w:t>
      </w:r>
      <w:r w:rsidRPr="0004302D">
        <w:rPr>
          <w:b/>
          <w:bCs/>
        </w:rPr>
        <w:t xml:space="preserve"> приходите, помощите и даренията по държавния бюджет</w:t>
      </w:r>
      <w:r w:rsidRPr="0004302D">
        <w:rPr>
          <w:bCs/>
        </w:rPr>
        <w:t xml:space="preserve"> към декември 202</w:t>
      </w:r>
      <w:r w:rsidRPr="0004302D">
        <w:rPr>
          <w:bCs/>
          <w:lang w:val="ru-RU"/>
        </w:rPr>
        <w:t>5</w:t>
      </w:r>
      <w:r w:rsidRPr="0004302D">
        <w:rPr>
          <w:bCs/>
        </w:rPr>
        <w:t> г. е</w:t>
      </w:r>
      <w:r w:rsidRPr="0004302D">
        <w:rPr>
          <w:b/>
          <w:bCs/>
        </w:rPr>
        <w:t xml:space="preserve"> </w:t>
      </w:r>
      <w:r w:rsidRPr="0004302D">
        <w:rPr>
          <w:b/>
          <w:bCs/>
          <w:lang w:val="ru-RU"/>
        </w:rPr>
        <w:t xml:space="preserve">51 456,0 </w:t>
      </w:r>
      <w:r w:rsidRPr="0004302D">
        <w:rPr>
          <w:b/>
          <w:bCs/>
        </w:rPr>
        <w:t>млн. лв.</w:t>
      </w:r>
      <w:r w:rsidRPr="0004302D">
        <w:rPr>
          <w:bCs/>
        </w:rPr>
        <w:t xml:space="preserve">, което представлява </w:t>
      </w:r>
      <w:r w:rsidRPr="0004302D">
        <w:rPr>
          <w:bCs/>
          <w:lang w:val="ru-RU"/>
        </w:rPr>
        <w:t xml:space="preserve">93,3 % </w:t>
      </w:r>
      <w:r w:rsidRPr="0004302D">
        <w:rPr>
          <w:bCs/>
        </w:rPr>
        <w:t>изпълнение на разчетите по ЗДБРБ за 2025</w:t>
      </w:r>
      <w:r w:rsidRPr="0004302D">
        <w:rPr>
          <w:bCs/>
          <w:lang w:val="en-US"/>
        </w:rPr>
        <w:t> </w:t>
      </w:r>
      <w:r w:rsidRPr="0004302D">
        <w:rPr>
          <w:bCs/>
        </w:rPr>
        <w:t xml:space="preserve">г. и ръст от </w:t>
      </w:r>
      <w:r w:rsidRPr="0004302D">
        <w:rPr>
          <w:bCs/>
          <w:lang w:val="ru-RU"/>
        </w:rPr>
        <w:t>7 </w:t>
      </w:r>
      <w:r w:rsidRPr="0004302D">
        <w:rPr>
          <w:bCs/>
          <w:lang w:val="en-US"/>
        </w:rPr>
        <w:t>914</w:t>
      </w:r>
      <w:r w:rsidRPr="0004302D">
        <w:rPr>
          <w:bCs/>
        </w:rPr>
        <w:t>,</w:t>
      </w:r>
      <w:r w:rsidRPr="0004302D">
        <w:rPr>
          <w:bCs/>
          <w:lang w:val="en-US"/>
        </w:rPr>
        <w:t>0</w:t>
      </w:r>
      <w:r w:rsidRPr="0004302D">
        <w:rPr>
          <w:bCs/>
          <w:lang w:val="ru-RU"/>
        </w:rPr>
        <w:t xml:space="preserve"> </w:t>
      </w:r>
      <w:r w:rsidRPr="0004302D">
        <w:rPr>
          <w:bCs/>
        </w:rPr>
        <w:t>млн</w:t>
      </w:r>
      <w:r w:rsidRPr="00940DE0">
        <w:rPr>
          <w:bCs/>
        </w:rPr>
        <w:t>. лв. (18,2 %) спрямо отчетените за предходната година.</w:t>
      </w:r>
    </w:p>
    <w:p w:rsidR="00C35EB3" w:rsidRPr="00940DE0" w:rsidRDefault="00C35EB3" w:rsidP="00C35EB3">
      <w:pPr>
        <w:numPr>
          <w:ilvl w:val="0"/>
          <w:numId w:val="3"/>
        </w:numPr>
        <w:tabs>
          <w:tab w:val="num" w:pos="720"/>
        </w:tabs>
        <w:spacing w:before="120"/>
        <w:ind w:left="0" w:firstLine="181"/>
        <w:jc w:val="both"/>
        <w:rPr>
          <w:b/>
          <w:bCs/>
        </w:rPr>
      </w:pPr>
      <w:r w:rsidRPr="00940DE0">
        <w:rPr>
          <w:bCs/>
        </w:rPr>
        <w:t xml:space="preserve"> </w:t>
      </w:r>
      <w:r w:rsidRPr="00940DE0">
        <w:rPr>
          <w:b/>
          <w:bCs/>
        </w:rPr>
        <w:t>Данъчни приходи</w:t>
      </w:r>
    </w:p>
    <w:p w:rsidR="00C35EB3" w:rsidRPr="00230EFC" w:rsidRDefault="00C35EB3" w:rsidP="00C35EB3">
      <w:pPr>
        <w:jc w:val="both"/>
        <w:rPr>
          <w:bCs/>
          <w:color w:val="0070C0"/>
          <w:sz w:val="4"/>
          <w:szCs w:val="4"/>
        </w:rPr>
      </w:pPr>
    </w:p>
    <w:p w:rsidR="00C35EB3" w:rsidRPr="00230EFC" w:rsidRDefault="00C35EB3" w:rsidP="00C35EB3">
      <w:pPr>
        <w:jc w:val="both"/>
        <w:rPr>
          <w:b/>
          <w:bCs/>
          <w:color w:val="0070C0"/>
        </w:rPr>
      </w:pPr>
      <w:r w:rsidRPr="007C4945">
        <w:rPr>
          <w:bCs/>
        </w:rPr>
        <w:t>Размерът на</w:t>
      </w:r>
      <w:r w:rsidRPr="007C4945">
        <w:rPr>
          <w:b/>
          <w:bCs/>
        </w:rPr>
        <w:t xml:space="preserve"> данъчните постъпления по държавния бюджет</w:t>
      </w:r>
      <w:r w:rsidRPr="007C4945">
        <w:rPr>
          <w:bCs/>
        </w:rPr>
        <w:t xml:space="preserve"> към декември 2025 г. </w:t>
      </w:r>
      <w:r w:rsidRPr="007C4945">
        <w:t xml:space="preserve">е </w:t>
      </w:r>
      <w:r w:rsidRPr="007C4945">
        <w:rPr>
          <w:b/>
          <w:lang w:val="ru-RU"/>
        </w:rPr>
        <w:t xml:space="preserve">44 542,6 </w:t>
      </w:r>
      <w:r w:rsidRPr="007C4945">
        <w:rPr>
          <w:b/>
        </w:rPr>
        <w:t>млн.</w:t>
      </w:r>
      <w:r w:rsidRPr="007C4945">
        <w:rPr>
          <w:b/>
          <w:lang w:val="en-US"/>
        </w:rPr>
        <w:t> </w:t>
      </w:r>
      <w:r w:rsidRPr="007C4945">
        <w:rPr>
          <w:b/>
        </w:rPr>
        <w:t>лв</w:t>
      </w:r>
      <w:r w:rsidRPr="007C4945">
        <w:t xml:space="preserve">., което представлява </w:t>
      </w:r>
      <w:r w:rsidRPr="007C4945">
        <w:rPr>
          <w:lang w:val="ru-RU"/>
        </w:rPr>
        <w:t xml:space="preserve">92,4 % </w:t>
      </w:r>
      <w:r w:rsidRPr="007C4945">
        <w:t xml:space="preserve">изпълнение на годишните разчети. Сравнени с данните към декември 2024 г. данъчните приходи нарастват с 5 979,4 млн. лв. или 15,5 на сто, което основно </w:t>
      </w:r>
      <w:r w:rsidRPr="00F02640">
        <w:t>се дължи на номиналния ръст при приходите от данък върху добавената стойност (ръст от 3 031,7 млн. лв.)</w:t>
      </w:r>
      <w:r w:rsidRPr="00F02640">
        <w:rPr>
          <w:lang w:val="en-US"/>
        </w:rPr>
        <w:t xml:space="preserve">, </w:t>
      </w:r>
      <w:r w:rsidRPr="00F02640">
        <w:t>корпоративни данъци</w:t>
      </w:r>
      <w:r w:rsidRPr="00F02640" w:rsidDel="00910848">
        <w:t xml:space="preserve"> </w:t>
      </w:r>
      <w:r w:rsidRPr="00F02640">
        <w:t>(ръст от 1 310,0 млн. лв.)</w:t>
      </w:r>
      <w:r>
        <w:t xml:space="preserve"> </w:t>
      </w:r>
      <w:r w:rsidRPr="00F02640">
        <w:t>и данъци върху доходите на физически лица</w:t>
      </w:r>
      <w:r w:rsidRPr="00F02640">
        <w:rPr>
          <w:lang w:val="en-US"/>
        </w:rPr>
        <w:t xml:space="preserve"> (</w:t>
      </w:r>
      <w:r w:rsidRPr="00F02640">
        <w:t>ръст от 1 029,8 млн. лв.).</w:t>
      </w:r>
    </w:p>
    <w:p w:rsidR="00C35EB3" w:rsidRPr="00230EFC" w:rsidRDefault="00C35EB3" w:rsidP="00C35EB3">
      <w:pPr>
        <w:spacing w:before="120"/>
        <w:jc w:val="both"/>
        <w:rPr>
          <w:color w:val="0070C0"/>
          <w:lang w:val="ru-RU"/>
        </w:rPr>
      </w:pPr>
      <w:r w:rsidRPr="00F13E53">
        <w:t>Приходите в групата на</w:t>
      </w:r>
      <w:r w:rsidRPr="00F13E53">
        <w:rPr>
          <w:b/>
        </w:rPr>
        <w:t xml:space="preserve"> преките данъци</w:t>
      </w:r>
      <w:r w:rsidRPr="00F13E53">
        <w:t xml:space="preserve"> са в размер на</w:t>
      </w:r>
      <w:r w:rsidRPr="00F13E53">
        <w:rPr>
          <w:b/>
        </w:rPr>
        <w:t xml:space="preserve"> </w:t>
      </w:r>
      <w:r w:rsidRPr="00F13E53">
        <w:rPr>
          <w:b/>
          <w:lang w:val="ru-RU"/>
        </w:rPr>
        <w:t xml:space="preserve">14 838,8 </w:t>
      </w:r>
      <w:r w:rsidRPr="00F13E53">
        <w:rPr>
          <w:b/>
        </w:rPr>
        <w:t>млн. лв</w:t>
      </w:r>
      <w:r w:rsidRPr="00F13E53">
        <w:t xml:space="preserve">. или </w:t>
      </w:r>
      <w:r w:rsidRPr="00F13E53">
        <w:rPr>
          <w:lang w:val="ru-RU"/>
        </w:rPr>
        <w:t xml:space="preserve">101,7 % </w:t>
      </w:r>
      <w:r w:rsidRPr="00F13E53">
        <w:t xml:space="preserve">спрямо планираните за годината, като съпоставени с предходната година постъпленията нарастват с 2 339,8 млн. лв. (18,7 %). </w:t>
      </w:r>
      <w:r w:rsidRPr="00E77DD3">
        <w:t>Повишението се дължи</w:t>
      </w:r>
      <w:r>
        <w:t>, както</w:t>
      </w:r>
      <w:r w:rsidRPr="00E77DD3">
        <w:t xml:space="preserve"> на значително по-високите постъпления от корпоративни данъци, които нарастват с </w:t>
      </w:r>
      <w:r w:rsidRPr="0021592F">
        <w:t>2</w:t>
      </w:r>
      <w:r>
        <w:t>4</w:t>
      </w:r>
      <w:r w:rsidRPr="0021592F">
        <w:t>,5</w:t>
      </w:r>
      <w:r w:rsidRPr="00E77DD3">
        <w:t xml:space="preserve"> % (</w:t>
      </w:r>
      <w:r w:rsidRPr="00803106">
        <w:t>1</w:t>
      </w:r>
      <w:r>
        <w:t> </w:t>
      </w:r>
      <w:r w:rsidRPr="00803106">
        <w:t>310,0</w:t>
      </w:r>
      <w:r w:rsidRPr="00E77DD3">
        <w:t xml:space="preserve"> млн. лв.) на годишна база</w:t>
      </w:r>
      <w:r>
        <w:t>, така и на ръста от 14,4 % (</w:t>
      </w:r>
      <w:r w:rsidRPr="00046B55">
        <w:t>1</w:t>
      </w:r>
      <w:r>
        <w:t> </w:t>
      </w:r>
      <w:r w:rsidRPr="00046B55">
        <w:t>029,8</w:t>
      </w:r>
      <w:r>
        <w:t xml:space="preserve"> млн. лв.) на данъците върху доходите на физическите лица</w:t>
      </w:r>
      <w:r w:rsidRPr="00230EFC">
        <w:rPr>
          <w:color w:val="0070C0"/>
        </w:rPr>
        <w:t>.</w:t>
      </w:r>
    </w:p>
    <w:p w:rsidR="00C35EB3" w:rsidRPr="003D6040" w:rsidRDefault="00C35EB3" w:rsidP="00C35EB3">
      <w:pPr>
        <w:spacing w:before="120"/>
        <w:jc w:val="both"/>
      </w:pPr>
      <w:r w:rsidRPr="003D6040">
        <w:t>Приходите от</w:t>
      </w:r>
      <w:r w:rsidRPr="003D6040">
        <w:rPr>
          <w:b/>
        </w:rPr>
        <w:t xml:space="preserve"> </w:t>
      </w:r>
      <w:r w:rsidRPr="003D6040">
        <w:rPr>
          <w:b/>
          <w:bCs/>
          <w:i/>
        </w:rPr>
        <w:t>корпоративни данъци</w:t>
      </w:r>
      <w:r w:rsidRPr="003D6040">
        <w:t xml:space="preserve"> </w:t>
      </w:r>
      <w:r w:rsidRPr="003D6040">
        <w:rPr>
          <w:bCs/>
        </w:rPr>
        <w:t>към декември 2025 г.</w:t>
      </w:r>
      <w:r w:rsidRPr="003D6040">
        <w:t xml:space="preserve"> са в размер на </w:t>
      </w:r>
      <w:r w:rsidRPr="003D6040">
        <w:rPr>
          <w:lang w:val="ru-RU"/>
        </w:rPr>
        <w:t xml:space="preserve">6 655,6 </w:t>
      </w:r>
      <w:r w:rsidRPr="003D6040">
        <w:t>млн. лв.</w:t>
      </w:r>
      <w:r>
        <w:t>,</w:t>
      </w:r>
      <w:r w:rsidRPr="00537178">
        <w:t xml:space="preserve"> </w:t>
      </w:r>
      <w:r>
        <w:t xml:space="preserve">което представлява </w:t>
      </w:r>
      <w:r>
        <w:rPr>
          <w:b/>
        </w:rPr>
        <w:t>100,5 %</w:t>
      </w:r>
      <w:r>
        <w:t xml:space="preserve"> изпълнение на годишния план за 2025 година.</w:t>
      </w:r>
    </w:p>
    <w:p w:rsidR="00C35EB3" w:rsidRPr="006135D2" w:rsidRDefault="00C35EB3" w:rsidP="00C35EB3">
      <w:pPr>
        <w:spacing w:before="120"/>
        <w:jc w:val="both"/>
      </w:pPr>
      <w:r w:rsidRPr="006135D2">
        <w:t>Постъпленията от</w:t>
      </w:r>
      <w:r w:rsidRPr="006135D2">
        <w:rPr>
          <w:b/>
          <w:i/>
        </w:rPr>
        <w:t xml:space="preserve"> корпоративен данък</w:t>
      </w:r>
      <w:r w:rsidRPr="006135D2">
        <w:t xml:space="preserve"> през 2025 г. са в пряка зависимост от следните показатели:</w:t>
      </w:r>
    </w:p>
    <w:p w:rsidR="00C35EB3" w:rsidRPr="006135D2" w:rsidRDefault="00C35EB3" w:rsidP="00C35EB3">
      <w:pPr>
        <w:numPr>
          <w:ilvl w:val="0"/>
          <w:numId w:val="23"/>
        </w:numPr>
        <w:tabs>
          <w:tab w:val="left" w:pos="900"/>
        </w:tabs>
        <w:ind w:left="0" w:firstLine="720"/>
        <w:jc w:val="both"/>
      </w:pPr>
      <w:r w:rsidRPr="006135D2">
        <w:t>декларирана данъчна печалба по подадените ГДД за 2024 г.;</w:t>
      </w:r>
    </w:p>
    <w:p w:rsidR="00C35EB3" w:rsidRPr="006135D2" w:rsidRDefault="00C35EB3" w:rsidP="00C35EB3">
      <w:pPr>
        <w:numPr>
          <w:ilvl w:val="0"/>
          <w:numId w:val="23"/>
        </w:numPr>
        <w:tabs>
          <w:tab w:val="left" w:pos="900"/>
        </w:tabs>
        <w:ind w:left="0" w:firstLine="720"/>
        <w:jc w:val="both"/>
      </w:pPr>
      <w:r w:rsidRPr="006135D2">
        <w:lastRenderedPageBreak/>
        <w:t>декларирана данъчна загуба за 2024 г.;</w:t>
      </w:r>
    </w:p>
    <w:p w:rsidR="00C35EB3" w:rsidRPr="006135D2" w:rsidRDefault="00C35EB3" w:rsidP="00C35EB3">
      <w:pPr>
        <w:numPr>
          <w:ilvl w:val="0"/>
          <w:numId w:val="23"/>
        </w:numPr>
        <w:tabs>
          <w:tab w:val="left" w:pos="900"/>
        </w:tabs>
        <w:ind w:left="0" w:firstLine="720"/>
        <w:jc w:val="both"/>
      </w:pPr>
      <w:r w:rsidRPr="006135D2">
        <w:t>общ размер на авансовите вноски, които данъчно задължените лица правят въз основа на прогнозната данъчна печалба за текущата година;</w:t>
      </w:r>
    </w:p>
    <w:p w:rsidR="00C35EB3" w:rsidRPr="006135D2" w:rsidRDefault="00C35EB3" w:rsidP="00C35EB3">
      <w:pPr>
        <w:numPr>
          <w:ilvl w:val="0"/>
          <w:numId w:val="23"/>
        </w:numPr>
        <w:tabs>
          <w:tab w:val="left" w:pos="900"/>
        </w:tabs>
        <w:ind w:left="0" w:firstLine="720"/>
        <w:jc w:val="both"/>
      </w:pPr>
      <w:r w:rsidRPr="006135D2">
        <w:rPr>
          <w:szCs w:val="16"/>
        </w:rPr>
        <w:t>общ размер на разликата за внасяне по ГДД за 2024 г</w:t>
      </w:r>
      <w:r w:rsidRPr="006135D2">
        <w:t>.;</w:t>
      </w:r>
    </w:p>
    <w:p w:rsidR="00C35EB3" w:rsidRPr="006135D2" w:rsidRDefault="00C35EB3" w:rsidP="00C35EB3">
      <w:pPr>
        <w:numPr>
          <w:ilvl w:val="0"/>
          <w:numId w:val="23"/>
        </w:numPr>
        <w:tabs>
          <w:tab w:val="left" w:pos="900"/>
        </w:tabs>
        <w:ind w:left="0" w:firstLine="720"/>
        <w:jc w:val="both"/>
      </w:pPr>
      <w:r w:rsidRPr="006135D2">
        <w:t>начислените по ревизионни актове суми за корпоративен данък;</w:t>
      </w:r>
    </w:p>
    <w:p w:rsidR="00C35EB3" w:rsidRPr="006135D2" w:rsidRDefault="00C35EB3" w:rsidP="00C35EB3">
      <w:pPr>
        <w:ind w:left="12" w:firstLine="708"/>
        <w:jc w:val="both"/>
      </w:pPr>
      <w:r w:rsidRPr="006135D2">
        <w:rPr>
          <w:lang w:val="ru-RU"/>
        </w:rPr>
        <w:t>-</w:t>
      </w:r>
      <w:r w:rsidRPr="006135D2">
        <w:rPr>
          <w:lang w:val="en-US"/>
        </w:rPr>
        <w:t> </w:t>
      </w:r>
      <w:r w:rsidRPr="006135D2">
        <w:t>относителния дял на постигнатата събираемост при корпоративния данък.</w:t>
      </w:r>
    </w:p>
    <w:p w:rsidR="00C35EB3" w:rsidRPr="004A2314" w:rsidRDefault="00C35EB3" w:rsidP="00C35EB3">
      <w:pPr>
        <w:spacing w:before="120"/>
        <w:jc w:val="both"/>
      </w:pPr>
      <w:r w:rsidRPr="004A2314">
        <w:t>Върху размера на приходите от корпоративен данък влияние оказва и прилагането на преференцията за пренасяне на данъчни загуби, както и на възможността за допълнителна еднократна корекция на годишната данъчна декларация при откриване на счетоводни или други грешки и при отразяване на коригиращи събития по смисъла на приложимите счетоводни стандарти в срок до 30 септември на текущата година.</w:t>
      </w:r>
    </w:p>
    <w:p w:rsidR="00C35EB3" w:rsidRPr="00230EFC" w:rsidRDefault="00C35EB3" w:rsidP="00C35EB3">
      <w:pPr>
        <w:spacing w:before="120"/>
        <w:jc w:val="both"/>
        <w:rPr>
          <w:color w:val="0070C0"/>
        </w:rPr>
      </w:pPr>
      <w:r w:rsidRPr="00A370EB">
        <w:t xml:space="preserve">В тази група данъци са и приходите от </w:t>
      </w:r>
      <w:r w:rsidRPr="00A370EB">
        <w:rPr>
          <w:b/>
          <w:i/>
        </w:rPr>
        <w:t>данък върху дивидентите, ликвидационните дялове и доходите на местни и чуждестранни юридически лица</w:t>
      </w:r>
      <w:r w:rsidRPr="00A370EB">
        <w:t xml:space="preserve">, които са в размер на </w:t>
      </w:r>
      <w:r w:rsidRPr="00A370EB">
        <w:rPr>
          <w:lang w:val="ru-RU"/>
        </w:rPr>
        <w:t xml:space="preserve">146,6 </w:t>
      </w:r>
      <w:r w:rsidRPr="00A370EB">
        <w:t xml:space="preserve">млн. лв. </w:t>
      </w:r>
      <w:r w:rsidRPr="00F91FBC">
        <w:t>или 84,0 % изпълнение на разчетите в ЗДБРБ за 2025 година. Постъпленията от данъци върху дивидентите, ликвидационните дялове и доходите на юридически лица зависят от състоянието на икономиката и осъществяващите се процеси по разпределение на фирмена собственост в страната.</w:t>
      </w:r>
    </w:p>
    <w:p w:rsidR="00C35EB3" w:rsidRPr="00230EFC" w:rsidRDefault="00C35EB3" w:rsidP="00C35EB3">
      <w:pPr>
        <w:spacing w:before="120" w:after="120"/>
        <w:jc w:val="both"/>
        <w:rPr>
          <w:color w:val="0070C0"/>
          <w:lang w:val="ru-RU"/>
        </w:rPr>
      </w:pPr>
      <w:r w:rsidRPr="00CC7D49">
        <w:t>Приходите от</w:t>
      </w:r>
      <w:r w:rsidRPr="00CC7D49">
        <w:rPr>
          <w:b/>
        </w:rPr>
        <w:t xml:space="preserve"> данъци върху доходите на физически лица </w:t>
      </w:r>
      <w:r w:rsidRPr="00CC7D49">
        <w:t xml:space="preserve">(ДДФЛ) са в размер на </w:t>
      </w:r>
      <w:r w:rsidRPr="00CC7D49">
        <w:rPr>
          <w:b/>
        </w:rPr>
        <w:t xml:space="preserve">8 183,2 млн. лв. </w:t>
      </w:r>
      <w:r w:rsidRPr="00CC7D49">
        <w:t xml:space="preserve">или 102,6 % спрямо заложените в разчета </w:t>
      </w:r>
      <w:r w:rsidRPr="000016D9">
        <w:t>за годината. Тези приходи са с 1 029,8 млн. лв. повече или 14,4 % ръст спрямо същия период на предходната година.</w:t>
      </w:r>
      <w:r w:rsidRPr="000016D9">
        <w:rPr>
          <w:lang w:val="ru-RU"/>
        </w:rPr>
        <w:t xml:space="preserve"> </w:t>
      </w:r>
    </w:p>
    <w:p w:rsidR="00C35EB3" w:rsidRPr="00230EFC" w:rsidRDefault="00C35EB3" w:rsidP="00C35EB3">
      <w:pPr>
        <w:spacing w:after="120"/>
        <w:jc w:val="both"/>
        <w:rPr>
          <w:color w:val="0070C0"/>
        </w:rPr>
      </w:pPr>
      <w:r w:rsidRPr="005938D4">
        <w:t xml:space="preserve">Основен фактор за размера на данъчните постъпления от ДДФЛ е развитието на  параметрите на пазара на труда. Нарастването на заетостта, спадът на безработицата и ръстът на заплащането на </w:t>
      </w:r>
      <w:r w:rsidRPr="00DC285F">
        <w:t>труда са предпоставки за по-високи приходи от този вид данъци. Влияние върху размера на постъпленията от ДДФЛ оказват действащите законодателни и административни мерки в областта на трудовото, социалното и данъчното законодателство. За повишаване на тази група данъчни приходи допринасят и предприетите мерки за намаляване на недекларирания труд, мерките за повишаване на събираемостта на задължения за минали периоди и тематичните кампании за контрол, провеждани от НАП.</w:t>
      </w:r>
    </w:p>
    <w:p w:rsidR="00C35EB3" w:rsidRPr="00230EFC" w:rsidRDefault="00C35EB3" w:rsidP="00C35EB3">
      <w:pPr>
        <w:jc w:val="both"/>
        <w:rPr>
          <w:color w:val="0070C0"/>
        </w:rPr>
      </w:pPr>
      <w:r w:rsidRPr="005D0BD9">
        <w:rPr>
          <w:i/>
        </w:rPr>
        <w:t>По трудови правоотношения</w:t>
      </w:r>
      <w:r w:rsidRPr="005D0BD9">
        <w:t xml:space="preserve"> приходите от данъка </w:t>
      </w:r>
      <w:r w:rsidRPr="005D0BD9">
        <w:rPr>
          <w:bCs/>
        </w:rPr>
        <w:t>към декември 202</w:t>
      </w:r>
      <w:r w:rsidRPr="005D0BD9">
        <w:rPr>
          <w:bCs/>
          <w:lang w:val="ru-RU"/>
        </w:rPr>
        <w:t>5</w:t>
      </w:r>
      <w:r w:rsidRPr="005D0BD9">
        <w:rPr>
          <w:bCs/>
        </w:rPr>
        <w:t xml:space="preserve"> г.</w:t>
      </w:r>
      <w:r w:rsidRPr="005D0BD9">
        <w:t xml:space="preserve"> са 6 952,2 млн. лв., 101,8 % спрямо годишните разчети. Тези приходи са с 890,3 млн. лв. повече или 14,7 % ръст в сравнение с предходната година.</w:t>
      </w:r>
    </w:p>
    <w:p w:rsidR="00C35EB3" w:rsidRPr="00EB4D0E" w:rsidRDefault="00E341E2" w:rsidP="00C35EB3">
      <w:pPr>
        <w:tabs>
          <w:tab w:val="left" w:pos="0"/>
        </w:tabs>
        <w:spacing w:before="120"/>
        <w:jc w:val="both"/>
      </w:pPr>
      <w:r w:rsidRPr="00EB4D0E">
        <w:t>Фактор за нарастване на приходите от ДДФЛ са отчетеният висок номинален ръст на средната работна заплата, както в обществения сектор, в т. ч. увеличението на заплатите в сферата на образованието</w:t>
      </w:r>
      <w:r>
        <w:t>, отбраната, МВР и други</w:t>
      </w:r>
      <w:r w:rsidRPr="00EB4D0E">
        <w:t xml:space="preserve"> бюджетни организации, така и в частния сектор. Друг съществен фактор е увеличението от 1 януари 2025 г. (в изпълнение на чл. 244, ал. 2 от Кодекса на труда) на минималната работна заплата за страната от 933 лв. на 1 077 лв. или с 15,4 %</w:t>
      </w:r>
      <w:r w:rsidR="00C35EB3" w:rsidRPr="00EB4D0E">
        <w:t>.</w:t>
      </w:r>
    </w:p>
    <w:p w:rsidR="00C35EB3" w:rsidRPr="00230EFC" w:rsidRDefault="00C35EB3" w:rsidP="00C35EB3">
      <w:pPr>
        <w:tabs>
          <w:tab w:val="left" w:pos="0"/>
        </w:tabs>
        <w:spacing w:before="120"/>
        <w:jc w:val="both"/>
        <w:rPr>
          <w:color w:val="0070C0"/>
        </w:rPr>
      </w:pPr>
      <w:r w:rsidRPr="006F1F70">
        <w:t xml:space="preserve">Влияние върху приходите от трудови правоотношения в посока намаление оказва </w:t>
      </w:r>
      <w:r w:rsidRPr="008C327F">
        <w:t>ползването на облекченията за деца по чл. 22в и чл. 22г от ЗДДФЛ чрез подаване на годишната данъчна декларация за доходите, придобити през 2024 г., авансовото ползване при работодател за придобитите доходи през 2025 г. - месечно или</w:t>
      </w:r>
      <w:r w:rsidRPr="00AE78AF">
        <w:t xml:space="preserve"> </w:t>
      </w:r>
      <w:r>
        <w:t xml:space="preserve">еднократно </w:t>
      </w:r>
      <w:r w:rsidRPr="006F1F70">
        <w:t>през месец декември</w:t>
      </w:r>
      <w:r w:rsidRPr="00AE78AF">
        <w:t xml:space="preserve"> чрез</w:t>
      </w:r>
      <w:r w:rsidRPr="006F1F70">
        <w:t xml:space="preserve"> подаване на декларация по образец при работодателя</w:t>
      </w:r>
      <w:r w:rsidRPr="00230EFC">
        <w:rPr>
          <w:color w:val="0070C0"/>
        </w:rPr>
        <w:t>.</w:t>
      </w:r>
    </w:p>
    <w:p w:rsidR="00C35EB3" w:rsidRPr="00230EFC" w:rsidRDefault="00C35EB3" w:rsidP="00C35EB3">
      <w:pPr>
        <w:tabs>
          <w:tab w:val="left" w:pos="0"/>
        </w:tabs>
        <w:spacing w:before="120"/>
        <w:jc w:val="both"/>
        <w:rPr>
          <w:color w:val="0070C0"/>
        </w:rPr>
      </w:pPr>
      <w:r w:rsidRPr="000F4533">
        <w:t>От</w:t>
      </w:r>
      <w:r w:rsidRPr="000F4533">
        <w:rPr>
          <w:i/>
        </w:rPr>
        <w:t xml:space="preserve"> </w:t>
      </w:r>
      <w:proofErr w:type="spellStart"/>
      <w:r w:rsidRPr="000F4533">
        <w:rPr>
          <w:i/>
        </w:rPr>
        <w:t>извънтрудови</w:t>
      </w:r>
      <w:proofErr w:type="spellEnd"/>
      <w:r w:rsidRPr="000F4533">
        <w:rPr>
          <w:i/>
        </w:rPr>
        <w:t xml:space="preserve"> правоотношения</w:t>
      </w:r>
      <w:r w:rsidRPr="000F4533">
        <w:t xml:space="preserve"> </w:t>
      </w:r>
      <w:r w:rsidRPr="000F4533">
        <w:rPr>
          <w:i/>
        </w:rPr>
        <w:t>(ЕТ, свободни професии, граждански договори, годишен и авансов данък и др.)</w:t>
      </w:r>
      <w:r w:rsidRPr="000F4533">
        <w:rPr>
          <w:b/>
          <w:i/>
        </w:rPr>
        <w:t xml:space="preserve"> </w:t>
      </w:r>
      <w:r w:rsidRPr="000F4533">
        <w:t>приходите</w:t>
      </w:r>
      <w:r w:rsidRPr="000F4533">
        <w:rPr>
          <w:i/>
        </w:rPr>
        <w:t xml:space="preserve"> </w:t>
      </w:r>
      <w:r w:rsidRPr="000F4533">
        <w:t>от данъка към</w:t>
      </w:r>
      <w:r w:rsidRPr="000F4533">
        <w:rPr>
          <w:b/>
          <w:i/>
        </w:rPr>
        <w:t xml:space="preserve"> </w:t>
      </w:r>
      <w:r w:rsidRPr="000F4533">
        <w:t>31.12.2025 г. са 544,7 млн. лв., което представлява 110,8 % спрямо годишния план. За 2025 г. са постъпили с 81,6 млн</w:t>
      </w:r>
      <w:r w:rsidRPr="00E77DD3">
        <w:t xml:space="preserve">. лв. повече приходи (ръст </w:t>
      </w:r>
      <w:r w:rsidRPr="00386C5F">
        <w:t>1</w:t>
      </w:r>
      <w:r>
        <w:t>7,6</w:t>
      </w:r>
      <w:r w:rsidRPr="00E77DD3">
        <w:t xml:space="preserve"> %) спрямо края 2024 година. Основно влияние върху тези приходи оказват резултатите от годишните данъчни декларации по чл. 50 от ЗДДФЛ (дължим данък за довнасяне или надвнесен данък) и дължимите авансови вноски, както и плащанията за минали години и размера на възстановения и прихванат данък. Възстановяването на суми при ползването на данъчното облекчение за деца по чл. 22в и данъчното облекчение за деца с увреждания по чл. 22г от ЗДДФЛ с подаването на годишните декларации води до намаление на постъпленията </w:t>
      </w:r>
      <w:r w:rsidR="007C7A6C">
        <w:t xml:space="preserve">в </w:t>
      </w:r>
      <w:r w:rsidRPr="00E77DD3">
        <w:t>тази група данъци</w:t>
      </w:r>
      <w:r w:rsidRPr="00230EFC">
        <w:rPr>
          <w:color w:val="0070C0"/>
        </w:rPr>
        <w:t>.</w:t>
      </w:r>
    </w:p>
    <w:p w:rsidR="00C35EB3" w:rsidRPr="00230EFC" w:rsidRDefault="00C35EB3" w:rsidP="00C35EB3">
      <w:pPr>
        <w:spacing w:before="120" w:after="120"/>
        <w:jc w:val="both"/>
        <w:rPr>
          <w:color w:val="0070C0"/>
        </w:rPr>
      </w:pPr>
      <w:r w:rsidRPr="000516D7">
        <w:rPr>
          <w:i/>
        </w:rPr>
        <w:lastRenderedPageBreak/>
        <w:t xml:space="preserve">Окончателен данък на местните и чуждестранни физически лица по чл. 37 и 38 от ЗДДФЛ </w:t>
      </w:r>
      <w:r w:rsidRPr="000516D7">
        <w:t xml:space="preserve">и </w:t>
      </w:r>
      <w:r w:rsidRPr="000516D7">
        <w:rPr>
          <w:i/>
        </w:rPr>
        <w:t>данък върху дивидентите и ликвидационните дялове на физически лица</w:t>
      </w:r>
      <w:r w:rsidRPr="000516D7">
        <w:t xml:space="preserve"> - постъпленията от тези данъци са в размер на </w:t>
      </w:r>
      <w:r w:rsidRPr="000516D7">
        <w:rPr>
          <w:lang w:val="ru-RU"/>
        </w:rPr>
        <w:t xml:space="preserve">686,2 </w:t>
      </w:r>
      <w:r w:rsidRPr="000516D7">
        <w:t xml:space="preserve">млн. лв. или 105,2 % спрямо плана за 2025 година. </w:t>
      </w:r>
      <w:r w:rsidRPr="00E77DD3">
        <w:t xml:space="preserve">Към месец </w:t>
      </w:r>
      <w:r>
        <w:t>декември</w:t>
      </w:r>
      <w:r w:rsidRPr="00E77DD3">
        <w:t xml:space="preserve"> постъпленията са с </w:t>
      </w:r>
      <w:r w:rsidRPr="00A963F0">
        <w:t>57,7</w:t>
      </w:r>
      <w:r w:rsidRPr="00E77DD3">
        <w:t xml:space="preserve"> млн. лв. по</w:t>
      </w:r>
      <w:r>
        <w:t>вече</w:t>
      </w:r>
      <w:r w:rsidRPr="00E77DD3">
        <w:t xml:space="preserve"> (</w:t>
      </w:r>
      <w:r>
        <w:t>9,2</w:t>
      </w:r>
      <w:r w:rsidRPr="00E77DD3">
        <w:t> %) спрямо 2024 година. Размерът на тези приходи се дължи, както на отчетените финансови резултати от нефинансовите предприятия през 2024 г., така и от предприетите законодателни и контролни мерки. Влияние върху изпълнението на приходите от данък върху дивидентите и ликвидационните дялове на местни и чуждестранни физически и юридически лица имат предприетите контролни действия от НАП за проверка на касови наличности. Контролните действия са насочени приоритетно към лица, за които има информация за висока касова наличност (над 100 хил. лв.), и при които има риск от наличие на сделки, сключени при условия, водещи до отклонение от данъчно облагане, наличието на скрито разпределение на печалбата по смисъла на § 1, т. 5 от ДР на ЗКПО. Скритото разпределение на печалбата се третира като дивидент, за който се внася 5 % данък върху разпределените суми. Постъпленията от данъка върху дивидентите нарастват допълнително в резултат на действащата разпоредба от Закона за ограничаване на плащанията в брой (чл. 3, ал. 4, т. 3), плащанията на територията на страната на дивиденти, със стойност равна на или надвишаваща 1000 лв., да се извършват само чрез превод или внасяне по платежна сметка</w:t>
      </w:r>
      <w:r w:rsidRPr="00230EFC">
        <w:rPr>
          <w:color w:val="0070C0"/>
        </w:rPr>
        <w:t>.</w:t>
      </w:r>
    </w:p>
    <w:p w:rsidR="00C35EB3" w:rsidRPr="00EA257D" w:rsidRDefault="00C35EB3" w:rsidP="00C35EB3">
      <w:pPr>
        <w:numPr>
          <w:ilvl w:val="0"/>
          <w:numId w:val="4"/>
        </w:numPr>
        <w:tabs>
          <w:tab w:val="clear" w:pos="1440"/>
          <w:tab w:val="num" w:pos="540"/>
        </w:tabs>
        <w:ind w:left="0" w:firstLine="180"/>
        <w:jc w:val="both"/>
        <w:rPr>
          <w:b/>
          <w:bCs/>
        </w:rPr>
      </w:pPr>
      <w:r w:rsidRPr="00EA257D">
        <w:rPr>
          <w:b/>
          <w:bCs/>
        </w:rPr>
        <w:t>Косвени данъци</w:t>
      </w:r>
    </w:p>
    <w:p w:rsidR="00C35EB3" w:rsidRPr="00230EFC" w:rsidRDefault="00C35EB3" w:rsidP="00C35EB3">
      <w:pPr>
        <w:jc w:val="both"/>
        <w:rPr>
          <w:b/>
          <w:bCs/>
          <w:color w:val="0070C0"/>
          <w:sz w:val="4"/>
          <w:szCs w:val="4"/>
        </w:rPr>
      </w:pPr>
    </w:p>
    <w:p w:rsidR="00C35EB3" w:rsidRDefault="00C35EB3" w:rsidP="00C35EB3">
      <w:pPr>
        <w:spacing w:after="120"/>
        <w:jc w:val="both"/>
      </w:pPr>
      <w:r w:rsidRPr="00EA257D">
        <w:t xml:space="preserve">Приходите от </w:t>
      </w:r>
      <w:r w:rsidRPr="00EA257D">
        <w:rPr>
          <w:b/>
        </w:rPr>
        <w:t>косвени данъци</w:t>
      </w:r>
      <w:r w:rsidRPr="00EA257D">
        <w:t xml:space="preserve"> </w:t>
      </w:r>
      <w:r w:rsidRPr="00EA257D">
        <w:rPr>
          <w:bCs/>
        </w:rPr>
        <w:t>към декември 202</w:t>
      </w:r>
      <w:r w:rsidRPr="00EA257D">
        <w:rPr>
          <w:bCs/>
          <w:lang w:val="ru-RU"/>
        </w:rPr>
        <w:t>5</w:t>
      </w:r>
      <w:r w:rsidRPr="00EA257D">
        <w:rPr>
          <w:bCs/>
        </w:rPr>
        <w:t xml:space="preserve"> г.</w:t>
      </w:r>
      <w:r w:rsidRPr="00EA257D">
        <w:t xml:space="preserve"> са в размер на </w:t>
      </w:r>
      <w:r w:rsidRPr="00EA257D">
        <w:rPr>
          <w:b/>
        </w:rPr>
        <w:t>29 470,8 млн. лв</w:t>
      </w:r>
      <w:r w:rsidRPr="00EA257D">
        <w:t xml:space="preserve">. или 89,4 % от годишния разчет. Сравнени с данните за предходната година постъпленията </w:t>
      </w:r>
      <w:r w:rsidRPr="00EA257D">
        <w:rPr>
          <w:bCs/>
        </w:rPr>
        <w:t>нарастват</w:t>
      </w:r>
      <w:r w:rsidRPr="00EA257D">
        <w:t xml:space="preserve"> с 3 616,7 млн. лв. </w:t>
      </w:r>
      <w:r w:rsidRPr="00EA257D">
        <w:rPr>
          <w:lang w:val="ru-RU"/>
        </w:rPr>
        <w:t>(</w:t>
      </w:r>
      <w:r w:rsidRPr="00EA257D">
        <w:t>14,0 %</w:t>
      </w:r>
      <w:r w:rsidRPr="00EA257D">
        <w:rPr>
          <w:lang w:val="ru-RU"/>
        </w:rPr>
        <w:t xml:space="preserve">). </w:t>
      </w:r>
      <w:r w:rsidRPr="00895FE3">
        <w:rPr>
          <w:lang w:val="ru-RU"/>
        </w:rPr>
        <w:t>Това нарастване се дължи основно на по-големите приходи от ДДС</w:t>
      </w:r>
      <w:r w:rsidRPr="00895FE3">
        <w:t>.</w:t>
      </w:r>
    </w:p>
    <w:p w:rsidR="00F5284C" w:rsidRPr="00F5284C" w:rsidRDefault="00F5284C" w:rsidP="00C35EB3">
      <w:pPr>
        <w:spacing w:after="120"/>
        <w:jc w:val="both"/>
      </w:pPr>
      <w:r w:rsidRPr="00F5284C">
        <w:t>При ДДС от внос натиск върху приходите през 2025 година оказаха цените на суровините на международните пазари, в т.</w:t>
      </w:r>
      <w:r w:rsidR="002762BC">
        <w:t xml:space="preserve"> </w:t>
      </w:r>
      <w:r w:rsidRPr="00F5284C">
        <w:t xml:space="preserve">ч. цената на суровия петрол и цените на другите основни групи стоки, пораждащи ДДС от внос, тенденцията на отслабен щатски долар спрямо еврото и други. Това при други равни условия води до намаление на облагаемата стойност при внос на стоките и суровините, търгувани в USD, респективно по-ниски постъпления от планираните от ДДС от внос. Влияние оказва и намалението при физическите обеми на някои от стоките, пораждащи ДДС. Върху приходите от ДДС оказва влияние и късното приемане на ЗДБРБ за 2025 г. (27.03.2025 г.), поради което основните мерки в частта на повишаването на събираемостта на приходите бяха въведени в началото на месец юни. </w:t>
      </w:r>
      <w:r w:rsidR="00F710A0" w:rsidRPr="00217FC8">
        <w:t xml:space="preserve">В резултат на разширяването на обхвата на стоките с висок фискален риск </w:t>
      </w:r>
      <w:r w:rsidR="00F710A0">
        <w:t>и засилване на мерките от страна на Националната агенция за приходите за повишаване на контрола и събираемостта</w:t>
      </w:r>
      <w:r w:rsidR="00F710A0" w:rsidRPr="00217FC8">
        <w:t>,</w:t>
      </w:r>
      <w:r w:rsidR="00F710A0" w:rsidRPr="00F5284C">
        <w:t xml:space="preserve"> </w:t>
      </w:r>
      <w:r w:rsidR="00F710A0">
        <w:t>и влиянието на  определящите макроикономическите показатели</w:t>
      </w:r>
      <w:r w:rsidR="00F710A0" w:rsidRPr="003A3CB1">
        <w:t>,</w:t>
      </w:r>
      <w:r w:rsidR="00F710A0">
        <w:t xml:space="preserve"> </w:t>
      </w:r>
      <w:r w:rsidR="00F710A0" w:rsidRPr="00F5284C">
        <w:t xml:space="preserve">се отчита ръст от 24,2 % в приходите от ДДС от сделки в страната и </w:t>
      </w:r>
      <w:proofErr w:type="spellStart"/>
      <w:r w:rsidR="00F710A0" w:rsidRPr="00F5284C">
        <w:t>вътреобщностни</w:t>
      </w:r>
      <w:proofErr w:type="spellEnd"/>
      <w:r w:rsidR="00F710A0" w:rsidRPr="00F5284C">
        <w:t xml:space="preserve"> придобивания (ВОП) спрямо </w:t>
      </w:r>
      <w:r w:rsidR="00F710A0">
        <w:t>предходната</w:t>
      </w:r>
      <w:r w:rsidR="00F710A0" w:rsidRPr="00F5284C">
        <w:t xml:space="preserve"> година</w:t>
      </w:r>
      <w:r w:rsidRPr="00F5284C">
        <w:t>.</w:t>
      </w:r>
    </w:p>
    <w:p w:rsidR="00C35EB3" w:rsidRPr="00437B90" w:rsidRDefault="00C35EB3" w:rsidP="00C35EB3">
      <w:pPr>
        <w:spacing w:after="120"/>
        <w:jc w:val="both"/>
        <w:rPr>
          <w:color w:val="0070C0"/>
        </w:rPr>
      </w:pPr>
      <w:r w:rsidRPr="00437B90">
        <w:rPr>
          <w:b/>
        </w:rPr>
        <w:t>Приходите от ДДС</w:t>
      </w:r>
      <w:r w:rsidRPr="00437B90">
        <w:t xml:space="preserve"> са в размер на </w:t>
      </w:r>
      <w:r w:rsidRPr="00437B90">
        <w:rPr>
          <w:b/>
        </w:rPr>
        <w:t xml:space="preserve">21 571,5 млн. лв., </w:t>
      </w:r>
      <w:r w:rsidRPr="00437B90">
        <w:t xml:space="preserve">което представлява 86,9 % от планираните със ЗДБРБ за 2025 година. Съпоставени с 2024 г., приходите от ДДС нарастват с 3 031,7 млн. лв. (16,4 на сто), в резултат основно на по-високите приходи от ДДС от сделки в страната и ВОП.  </w:t>
      </w:r>
    </w:p>
    <w:p w:rsidR="00C35EB3" w:rsidRPr="00437B90" w:rsidRDefault="00C35EB3" w:rsidP="00C35EB3">
      <w:pPr>
        <w:spacing w:after="120"/>
        <w:contextualSpacing/>
        <w:jc w:val="both"/>
        <w:rPr>
          <w:color w:val="0070C0"/>
        </w:rPr>
      </w:pPr>
      <w:r w:rsidRPr="00437B90">
        <w:t xml:space="preserve">Нетният размер на приходите от </w:t>
      </w:r>
      <w:r w:rsidRPr="00437B90">
        <w:rPr>
          <w:i/>
        </w:rPr>
        <w:t>ДДС от внос</w:t>
      </w:r>
      <w:r w:rsidRPr="00437B90">
        <w:t xml:space="preserve"> </w:t>
      </w:r>
      <w:r w:rsidRPr="00437B90">
        <w:rPr>
          <w:bCs/>
        </w:rPr>
        <w:t>към декември 2025 г.</w:t>
      </w:r>
      <w:r w:rsidRPr="00437B90">
        <w:t xml:space="preserve"> е 6 684,5 млн. лева. Върху постъпленията от ДДС от внос влияние оказва възможността </w:t>
      </w:r>
      <w:r w:rsidRPr="00437B90">
        <w:rPr>
          <w:iCs/>
        </w:rPr>
        <w:t>за отложено начисляване на ДДС от вносител при внос на стоки от трети страни, в съответствие с разпоредбата на чл. 167а от Закона за данък върху добавената стойност.</w:t>
      </w:r>
      <w:r w:rsidRPr="00437B90">
        <w:rPr>
          <w:bCs/>
        </w:rPr>
        <w:t xml:space="preserve"> </w:t>
      </w:r>
      <w:r w:rsidRPr="00437B90">
        <w:t xml:space="preserve">Ефектът от прилагането на този режим е </w:t>
      </w:r>
      <w:proofErr w:type="spellStart"/>
      <w:r w:rsidRPr="00437B90">
        <w:t>неначислен</w:t>
      </w:r>
      <w:proofErr w:type="spellEnd"/>
      <w:r w:rsidRPr="00437B90">
        <w:t xml:space="preserve"> ДДС при внос за периода януари – декември 2025 г. в размер на 1 533,4 млн. лева, което е с 68,3 млн. лева (4,3 %) по-малко спрямо 2024 година.</w:t>
      </w:r>
    </w:p>
    <w:p w:rsidR="00C35EB3" w:rsidRPr="00437B90" w:rsidRDefault="00C35EB3" w:rsidP="00C35EB3">
      <w:pPr>
        <w:spacing w:after="120"/>
        <w:contextualSpacing/>
        <w:jc w:val="both"/>
      </w:pPr>
      <w:r w:rsidRPr="00437B90">
        <w:t>Стоките с най-значителен дял</w:t>
      </w:r>
      <w:r w:rsidRPr="00437B90">
        <w:rPr>
          <w:bCs/>
        </w:rPr>
        <w:t xml:space="preserve"> в сумата на </w:t>
      </w:r>
      <w:proofErr w:type="spellStart"/>
      <w:r w:rsidRPr="00437B90">
        <w:rPr>
          <w:bCs/>
        </w:rPr>
        <w:t>неначисления</w:t>
      </w:r>
      <w:proofErr w:type="spellEnd"/>
      <w:r w:rsidRPr="00437B90">
        <w:rPr>
          <w:bCs/>
        </w:rPr>
        <w:t xml:space="preserve"> ДДС</w:t>
      </w:r>
      <w:r w:rsidRPr="00437B90">
        <w:t xml:space="preserve"> за 2025 г. са: Руди, шлаки и </w:t>
      </w:r>
      <w:proofErr w:type="spellStart"/>
      <w:r w:rsidRPr="00437B90">
        <w:t>пепели</w:t>
      </w:r>
      <w:proofErr w:type="spellEnd"/>
      <w:r w:rsidRPr="00437B90">
        <w:t xml:space="preserve"> - 826,6 млн. лева (намаление с 202,0 млн. лева, 19,6 % спад, </w:t>
      </w:r>
      <w:proofErr w:type="spellStart"/>
      <w:r w:rsidRPr="00437B90">
        <w:t>отн.</w:t>
      </w:r>
      <w:proofErr w:type="spellEnd"/>
      <w:r w:rsidRPr="00437B90">
        <w:t xml:space="preserve"> дял 53,9 %), Мед и изделия от мед - 305,0 млн. лева (увеличение с 66,8 млн. лева, 28,0 % ръст, </w:t>
      </w:r>
      <w:proofErr w:type="spellStart"/>
      <w:r w:rsidRPr="00437B90">
        <w:t>отн.</w:t>
      </w:r>
      <w:proofErr w:type="spellEnd"/>
      <w:r w:rsidRPr="00437B90">
        <w:t xml:space="preserve"> дял 19,9 %) и Чугун, желязо и стомана - 180,6 млн. лева (увеличение с 20,6 млн. лева, 12,9 % ръст, </w:t>
      </w:r>
      <w:proofErr w:type="spellStart"/>
      <w:r w:rsidRPr="00437B90">
        <w:t>отн.</w:t>
      </w:r>
      <w:proofErr w:type="spellEnd"/>
      <w:r w:rsidRPr="00437B90">
        <w:t xml:space="preserve"> дял 11,8 %). Изброените три групи стоки формират 85,6 % от </w:t>
      </w:r>
      <w:proofErr w:type="spellStart"/>
      <w:r w:rsidRPr="00437B90">
        <w:t>неначисления</w:t>
      </w:r>
      <w:proofErr w:type="spellEnd"/>
      <w:r w:rsidRPr="00437B90">
        <w:t xml:space="preserve"> ДДС за 2025 година.</w:t>
      </w:r>
    </w:p>
    <w:p w:rsidR="00C35EB3" w:rsidRPr="00437B90" w:rsidRDefault="00C35EB3" w:rsidP="00C35EB3">
      <w:pPr>
        <w:spacing w:after="120"/>
        <w:contextualSpacing/>
        <w:jc w:val="both"/>
        <w:rPr>
          <w:bCs/>
        </w:rPr>
      </w:pPr>
      <w:r w:rsidRPr="00437B90">
        <w:t>Постъпленията от</w:t>
      </w:r>
      <w:r w:rsidRPr="00437B90">
        <w:rPr>
          <w:i/>
        </w:rPr>
        <w:t xml:space="preserve"> ДДС при сделки в страната и ВОП (нето)</w:t>
      </w:r>
      <w:r w:rsidRPr="00437B90">
        <w:t xml:space="preserve"> </w:t>
      </w:r>
      <w:r w:rsidRPr="00437B90">
        <w:rPr>
          <w:bCs/>
        </w:rPr>
        <w:t>към декември 2025 г.</w:t>
      </w:r>
      <w:r w:rsidRPr="00437B90">
        <w:t xml:space="preserve"> възлизат на </w:t>
      </w:r>
      <w:r w:rsidR="00CF3DAA" w:rsidRPr="00437B90">
        <w:t>14</w:t>
      </w:r>
      <w:r w:rsidR="00CF3DAA">
        <w:t> </w:t>
      </w:r>
      <w:r w:rsidRPr="00437B90">
        <w:t xml:space="preserve">887,0 млн. лв. Сравнени с данните за същия период на предходната година постъпленията </w:t>
      </w:r>
      <w:r w:rsidRPr="00437B90">
        <w:rPr>
          <w:bCs/>
        </w:rPr>
        <w:t>нарастват с 2 898,4 млн. лева (24,2 %).</w:t>
      </w:r>
    </w:p>
    <w:p w:rsidR="00C35EB3" w:rsidRPr="00437B90" w:rsidRDefault="00C35EB3" w:rsidP="00C35EB3">
      <w:pPr>
        <w:tabs>
          <w:tab w:val="left" w:pos="0"/>
        </w:tabs>
        <w:ind w:right="51"/>
        <w:jc w:val="both"/>
      </w:pPr>
      <w:r w:rsidRPr="00437B90">
        <w:lastRenderedPageBreak/>
        <w:t>Ефективно внесеният</w:t>
      </w:r>
      <w:r w:rsidRPr="00437B90">
        <w:rPr>
          <w:i/>
        </w:rPr>
        <w:t xml:space="preserve"> </w:t>
      </w:r>
      <w:r w:rsidRPr="00437B90">
        <w:t>ДДС по сметките на Националната агенция за приходите</w:t>
      </w:r>
      <w:r w:rsidRPr="00437B90">
        <w:rPr>
          <w:i/>
        </w:rPr>
        <w:t xml:space="preserve"> </w:t>
      </w:r>
      <w:r w:rsidRPr="00437B90">
        <w:t>се</w:t>
      </w:r>
      <w:r w:rsidRPr="00437B90">
        <w:rPr>
          <w:i/>
        </w:rPr>
        <w:t xml:space="preserve"> </w:t>
      </w:r>
      <w:r w:rsidRPr="00437B90">
        <w:t xml:space="preserve">формира от данък по справки-декларации от сделки в страната и ВОП и допълнително внесени суми, разкрити с данъчно-ревизионни актове при ревизии.  </w:t>
      </w:r>
    </w:p>
    <w:p w:rsidR="00C35EB3" w:rsidRPr="00230EFC" w:rsidRDefault="00C35EB3" w:rsidP="00C35EB3">
      <w:pPr>
        <w:jc w:val="both"/>
        <w:rPr>
          <w:color w:val="0070C0"/>
        </w:rPr>
      </w:pPr>
      <w:r w:rsidRPr="00437B90">
        <w:t>Декларираният ДДС за възстановяване зависи от размера на износа и извършените инвестиции. Регистрираните лица по ДДС упражняват право на данъчен кредит чрез приспадане по реда на чл. 92, ал. 1 от ЗДДС или чрез ефективно възстановяване от данъчната администрация след определения срок. Приспаднатият</w:t>
      </w:r>
      <w:r w:rsidRPr="001B3AF5">
        <w:t xml:space="preserve"> данък към месец декември 2025 г. е 1 027,3 млн. лв. и е със 174,6 млн. лв. повече от 2024 година (20,5 % ръст). Възстановеният данък е в размер на 10 611,8 млн. лв., което е с 211,2 млн. лв. повече от възстановения данък към месец декември миналата година. Невъзстановеният ДДС към месец декември 2025 г. е в размер на 41,1 млн. лв., като намалява с 15,7 млн. лв. (27,6 %) спрямо 2024 година. </w:t>
      </w:r>
    </w:p>
    <w:p w:rsidR="00C35EB3" w:rsidRPr="00230EFC" w:rsidRDefault="00C35EB3" w:rsidP="00C35EB3">
      <w:pPr>
        <w:spacing w:before="120" w:after="120"/>
        <w:jc w:val="both"/>
        <w:rPr>
          <w:color w:val="0070C0"/>
        </w:rPr>
      </w:pPr>
      <w:r w:rsidRPr="00190CDB">
        <w:rPr>
          <w:b/>
        </w:rPr>
        <w:t xml:space="preserve">Приходите от акцизи (нето) </w:t>
      </w:r>
      <w:r w:rsidRPr="00190CDB">
        <w:t xml:space="preserve">от внос, вътрешно производство и въведени в страната от други държави-членки на ЕС акцизни стоки са в размер на </w:t>
      </w:r>
      <w:r w:rsidRPr="00190CDB">
        <w:rPr>
          <w:b/>
        </w:rPr>
        <w:t>7 423,7 млн. лв</w:t>
      </w:r>
      <w:r w:rsidRPr="00190CDB">
        <w:t xml:space="preserve">., което е 96,5 % от планираните със ЗДБРБ за 2025 г. Съпоставени </w:t>
      </w:r>
      <w:r>
        <w:t>с</w:t>
      </w:r>
      <w:r w:rsidRPr="00190CDB">
        <w:t xml:space="preserve"> предходната година постъпленията от акцизи са с 519,0 млн. лв. (7,5 %) повече. </w:t>
      </w:r>
    </w:p>
    <w:p w:rsidR="00C35EB3" w:rsidRPr="002F5F2F" w:rsidRDefault="00C35EB3" w:rsidP="00C35EB3">
      <w:pPr>
        <w:spacing w:before="120" w:after="120"/>
        <w:jc w:val="both"/>
      </w:pPr>
      <w:r w:rsidRPr="00BA2FA1">
        <w:t>Относителният дял на нетните постъпления от акциз по стокови групи е от: тютюн и тютюневи изделия (56,7 %); горива (</w:t>
      </w:r>
      <w:r w:rsidRPr="00BA2FA1">
        <w:rPr>
          <w:lang w:val="en-US"/>
        </w:rPr>
        <w:t>38,0</w:t>
      </w:r>
      <w:r w:rsidRPr="00BA2FA1">
        <w:t xml:space="preserve"> </w:t>
      </w:r>
      <w:r w:rsidRPr="00BA2FA1">
        <w:rPr>
          <w:lang w:val="en-US"/>
        </w:rPr>
        <w:t>%</w:t>
      </w:r>
      <w:r w:rsidRPr="00BA2FA1">
        <w:t xml:space="preserve">); алкохол и алкохолни напитки, вкл. бира (4,7 %) и други акцизни стоки (0,6 %). Постъпленията </w:t>
      </w:r>
      <w:r w:rsidRPr="002F5F2F">
        <w:t>от акциз към декември 2025 г. по основни стокови групи, са както следва:</w:t>
      </w:r>
    </w:p>
    <w:p w:rsidR="00C35EB3" w:rsidRPr="002F5F2F" w:rsidRDefault="00C35EB3" w:rsidP="00C35EB3">
      <w:pPr>
        <w:numPr>
          <w:ilvl w:val="0"/>
          <w:numId w:val="13"/>
        </w:numPr>
        <w:ind w:firstLine="66"/>
        <w:jc w:val="both"/>
        <w:rPr>
          <w:i/>
        </w:rPr>
      </w:pPr>
      <w:r w:rsidRPr="002F5F2F">
        <w:rPr>
          <w:i/>
        </w:rPr>
        <w:t xml:space="preserve">акцизи от тютюн и тютюневи изделия – 4 210,3 млн. лева; </w:t>
      </w:r>
    </w:p>
    <w:p w:rsidR="00C35EB3" w:rsidRPr="002F5F2F" w:rsidRDefault="00C35EB3" w:rsidP="00C35EB3">
      <w:pPr>
        <w:numPr>
          <w:ilvl w:val="0"/>
          <w:numId w:val="13"/>
        </w:numPr>
        <w:ind w:firstLine="66"/>
        <w:jc w:val="both"/>
        <w:rPr>
          <w:i/>
        </w:rPr>
      </w:pPr>
      <w:r w:rsidRPr="002F5F2F">
        <w:rPr>
          <w:i/>
        </w:rPr>
        <w:t xml:space="preserve">акцизи от горива – 2 821,0 млн. лева; </w:t>
      </w:r>
    </w:p>
    <w:p w:rsidR="00C35EB3" w:rsidRPr="002F5F2F" w:rsidRDefault="00C35EB3" w:rsidP="00C35EB3">
      <w:pPr>
        <w:numPr>
          <w:ilvl w:val="0"/>
          <w:numId w:val="13"/>
        </w:numPr>
        <w:ind w:firstLine="66"/>
        <w:jc w:val="both"/>
        <w:rPr>
          <w:i/>
        </w:rPr>
      </w:pPr>
      <w:r w:rsidRPr="002F5F2F">
        <w:rPr>
          <w:i/>
        </w:rPr>
        <w:t xml:space="preserve">акцизи от алкохол и алкохолни напитки (вкл. бира) – 345,3 млн. лева; </w:t>
      </w:r>
    </w:p>
    <w:p w:rsidR="00C35EB3" w:rsidRPr="002F5F2F" w:rsidRDefault="00C35EB3" w:rsidP="00C35EB3">
      <w:pPr>
        <w:numPr>
          <w:ilvl w:val="0"/>
          <w:numId w:val="13"/>
        </w:numPr>
        <w:ind w:firstLine="66"/>
        <w:jc w:val="both"/>
        <w:rPr>
          <w:i/>
        </w:rPr>
      </w:pPr>
      <w:r w:rsidRPr="002F5F2F">
        <w:rPr>
          <w:i/>
        </w:rPr>
        <w:t>приходи от ел. енергия и др. акцизни стоки – 47,1 млн. лева.</w:t>
      </w:r>
    </w:p>
    <w:p w:rsidR="00C35EB3" w:rsidRPr="00230EFC" w:rsidRDefault="00C35EB3" w:rsidP="00C35EB3">
      <w:pPr>
        <w:ind w:left="360"/>
        <w:jc w:val="both"/>
        <w:rPr>
          <w:color w:val="0070C0"/>
          <w:sz w:val="8"/>
          <w:szCs w:val="8"/>
        </w:rPr>
      </w:pPr>
    </w:p>
    <w:p w:rsidR="00C35EB3" w:rsidRPr="00230EFC" w:rsidRDefault="00C35EB3" w:rsidP="00C35EB3">
      <w:pPr>
        <w:ind w:left="360"/>
        <w:jc w:val="both"/>
        <w:rPr>
          <w:color w:val="0070C0"/>
          <w:sz w:val="8"/>
          <w:szCs w:val="8"/>
        </w:rPr>
      </w:pPr>
    </w:p>
    <w:p w:rsidR="00C35EB3" w:rsidRPr="00230EFC" w:rsidRDefault="00C35EB3" w:rsidP="00C35EB3">
      <w:pPr>
        <w:spacing w:after="120"/>
        <w:jc w:val="both"/>
        <w:rPr>
          <w:color w:val="0070C0"/>
        </w:rPr>
      </w:pPr>
      <w:r w:rsidRPr="00895693">
        <w:rPr>
          <w:b/>
        </w:rPr>
        <w:t>Приходите от данък върху застрахователните премии</w:t>
      </w:r>
      <w:r w:rsidRPr="00895693">
        <w:t xml:space="preserve"> са в размер на </w:t>
      </w:r>
      <w:r w:rsidRPr="00895693">
        <w:rPr>
          <w:b/>
        </w:rPr>
        <w:t>77,3 млн. лв</w:t>
      </w:r>
      <w:r w:rsidRPr="00895693">
        <w:t xml:space="preserve">., при планирани за годината 74,6 млн. лв., и в сравнение с 2024 г. отчитат ръст от 6,7 млн. лева. </w:t>
      </w:r>
    </w:p>
    <w:p w:rsidR="00C35EB3" w:rsidRPr="00230EFC" w:rsidRDefault="00C35EB3" w:rsidP="00C35EB3">
      <w:pPr>
        <w:autoSpaceDE w:val="0"/>
        <w:autoSpaceDN w:val="0"/>
        <w:adjustRightInd w:val="0"/>
        <w:spacing w:after="120"/>
        <w:jc w:val="both"/>
        <w:rPr>
          <w:rFonts w:eastAsia="Batang"/>
          <w:bCs/>
          <w:color w:val="0070C0"/>
        </w:rPr>
      </w:pPr>
      <w:r w:rsidRPr="0001611F">
        <w:rPr>
          <w:b/>
        </w:rPr>
        <w:t>Постъпленията от</w:t>
      </w:r>
      <w:r w:rsidRPr="0001611F">
        <w:t xml:space="preserve"> </w:t>
      </w:r>
      <w:r w:rsidRPr="0001611F">
        <w:rPr>
          <w:b/>
          <w:bCs/>
        </w:rPr>
        <w:t xml:space="preserve">мита </w:t>
      </w:r>
      <w:r w:rsidRPr="0001611F">
        <w:t xml:space="preserve">възлизат на </w:t>
      </w:r>
      <w:r w:rsidRPr="0001611F">
        <w:rPr>
          <w:b/>
        </w:rPr>
        <w:t>398,3 млн. лв</w:t>
      </w:r>
      <w:r w:rsidRPr="0001611F">
        <w:t xml:space="preserve">. или 108,5 % спрямо планираните със </w:t>
      </w:r>
      <w:r w:rsidRPr="00A72FB6">
        <w:t>ЗДБРБ за 2025</w:t>
      </w:r>
      <w:r w:rsidRPr="00A72FB6">
        <w:rPr>
          <w:lang w:val="en-US"/>
        </w:rPr>
        <w:t> </w:t>
      </w:r>
      <w:r w:rsidRPr="00A72FB6">
        <w:t xml:space="preserve">г. като заемат 0,9 % относителен дял в общия размер на данъчните приходи по </w:t>
      </w:r>
      <w:r w:rsidRPr="002752D4">
        <w:t xml:space="preserve">държавния бюджет. В сравнение </w:t>
      </w:r>
      <w:r>
        <w:t>с</w:t>
      </w:r>
      <w:r w:rsidRPr="002752D4">
        <w:t xml:space="preserve"> предходната година събраните мита са с 59,3 млн. лева (17,5</w:t>
      </w:r>
      <w:r>
        <w:t> </w:t>
      </w:r>
      <w:r w:rsidRPr="002752D4">
        <w:t>%)  повече.</w:t>
      </w:r>
    </w:p>
    <w:p w:rsidR="00C35EB3" w:rsidRDefault="00C35EB3" w:rsidP="00C35EB3">
      <w:pPr>
        <w:tabs>
          <w:tab w:val="right" w:pos="9072"/>
        </w:tabs>
        <w:spacing w:after="120"/>
        <w:jc w:val="both"/>
        <w:rPr>
          <w:color w:val="0070C0"/>
        </w:rPr>
      </w:pPr>
      <w:r w:rsidRPr="007F39F1">
        <w:t xml:space="preserve">За 2025 г., сравнени с предходната година, обобщените данни за декларираните стоки, обложени със ставка на митото, различна от нула </w:t>
      </w:r>
      <w:r w:rsidRPr="00843F5E">
        <w:t>показват ръст на количествата (34,9 %), спад на осреднената статистическа стойност за кг (6,4 %) и запазване на размера на осреднената ставка на митото, приложена за облагане на внесените от трети страни стоки с 1,4</w:t>
      </w:r>
      <w:r>
        <w:t xml:space="preserve"> </w:t>
      </w:r>
      <w:r w:rsidRPr="00843F5E">
        <w:t>%</w:t>
      </w:r>
      <w:r w:rsidRPr="00230EFC">
        <w:rPr>
          <w:color w:val="0070C0"/>
        </w:rPr>
        <w:t>.</w:t>
      </w:r>
    </w:p>
    <w:p w:rsidR="00C35EB3" w:rsidRPr="0044693D" w:rsidRDefault="00C35EB3" w:rsidP="00C35EB3">
      <w:pPr>
        <w:numPr>
          <w:ilvl w:val="0"/>
          <w:numId w:val="4"/>
        </w:numPr>
        <w:tabs>
          <w:tab w:val="clear" w:pos="1440"/>
          <w:tab w:val="num" w:pos="540"/>
        </w:tabs>
        <w:spacing w:before="240"/>
        <w:ind w:left="0" w:firstLine="181"/>
        <w:jc w:val="both"/>
        <w:rPr>
          <w:b/>
          <w:bCs/>
        </w:rPr>
      </w:pPr>
      <w:r w:rsidRPr="0044693D">
        <w:rPr>
          <w:b/>
          <w:bCs/>
        </w:rPr>
        <w:t>Други данъци</w:t>
      </w:r>
    </w:p>
    <w:p w:rsidR="00C35EB3" w:rsidRPr="0044693D" w:rsidRDefault="00C35EB3" w:rsidP="00C35EB3">
      <w:pPr>
        <w:spacing w:before="120"/>
        <w:jc w:val="both"/>
        <w:rPr>
          <w:bCs/>
        </w:rPr>
      </w:pPr>
      <w:r w:rsidRPr="0044693D">
        <w:t xml:space="preserve">Постъпленията от </w:t>
      </w:r>
      <w:r w:rsidRPr="0044693D">
        <w:rPr>
          <w:b/>
        </w:rPr>
        <w:t>други данъци</w:t>
      </w:r>
      <w:r w:rsidRPr="0044693D">
        <w:t xml:space="preserve"> по държавния бюджет </w:t>
      </w:r>
      <w:r w:rsidRPr="0044693D">
        <w:rPr>
          <w:bCs/>
        </w:rPr>
        <w:t>към края на декември 2025</w:t>
      </w:r>
      <w:r w:rsidRPr="0044693D">
        <w:t xml:space="preserve"> г. са в размер на </w:t>
      </w:r>
      <w:r w:rsidRPr="0044693D">
        <w:rPr>
          <w:b/>
        </w:rPr>
        <w:t>233,0 млн. лв.</w:t>
      </w:r>
      <w:r w:rsidRPr="0044693D">
        <w:rPr>
          <w:bCs/>
        </w:rPr>
        <w:t xml:space="preserve"> Съпоставени с данните към декември 2024 г. приходите от други данъци нарастват с 22,9 млн. лв. </w:t>
      </w:r>
      <w:r w:rsidRPr="0044693D">
        <w:rPr>
          <w:bCs/>
          <w:lang w:val="en-US"/>
        </w:rPr>
        <w:t>(</w:t>
      </w:r>
      <w:r w:rsidRPr="0044693D">
        <w:rPr>
          <w:bCs/>
        </w:rPr>
        <w:t>10,9 %</w:t>
      </w:r>
      <w:r w:rsidRPr="0044693D">
        <w:rPr>
          <w:bCs/>
          <w:lang w:val="en-US"/>
        </w:rPr>
        <w:t>)</w:t>
      </w:r>
      <w:r w:rsidRPr="0044693D">
        <w:rPr>
          <w:bCs/>
          <w:lang w:val="ru-RU"/>
        </w:rPr>
        <w:t>.</w:t>
      </w:r>
      <w:r w:rsidRPr="0044693D">
        <w:rPr>
          <w:bCs/>
        </w:rPr>
        <w:t xml:space="preserve"> </w:t>
      </w:r>
    </w:p>
    <w:p w:rsidR="00C35EB3" w:rsidRPr="0044693D" w:rsidRDefault="00C35EB3" w:rsidP="00C35EB3">
      <w:pPr>
        <w:numPr>
          <w:ilvl w:val="0"/>
          <w:numId w:val="3"/>
        </w:numPr>
        <w:tabs>
          <w:tab w:val="num" w:pos="720"/>
        </w:tabs>
        <w:spacing w:before="120"/>
        <w:ind w:left="0" w:firstLine="181"/>
        <w:jc w:val="both"/>
      </w:pPr>
      <w:r w:rsidRPr="0044693D">
        <w:rPr>
          <w:b/>
          <w:bCs/>
        </w:rPr>
        <w:t>Неданъчни приходи</w:t>
      </w:r>
    </w:p>
    <w:p w:rsidR="00C35EB3" w:rsidRPr="00230EFC" w:rsidRDefault="00C35EB3" w:rsidP="00C35EB3">
      <w:pPr>
        <w:tabs>
          <w:tab w:val="left" w:pos="900"/>
        </w:tabs>
        <w:spacing w:before="120" w:after="120"/>
        <w:jc w:val="both"/>
        <w:rPr>
          <w:color w:val="0070C0"/>
          <w:lang w:val="ru-RU"/>
        </w:rPr>
      </w:pPr>
      <w:r w:rsidRPr="00414EAE">
        <w:rPr>
          <w:b/>
        </w:rPr>
        <w:t>Отчетените</w:t>
      </w:r>
      <w:r w:rsidRPr="00414EAE">
        <w:rPr>
          <w:b/>
          <w:bCs/>
        </w:rPr>
        <w:t xml:space="preserve"> неданъчни приходи</w:t>
      </w:r>
      <w:r w:rsidRPr="00414EAE">
        <w:rPr>
          <w:b/>
        </w:rPr>
        <w:t xml:space="preserve"> </w:t>
      </w:r>
      <w:r w:rsidRPr="00414EAE">
        <w:t xml:space="preserve">по държавния бюджет </w:t>
      </w:r>
      <w:r w:rsidRPr="00414EAE">
        <w:rPr>
          <w:bCs/>
        </w:rPr>
        <w:t>към декември 202</w:t>
      </w:r>
      <w:r w:rsidRPr="00414EAE">
        <w:rPr>
          <w:bCs/>
          <w:lang w:val="ru-RU"/>
        </w:rPr>
        <w:t>5</w:t>
      </w:r>
      <w:r w:rsidRPr="00414EAE">
        <w:rPr>
          <w:bCs/>
        </w:rPr>
        <w:t xml:space="preserve"> г.</w:t>
      </w:r>
      <w:r w:rsidRPr="00414EAE">
        <w:t xml:space="preserve"> са в размер на </w:t>
      </w:r>
      <w:r w:rsidRPr="00414EAE">
        <w:rPr>
          <w:b/>
          <w:lang w:val="ru-RU"/>
        </w:rPr>
        <w:t xml:space="preserve">6 556,2 </w:t>
      </w:r>
      <w:r w:rsidRPr="00414EAE">
        <w:rPr>
          <w:b/>
        </w:rPr>
        <w:t>млн. лв</w:t>
      </w:r>
      <w:r w:rsidRPr="00414EAE">
        <w:t xml:space="preserve">. </w:t>
      </w:r>
      <w:r w:rsidRPr="00414EAE">
        <w:rPr>
          <w:lang w:val="ru-RU"/>
        </w:rPr>
        <w:t>(</w:t>
      </w:r>
      <w:r w:rsidRPr="00414EAE">
        <w:t xml:space="preserve">93,9 % </w:t>
      </w:r>
      <w:r w:rsidRPr="00414EAE">
        <w:rPr>
          <w:lang w:val="ru-RU"/>
        </w:rPr>
        <w:t>от планираните за 202</w:t>
      </w:r>
      <w:r w:rsidRPr="00414EAE">
        <w:t>5</w:t>
      </w:r>
      <w:r w:rsidRPr="00414EAE">
        <w:rPr>
          <w:lang w:val="ru-RU"/>
        </w:rPr>
        <w:t xml:space="preserve"> г.) </w:t>
      </w:r>
      <w:r w:rsidRPr="00414EAE">
        <w:t>и се формират основно от приходи от държавни такси, приходи и доходи от собственост, приходи от концесии и други неданъчни приходи</w:t>
      </w:r>
      <w:r w:rsidRPr="00414EAE">
        <w:rPr>
          <w:lang w:val="ru-RU"/>
        </w:rPr>
        <w:t xml:space="preserve">. </w:t>
      </w:r>
    </w:p>
    <w:p w:rsidR="00C35EB3" w:rsidRPr="0049453D" w:rsidRDefault="00C35EB3" w:rsidP="00C35EB3">
      <w:pPr>
        <w:numPr>
          <w:ilvl w:val="0"/>
          <w:numId w:val="3"/>
        </w:numPr>
        <w:tabs>
          <w:tab w:val="num" w:pos="720"/>
        </w:tabs>
        <w:ind w:left="0" w:firstLine="181"/>
        <w:jc w:val="both"/>
        <w:rPr>
          <w:b/>
          <w:bCs/>
        </w:rPr>
      </w:pPr>
      <w:r w:rsidRPr="0049453D">
        <w:rPr>
          <w:b/>
          <w:bCs/>
        </w:rPr>
        <w:t>Помощи и дарения</w:t>
      </w:r>
    </w:p>
    <w:p w:rsidR="00C35EB3" w:rsidRDefault="00C35EB3" w:rsidP="00C35EB3">
      <w:pPr>
        <w:spacing w:before="120" w:after="120"/>
        <w:jc w:val="both"/>
      </w:pPr>
      <w:r w:rsidRPr="0049453D">
        <w:rPr>
          <w:b/>
        </w:rPr>
        <w:t>Помощите</w:t>
      </w:r>
      <w:r w:rsidRPr="0049453D">
        <w:t xml:space="preserve"> </w:t>
      </w:r>
      <w:r w:rsidRPr="0049453D">
        <w:rPr>
          <w:b/>
        </w:rPr>
        <w:t>и даренията</w:t>
      </w:r>
      <w:r w:rsidRPr="0049453D">
        <w:t xml:space="preserve"> по държавния бюджет към декември 2025 г. са в размер на </w:t>
      </w:r>
      <w:r w:rsidRPr="0049453D">
        <w:rPr>
          <w:b/>
        </w:rPr>
        <w:t xml:space="preserve">357,2 млн. лв., </w:t>
      </w:r>
      <w:r w:rsidRPr="0049453D">
        <w:t>в т. ч. 348,6 млн. лв. постъпили в края на месец януари еднократни приходи по споразумени</w:t>
      </w:r>
      <w:r w:rsidR="007D17CC">
        <w:t>я</w:t>
      </w:r>
      <w:r w:rsidRPr="0049453D">
        <w:t xml:space="preserve"> между Министерството на отбраната на Република България и Министерството на отбраната на Кралство Дания за сътрудничество в областта на материалните ресурси за отбрана. </w:t>
      </w:r>
    </w:p>
    <w:p w:rsidR="001D21EB" w:rsidRPr="0049453D" w:rsidRDefault="001D21EB" w:rsidP="00C35EB3">
      <w:pPr>
        <w:spacing w:before="120" w:after="120"/>
        <w:jc w:val="both"/>
      </w:pPr>
    </w:p>
    <w:p w:rsidR="00C35EB3" w:rsidRPr="00DA07E1" w:rsidRDefault="00C35EB3" w:rsidP="00873DED">
      <w:pPr>
        <w:numPr>
          <w:ilvl w:val="0"/>
          <w:numId w:val="5"/>
        </w:numPr>
        <w:tabs>
          <w:tab w:val="clear" w:pos="7650"/>
          <w:tab w:val="num" w:pos="426"/>
          <w:tab w:val="num" w:pos="786"/>
        </w:tabs>
        <w:spacing w:before="120"/>
        <w:ind w:left="0" w:firstLine="0"/>
        <w:jc w:val="both"/>
        <w:rPr>
          <w:b/>
          <w:bCs/>
          <w:lang w:eastAsia="bg-BG"/>
        </w:rPr>
      </w:pPr>
      <w:r w:rsidRPr="00DA07E1">
        <w:rPr>
          <w:b/>
          <w:bCs/>
          <w:lang w:eastAsia="bg-BG"/>
        </w:rPr>
        <w:lastRenderedPageBreak/>
        <w:t>Разходи по държавния бюджет</w:t>
      </w:r>
    </w:p>
    <w:p w:rsidR="00C35EB3" w:rsidRPr="00CB5CBF" w:rsidRDefault="00C35EB3" w:rsidP="00873DED">
      <w:pPr>
        <w:pStyle w:val="BodyTextIndent"/>
        <w:spacing w:before="120" w:after="0"/>
        <w:ind w:left="0"/>
        <w:jc w:val="both"/>
      </w:pPr>
      <w:r w:rsidRPr="004C3FE5">
        <w:t xml:space="preserve">Общият размер на </w:t>
      </w:r>
      <w:r w:rsidRPr="004C3FE5">
        <w:rPr>
          <w:b/>
        </w:rPr>
        <w:t>разходите по държавния бюджет</w:t>
      </w:r>
      <w:r w:rsidRPr="004C3FE5">
        <w:t xml:space="preserve"> </w:t>
      </w:r>
      <w:r w:rsidRPr="004C3FE5">
        <w:rPr>
          <w:lang w:val="ru-RU"/>
        </w:rPr>
        <w:t xml:space="preserve">(вкл. трансферите за др. бюджети и вноската в бюджета на ЕС) </w:t>
      </w:r>
      <w:r w:rsidRPr="004C3FE5">
        <w:rPr>
          <w:bCs/>
        </w:rPr>
        <w:t>към декември 2025 г.</w:t>
      </w:r>
      <w:r w:rsidRPr="004C3FE5">
        <w:t xml:space="preserve"> е </w:t>
      </w:r>
      <w:r w:rsidRPr="00B95D10">
        <w:rPr>
          <w:b/>
        </w:rPr>
        <w:t>57 544,6 млн. лв</w:t>
      </w:r>
      <w:r w:rsidRPr="00B95D10">
        <w:t>., 92,4 % от годишния</w:t>
      </w:r>
      <w:r w:rsidRPr="004C3FE5">
        <w:t xml:space="preserve"> разчет. </w:t>
      </w:r>
      <w:r w:rsidRPr="00CB5CBF">
        <w:t>С оглед постигане на съпоставимост на графиката по-долу за 2024 г. е елиминирано влиянието на трансакцията по</w:t>
      </w:r>
      <w:r w:rsidRPr="00CB5CBF">
        <w:rPr>
          <w:rFonts w:eastAsia="Calibri"/>
          <w:lang w:val="ru-RU"/>
        </w:rPr>
        <w:t xml:space="preserve"> чл. 71, ал.1 от Постановление № 13 на Министерския съвет от 2024 г. </w:t>
      </w:r>
      <w:r w:rsidRPr="00CB5CBF">
        <w:rPr>
          <w:rFonts w:eastAsia="Calibri"/>
        </w:rPr>
        <w:t xml:space="preserve">(възстановени разходи в размер на 1 200 млн. лв. </w:t>
      </w:r>
      <w:r w:rsidRPr="00CB5CBF">
        <w:rPr>
          <w:rFonts w:eastAsia="Calibri"/>
          <w:lang w:val="ru-RU"/>
        </w:rPr>
        <w:t xml:space="preserve">от сметката за чужди средства по бюджета на Министерството на регионалното развитие </w:t>
      </w:r>
      <w:r w:rsidRPr="00CB5CBF">
        <w:rPr>
          <w:rFonts w:eastAsia="Calibri"/>
        </w:rPr>
        <w:t>и благоустройството</w:t>
      </w:r>
      <w:r w:rsidRPr="00CB5CBF">
        <w:rPr>
          <w:rFonts w:eastAsia="Calibri"/>
          <w:lang w:val="ru-RU"/>
        </w:rPr>
        <w:t>)</w:t>
      </w:r>
      <w:r w:rsidRPr="00CB5CBF">
        <w:rPr>
          <w:rFonts w:eastAsia="Calibri"/>
        </w:rPr>
        <w:t>.</w:t>
      </w:r>
    </w:p>
    <w:p w:rsidR="00C35EB3" w:rsidRPr="00230EFC" w:rsidRDefault="00C35EB3" w:rsidP="00C35EB3">
      <w:pPr>
        <w:pStyle w:val="BodyTextIndent"/>
        <w:spacing w:after="0"/>
        <w:ind w:left="0"/>
        <w:jc w:val="both"/>
        <w:rPr>
          <w:color w:val="0070C0"/>
          <w:sz w:val="4"/>
          <w:szCs w:val="4"/>
        </w:rPr>
      </w:pPr>
    </w:p>
    <w:p w:rsidR="00C35EB3" w:rsidRPr="00230EFC" w:rsidRDefault="00C35EB3" w:rsidP="00C35EB3">
      <w:pPr>
        <w:pStyle w:val="BodyTextIndent"/>
        <w:spacing w:after="0"/>
        <w:ind w:left="0"/>
        <w:jc w:val="center"/>
        <w:rPr>
          <w:b/>
          <w:color w:val="0070C0"/>
          <w:sz w:val="4"/>
          <w:szCs w:val="4"/>
          <w:u w:val="single"/>
        </w:rPr>
      </w:pPr>
    </w:p>
    <w:p w:rsidR="00C35EB3" w:rsidRPr="00230EFC" w:rsidRDefault="00C35EB3" w:rsidP="00C35EB3">
      <w:pPr>
        <w:pStyle w:val="BodyTextIndent"/>
        <w:spacing w:after="0"/>
        <w:ind w:left="0"/>
        <w:jc w:val="center"/>
        <w:rPr>
          <w:b/>
          <w:color w:val="0070C0"/>
          <w:u w:val="single"/>
        </w:rPr>
      </w:pPr>
    </w:p>
    <w:p w:rsidR="00C35EB3" w:rsidRPr="008B594C" w:rsidRDefault="00C35EB3" w:rsidP="00C35EB3">
      <w:pPr>
        <w:pStyle w:val="BodyTextIndent"/>
        <w:spacing w:after="0"/>
        <w:ind w:left="0"/>
        <w:jc w:val="center"/>
        <w:rPr>
          <w:b/>
          <w:u w:val="single"/>
        </w:rPr>
      </w:pPr>
      <w:r w:rsidRPr="008B594C">
        <w:rPr>
          <w:b/>
          <w:u w:val="single"/>
        </w:rPr>
        <w:t xml:space="preserve">Разходи, трансфери за други бюджети и вноска в бюджета на ЕС </w:t>
      </w:r>
    </w:p>
    <w:p w:rsidR="00C35EB3" w:rsidRPr="008B594C" w:rsidRDefault="00C35EB3" w:rsidP="00C35EB3">
      <w:pPr>
        <w:pStyle w:val="BodyTextIndent"/>
        <w:spacing w:after="0"/>
        <w:ind w:left="0"/>
        <w:jc w:val="center"/>
        <w:rPr>
          <w:b/>
          <w:u w:val="single"/>
        </w:rPr>
      </w:pPr>
      <w:r w:rsidRPr="008B594C">
        <w:rPr>
          <w:b/>
          <w:u w:val="single"/>
        </w:rPr>
        <w:t>към декември 2024 г. и 2025 г.</w:t>
      </w:r>
    </w:p>
    <w:p w:rsidR="00C35EB3" w:rsidRPr="00B95D10" w:rsidRDefault="00C35EB3" w:rsidP="00C35EB3">
      <w:pPr>
        <w:pStyle w:val="BodyTextIndent"/>
        <w:spacing w:after="0"/>
        <w:ind w:left="0"/>
        <w:jc w:val="center"/>
        <w:rPr>
          <w:b/>
          <w:lang w:val="ru-RU"/>
        </w:rPr>
      </w:pPr>
      <w:r w:rsidRPr="00B95D10">
        <w:rPr>
          <w:b/>
          <w:lang w:val="ru-RU"/>
        </w:rPr>
        <w:t>(</w:t>
      </w:r>
      <w:r w:rsidRPr="00B95D10">
        <w:rPr>
          <w:b/>
        </w:rPr>
        <w:t>данните за капиталовите разходи за 2024 г. са на съпоставима база</w:t>
      </w:r>
      <w:r w:rsidRPr="00B95D10">
        <w:rPr>
          <w:b/>
          <w:lang w:val="ru-RU"/>
        </w:rPr>
        <w:t>)</w:t>
      </w:r>
    </w:p>
    <w:p w:rsidR="00C35EB3" w:rsidRPr="00230EFC" w:rsidRDefault="00C35EB3" w:rsidP="00C35EB3">
      <w:pPr>
        <w:pStyle w:val="BodyTextIndent"/>
        <w:spacing w:after="0"/>
        <w:ind w:left="0"/>
        <w:jc w:val="center"/>
        <w:rPr>
          <w:b/>
          <w:color w:val="0070C0"/>
          <w:u w:val="single"/>
          <w:lang w:val="ru-RU"/>
        </w:rPr>
      </w:pPr>
    </w:p>
    <w:p w:rsidR="00C35EB3" w:rsidRPr="00230EFC" w:rsidRDefault="00C35EB3" w:rsidP="00C35EB3">
      <w:pPr>
        <w:pStyle w:val="BodyTextIndent"/>
        <w:spacing w:after="0"/>
        <w:ind w:left="0"/>
        <w:jc w:val="center"/>
        <w:rPr>
          <w:b/>
          <w:color w:val="0070C0"/>
          <w:u w:val="single"/>
        </w:rPr>
      </w:pPr>
      <w:r w:rsidRPr="00230EFC">
        <w:rPr>
          <w:noProof/>
          <w:color w:val="0070C0"/>
          <w:lang w:eastAsia="bg-BG"/>
        </w:rPr>
        <w:drawing>
          <wp:inline distT="0" distB="0" distL="0" distR="0" wp14:anchorId="52AA7AEA" wp14:editId="713A3739">
            <wp:extent cx="5579745" cy="2325600"/>
            <wp:effectExtent l="0" t="0" r="1905" b="17780"/>
            <wp:docPr id="8"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5EB3" w:rsidRPr="00230EFC" w:rsidRDefault="00C35EB3" w:rsidP="00C35EB3">
      <w:pPr>
        <w:pStyle w:val="BodyTextIndent"/>
        <w:spacing w:after="0"/>
        <w:ind w:left="0"/>
        <w:jc w:val="center"/>
        <w:rPr>
          <w:b/>
          <w:color w:val="0070C0"/>
          <w:sz w:val="14"/>
          <w:u w:val="single"/>
          <w:lang w:val="ru-RU"/>
        </w:rPr>
      </w:pPr>
    </w:p>
    <w:p w:rsidR="00C35EB3" w:rsidRPr="002964F0" w:rsidRDefault="00C35EB3" w:rsidP="00C35EB3">
      <w:pPr>
        <w:ind w:firstLine="360"/>
        <w:rPr>
          <w:sz w:val="18"/>
          <w:szCs w:val="18"/>
        </w:rPr>
      </w:pPr>
      <w:bookmarkStart w:id="70" w:name="_MON_1562146415"/>
      <w:bookmarkStart w:id="71" w:name="_MON_1562146493"/>
      <w:bookmarkStart w:id="72" w:name="_MON_1562146700"/>
      <w:bookmarkStart w:id="73" w:name="_MON_1562146782"/>
      <w:bookmarkStart w:id="74" w:name="_MON_1562146967"/>
      <w:bookmarkStart w:id="75" w:name="_MON_1562147372"/>
      <w:bookmarkStart w:id="76" w:name="_MON_1562147473"/>
      <w:bookmarkStart w:id="77" w:name="_MON_1562147677"/>
      <w:bookmarkStart w:id="78" w:name="_MON_1562147743"/>
      <w:bookmarkStart w:id="79" w:name="_MON_1562147867"/>
      <w:bookmarkStart w:id="80" w:name="_MON_1562147934"/>
      <w:bookmarkStart w:id="81" w:name="_MON_1562148056"/>
      <w:bookmarkStart w:id="82" w:name="_MON_1562148171"/>
      <w:bookmarkStart w:id="83" w:name="_MON_1562148229"/>
      <w:bookmarkStart w:id="84" w:name="_MON_1562148307"/>
      <w:bookmarkStart w:id="85" w:name="_MON_1562148447"/>
      <w:bookmarkStart w:id="86" w:name="_MON_1562148558"/>
      <w:bookmarkStart w:id="87" w:name="_MON_1562152805"/>
      <w:bookmarkStart w:id="88" w:name="_MON_1562152984"/>
      <w:bookmarkStart w:id="89" w:name="_MON_1562153459"/>
      <w:bookmarkStart w:id="90" w:name="_MON_1562153503"/>
      <w:bookmarkStart w:id="91" w:name="_MON_1562153559"/>
      <w:bookmarkStart w:id="92" w:name="_MON_1562153646"/>
      <w:bookmarkStart w:id="93" w:name="_MON_1562153939"/>
      <w:bookmarkStart w:id="94" w:name="_MON_1562154053"/>
      <w:bookmarkStart w:id="95" w:name="_MON_1562154282"/>
      <w:bookmarkStart w:id="96" w:name="_MON_1562146286"/>
      <w:bookmarkStart w:id="97" w:name="_MON_1562154881"/>
      <w:bookmarkStart w:id="98" w:name="_MON_1562154973"/>
      <w:bookmarkStart w:id="99" w:name="_MON_1562155194"/>
      <w:bookmarkStart w:id="100" w:name="_MON_1562155231"/>
      <w:bookmarkStart w:id="101" w:name="_MON_1562155321"/>
      <w:bookmarkStart w:id="102" w:name="_MON_156215539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2964F0">
        <w:rPr>
          <w:sz w:val="18"/>
          <w:szCs w:val="18"/>
        </w:rPr>
        <w:t>*</w:t>
      </w:r>
      <w:r w:rsidRPr="002964F0">
        <w:t xml:space="preserve"> </w:t>
      </w:r>
      <w:r w:rsidRPr="002964F0">
        <w:rPr>
          <w:sz w:val="18"/>
          <w:szCs w:val="18"/>
        </w:rPr>
        <w:t>Вкл. нетния прираст на държавния резерв</w:t>
      </w:r>
    </w:p>
    <w:p w:rsidR="00C35EB3" w:rsidRPr="00230EFC" w:rsidRDefault="00C35EB3" w:rsidP="00C35EB3">
      <w:pPr>
        <w:ind w:firstLine="360"/>
        <w:rPr>
          <w:color w:val="0070C0"/>
          <w:sz w:val="18"/>
          <w:szCs w:val="18"/>
        </w:rPr>
      </w:pPr>
    </w:p>
    <w:p w:rsidR="00C35EB3" w:rsidRPr="00C9780E" w:rsidRDefault="00C35EB3" w:rsidP="00C35EB3">
      <w:pPr>
        <w:pStyle w:val="BodyTextIndent"/>
        <w:numPr>
          <w:ilvl w:val="0"/>
          <w:numId w:val="14"/>
        </w:numPr>
        <w:spacing w:before="120" w:after="0"/>
        <w:jc w:val="both"/>
        <w:rPr>
          <w:b/>
          <w:bCs/>
        </w:rPr>
      </w:pPr>
      <w:r w:rsidRPr="00C9780E">
        <w:rPr>
          <w:b/>
          <w:bCs/>
        </w:rPr>
        <w:t>Нелихвени разходи</w:t>
      </w:r>
    </w:p>
    <w:p w:rsidR="00C35EB3" w:rsidRPr="00230EFC" w:rsidRDefault="00C35EB3" w:rsidP="00C35EB3">
      <w:pPr>
        <w:spacing w:before="120"/>
        <w:jc w:val="both"/>
        <w:rPr>
          <w:bCs/>
          <w:color w:val="0070C0"/>
        </w:rPr>
      </w:pPr>
      <w:r w:rsidRPr="005D6671">
        <w:rPr>
          <w:b/>
          <w:bCs/>
        </w:rPr>
        <w:t>Нелихвените разходи</w:t>
      </w:r>
      <w:r w:rsidRPr="005D6671">
        <w:rPr>
          <w:bCs/>
        </w:rPr>
        <w:t xml:space="preserve"> по държавния бюджет към декември 202</w:t>
      </w:r>
      <w:r w:rsidRPr="005D6671">
        <w:rPr>
          <w:bCs/>
          <w:lang w:val="ru-RU"/>
        </w:rPr>
        <w:t>5</w:t>
      </w:r>
      <w:r w:rsidRPr="005D6671">
        <w:rPr>
          <w:bCs/>
        </w:rPr>
        <w:t xml:space="preserve"> г.</w:t>
      </w:r>
      <w:r w:rsidRPr="005D6671">
        <w:t xml:space="preserve"> </w:t>
      </w:r>
      <w:r w:rsidRPr="005D6671">
        <w:rPr>
          <w:bCs/>
        </w:rPr>
        <w:t xml:space="preserve">са в размер на </w:t>
      </w:r>
      <w:r w:rsidRPr="0012104D">
        <w:rPr>
          <w:b/>
          <w:bCs/>
        </w:rPr>
        <w:t>23 924,5 млн. лв</w:t>
      </w:r>
      <w:r w:rsidRPr="0012104D">
        <w:rPr>
          <w:bCs/>
        </w:rPr>
        <w:t>.</w:t>
      </w:r>
      <w:r w:rsidRPr="0012104D">
        <w:rPr>
          <w:bCs/>
          <w:lang w:val="ru-RU"/>
        </w:rPr>
        <w:t xml:space="preserve"> </w:t>
      </w:r>
      <w:r w:rsidRPr="0012104D">
        <w:rPr>
          <w:bCs/>
        </w:rPr>
        <w:t>На съпоставима база нелихвените разходи по държавния бюджет към края на декември 2024 г. са в размер на 20 572,8</w:t>
      </w:r>
      <w:r w:rsidRPr="0012104D">
        <w:rPr>
          <w:bCs/>
          <w:lang w:val="en-US"/>
        </w:rPr>
        <w:t xml:space="preserve"> </w:t>
      </w:r>
      <w:r w:rsidRPr="0012104D">
        <w:rPr>
          <w:bCs/>
        </w:rPr>
        <w:t>млн. лв., като разходите към декември 2025 г. нарастват номинално с 3 351,8</w:t>
      </w:r>
      <w:r w:rsidRPr="0012104D">
        <w:rPr>
          <w:bCs/>
          <w:lang w:val="en-US"/>
        </w:rPr>
        <w:t xml:space="preserve"> </w:t>
      </w:r>
      <w:r w:rsidRPr="0012104D">
        <w:rPr>
          <w:bCs/>
        </w:rPr>
        <w:t>млн. лв. (16,3 на сто), след елиминиране на трансакцията по чл. 71, ал.1 от Постановление № 13 на Министерския съвет от 2024 г.</w:t>
      </w:r>
    </w:p>
    <w:p w:rsidR="00C35EB3" w:rsidRPr="00230EFC" w:rsidRDefault="00C35EB3" w:rsidP="00C35EB3">
      <w:pPr>
        <w:jc w:val="both"/>
        <w:rPr>
          <w:bCs/>
          <w:color w:val="0070C0"/>
        </w:rPr>
      </w:pPr>
      <w:r w:rsidRPr="0034777C">
        <w:rPr>
          <w:bCs/>
        </w:rPr>
        <w:t>Разходите за персонал (заплати и възнаграждения, други възнаграждения и плащания за персонала и осигурителни вноски) са в общ размер на 12 312,9</w:t>
      </w:r>
      <w:r w:rsidRPr="0034777C">
        <w:rPr>
          <w:bCs/>
          <w:lang w:val="en-US"/>
        </w:rPr>
        <w:t xml:space="preserve"> </w:t>
      </w:r>
      <w:r w:rsidRPr="0034777C">
        <w:rPr>
          <w:bCs/>
        </w:rPr>
        <w:t>млн. лв. или 96,7 %</w:t>
      </w:r>
      <w:r w:rsidRPr="0034777C">
        <w:rPr>
          <w:bCs/>
          <w:lang w:val="en-US"/>
        </w:rPr>
        <w:t xml:space="preserve"> </w:t>
      </w:r>
      <w:r w:rsidRPr="0034777C">
        <w:rPr>
          <w:bCs/>
        </w:rPr>
        <w:t xml:space="preserve">от </w:t>
      </w:r>
      <w:r w:rsidRPr="0078387D">
        <w:rPr>
          <w:bCs/>
        </w:rPr>
        <w:t>планираните за 2025 г. и ръст от 2 459,2</w:t>
      </w:r>
      <w:r w:rsidRPr="0078387D">
        <w:rPr>
          <w:bCs/>
          <w:lang w:val="en-US"/>
        </w:rPr>
        <w:t xml:space="preserve"> </w:t>
      </w:r>
      <w:r w:rsidRPr="0078387D">
        <w:rPr>
          <w:bCs/>
        </w:rPr>
        <w:t xml:space="preserve">млн. лв. спрямо предходната година. Разходите за издръжка (вкл. разходи за членски внос и участие в нетърговски организации и дейности и платени данъци, такси и административни санкции) са в размер на 4 052,4 млн. лв. или </w:t>
      </w:r>
      <w:r>
        <w:rPr>
          <w:bCs/>
        </w:rPr>
        <w:t>74,6</w:t>
      </w:r>
      <w:r w:rsidRPr="0078387D">
        <w:rPr>
          <w:bCs/>
        </w:rPr>
        <w:t xml:space="preserve"> % от </w:t>
      </w:r>
      <w:r w:rsidRPr="008B233B">
        <w:rPr>
          <w:bCs/>
        </w:rPr>
        <w:t>планираните за годината. Социалните разходи (вкл. разходите за стипендии) са в размер на 1 993,9 млн. лв. или 58,8</w:t>
      </w:r>
      <w:r w:rsidRPr="008B233B">
        <w:rPr>
          <w:bCs/>
          <w:lang w:val="en-US"/>
        </w:rPr>
        <w:t xml:space="preserve"> </w:t>
      </w:r>
      <w:r w:rsidRPr="008B233B">
        <w:rPr>
          <w:bCs/>
        </w:rPr>
        <w:t xml:space="preserve">% от предвидените </w:t>
      </w:r>
      <w:r w:rsidRPr="008B233B">
        <w:t>за годината</w:t>
      </w:r>
      <w:r w:rsidRPr="008B233B">
        <w:rPr>
          <w:bCs/>
        </w:rPr>
        <w:t xml:space="preserve"> като нарастват с 250,2 млн. лв. (14,4 %) спрямо предходната година.</w:t>
      </w:r>
      <w:r w:rsidRPr="008B233B">
        <w:rPr>
          <w:bCs/>
          <w:lang w:val="ru-RU"/>
        </w:rPr>
        <w:t xml:space="preserve"> </w:t>
      </w:r>
      <w:r w:rsidRPr="002D56C3">
        <w:t xml:space="preserve">Част от планираните социални разходи по държавния бюджет се предоставят </w:t>
      </w:r>
      <w:r w:rsidRPr="00B132D9">
        <w:t>като трансфери за общинските бюджети.</w:t>
      </w:r>
      <w:r w:rsidRPr="00B132D9">
        <w:rPr>
          <w:bCs/>
        </w:rPr>
        <w:t xml:space="preserve"> Разходите за субсидии са в размер на 1 888,7 млн. лв. или 88,2 % от планираните за годината</w:t>
      </w:r>
      <w:r w:rsidRPr="00B132D9">
        <w:rPr>
          <w:bCs/>
          <w:lang w:val="ru-RU"/>
        </w:rPr>
        <w:t xml:space="preserve">. </w:t>
      </w:r>
      <w:r w:rsidRPr="002D56C3">
        <w:rPr>
          <w:bCs/>
        </w:rPr>
        <w:t xml:space="preserve">Към декември 2025 г. субсидиите за „БДЖ – Пътнически превози” ЕООД са в размер на </w:t>
      </w:r>
      <w:r>
        <w:rPr>
          <w:bCs/>
          <w:lang w:val="ru-RU"/>
        </w:rPr>
        <w:t>226,9</w:t>
      </w:r>
      <w:r w:rsidRPr="0019599A">
        <w:rPr>
          <w:bCs/>
        </w:rPr>
        <w:t xml:space="preserve"> млн. лв., субсидиите за Национална компания „Железопътна инфраструктура” са </w:t>
      </w:r>
      <w:r>
        <w:rPr>
          <w:bCs/>
        </w:rPr>
        <w:t>353,3</w:t>
      </w:r>
      <w:r w:rsidRPr="0019599A">
        <w:rPr>
          <w:bCs/>
        </w:rPr>
        <w:t xml:space="preserve"> млн. лв. </w:t>
      </w:r>
      <w:r w:rsidRPr="0019599A">
        <w:rPr>
          <w:bCs/>
          <w:lang w:val="en-US"/>
        </w:rPr>
        <w:t>(</w:t>
      </w:r>
      <w:r w:rsidRPr="0019599A">
        <w:rPr>
          <w:bCs/>
        </w:rPr>
        <w:t>в т. ч. 0,</w:t>
      </w:r>
      <w:r>
        <w:rPr>
          <w:bCs/>
        </w:rPr>
        <w:t>092</w:t>
      </w:r>
      <w:r w:rsidRPr="0019599A">
        <w:rPr>
          <w:bCs/>
        </w:rPr>
        <w:t xml:space="preserve"> млн. лв. стихийни бедствия</w:t>
      </w:r>
      <w:r w:rsidRPr="0019599A">
        <w:rPr>
          <w:bCs/>
          <w:lang w:val="en-US"/>
        </w:rPr>
        <w:t>)</w:t>
      </w:r>
      <w:r w:rsidRPr="0019599A">
        <w:rPr>
          <w:bCs/>
        </w:rPr>
        <w:t xml:space="preserve"> и </w:t>
      </w:r>
      <w:r>
        <w:rPr>
          <w:bCs/>
        </w:rPr>
        <w:t>104,5</w:t>
      </w:r>
      <w:r w:rsidRPr="0019599A">
        <w:rPr>
          <w:bCs/>
        </w:rPr>
        <w:t xml:space="preserve"> млн. лв. са за „Български пощи” ЕАД, в т. ч. </w:t>
      </w:r>
      <w:r>
        <w:rPr>
          <w:bCs/>
        </w:rPr>
        <w:t>31,1</w:t>
      </w:r>
      <w:r w:rsidRPr="0019599A">
        <w:rPr>
          <w:bCs/>
        </w:rPr>
        <w:t xml:space="preserve"> млн. лв. за извършване на универсална пощенска услуга, </w:t>
      </w:r>
      <w:r>
        <w:rPr>
          <w:bCs/>
        </w:rPr>
        <w:t>31,7</w:t>
      </w:r>
      <w:r w:rsidRPr="0091678B">
        <w:rPr>
          <w:bCs/>
        </w:rPr>
        <w:t xml:space="preserve"> млн. лв. за разпространение на периодични печатни издания - вестници и списания, </w:t>
      </w:r>
      <w:r>
        <w:rPr>
          <w:bCs/>
        </w:rPr>
        <w:t>18,7</w:t>
      </w:r>
      <w:r w:rsidRPr="0091678B">
        <w:rPr>
          <w:bCs/>
        </w:rPr>
        <w:t xml:space="preserve"> млн. лв. за предоставяне на административни услуги, </w:t>
      </w:r>
      <w:r>
        <w:rPr>
          <w:bCs/>
        </w:rPr>
        <w:t>22</w:t>
      </w:r>
      <w:r w:rsidRPr="0091678B">
        <w:rPr>
          <w:bCs/>
        </w:rPr>
        <w:t xml:space="preserve">,6 млн. лв. за обмяна на левове в евро </w:t>
      </w:r>
      <w:r w:rsidRPr="0091678B">
        <w:rPr>
          <w:bCs/>
          <w:lang w:val="ru-RU"/>
        </w:rPr>
        <w:t xml:space="preserve">и 0,4 млн. лв. за дейности, предвидени в Комуникационната стратегия за информация и </w:t>
      </w:r>
      <w:r w:rsidRPr="00143ECD">
        <w:rPr>
          <w:bCs/>
          <w:lang w:val="ru-RU"/>
        </w:rPr>
        <w:t>публичност на присъединяването на България към еврозоната, чрез мрежата от пощенските станции на територията на страната (</w:t>
      </w:r>
      <w:r w:rsidRPr="00143ECD">
        <w:rPr>
          <w:bCs/>
        </w:rPr>
        <w:t xml:space="preserve">ПМС 480/21.12.2022 г.). За отчетния период субсидиите за „България </w:t>
      </w:r>
      <w:proofErr w:type="spellStart"/>
      <w:r w:rsidRPr="00143ECD">
        <w:rPr>
          <w:bCs/>
        </w:rPr>
        <w:t>Хели</w:t>
      </w:r>
      <w:proofErr w:type="spellEnd"/>
      <w:r w:rsidRPr="00143ECD">
        <w:rPr>
          <w:bCs/>
        </w:rPr>
        <w:t xml:space="preserve"> Мед </w:t>
      </w:r>
      <w:proofErr w:type="spellStart"/>
      <w:r w:rsidRPr="00143ECD">
        <w:rPr>
          <w:bCs/>
        </w:rPr>
        <w:t>Сървиз</w:t>
      </w:r>
      <w:proofErr w:type="spellEnd"/>
      <w:r w:rsidRPr="00143ECD">
        <w:rPr>
          <w:bCs/>
        </w:rPr>
        <w:t xml:space="preserve">“ </w:t>
      </w:r>
      <w:r w:rsidRPr="00143ECD">
        <w:rPr>
          <w:bCs/>
          <w:lang w:val="ru-RU"/>
        </w:rPr>
        <w:t>(</w:t>
      </w:r>
      <w:r w:rsidRPr="00143ECD">
        <w:rPr>
          <w:bCs/>
        </w:rPr>
        <w:t>център за спешна медицинска помощ по въздуха</w:t>
      </w:r>
      <w:r w:rsidRPr="00143ECD">
        <w:rPr>
          <w:bCs/>
          <w:lang w:val="ru-RU"/>
        </w:rPr>
        <w:t xml:space="preserve">) </w:t>
      </w:r>
      <w:r w:rsidRPr="00143ECD">
        <w:rPr>
          <w:bCs/>
        </w:rPr>
        <w:t xml:space="preserve">са в размер на </w:t>
      </w:r>
      <w:r>
        <w:rPr>
          <w:bCs/>
        </w:rPr>
        <w:t>9,5</w:t>
      </w:r>
      <w:r w:rsidRPr="00F57000">
        <w:rPr>
          <w:bCs/>
        </w:rPr>
        <w:t xml:space="preserve"> млн. лв. </w:t>
      </w:r>
      <w:r w:rsidRPr="00F57000">
        <w:rPr>
          <w:bCs/>
        </w:rPr>
        <w:lastRenderedPageBreak/>
        <w:t xml:space="preserve">Към месец декември 2025 г. ДФ „Земеделие“ e изплатил субсидии в общ размер на </w:t>
      </w:r>
      <w:r w:rsidRPr="00B10103">
        <w:rPr>
          <w:bCs/>
        </w:rPr>
        <w:t>364,6 млн. лв., от които 238,1 млн. лв. държавна помощ; 70,7 млн. лв. преходна национална помощ за тютюн, 44,9 млн. лв. преходна национална помощ за животни и 9,1</w:t>
      </w:r>
      <w:r>
        <w:rPr>
          <w:bCs/>
        </w:rPr>
        <w:t> </w:t>
      </w:r>
      <w:r w:rsidRPr="00B10103">
        <w:rPr>
          <w:bCs/>
        </w:rPr>
        <w:t xml:space="preserve">млн. лв. средства за ДДС по схеми „Училищен плод“ и „Училищно мляко“. </w:t>
      </w:r>
    </w:p>
    <w:p w:rsidR="00C35EB3" w:rsidRPr="00187B3A" w:rsidRDefault="00C35EB3" w:rsidP="00C35EB3">
      <w:pPr>
        <w:spacing w:before="120" w:after="120"/>
        <w:jc w:val="both"/>
        <w:rPr>
          <w:bCs/>
        </w:rPr>
      </w:pPr>
      <w:r w:rsidRPr="00187B3A">
        <w:rPr>
          <w:bCs/>
        </w:rPr>
        <w:t>Капиталовите разходи (вкл. нетния прираст на държавния резерв) по държавния бюджет възлизат на 3 647,8 млн. лева.</w:t>
      </w:r>
    </w:p>
    <w:p w:rsidR="00C35EB3" w:rsidRPr="00870B1F" w:rsidRDefault="00C35EB3" w:rsidP="00C35EB3">
      <w:pPr>
        <w:numPr>
          <w:ilvl w:val="0"/>
          <w:numId w:val="6"/>
        </w:numPr>
        <w:spacing w:after="120"/>
        <w:ind w:left="0" w:firstLine="360"/>
        <w:jc w:val="both"/>
        <w:rPr>
          <w:b/>
        </w:rPr>
      </w:pPr>
      <w:r w:rsidRPr="00870B1F">
        <w:rPr>
          <w:b/>
        </w:rPr>
        <w:t xml:space="preserve">Разходи за лихви </w:t>
      </w:r>
    </w:p>
    <w:p w:rsidR="00C35EB3" w:rsidRPr="00230EFC" w:rsidRDefault="00C35EB3" w:rsidP="00C35EB3">
      <w:pPr>
        <w:spacing w:after="60"/>
        <w:jc w:val="both"/>
        <w:rPr>
          <w:color w:val="0070C0"/>
        </w:rPr>
      </w:pPr>
      <w:r w:rsidRPr="00870B1F">
        <w:rPr>
          <w:b/>
        </w:rPr>
        <w:t xml:space="preserve">Лихвените плащания </w:t>
      </w:r>
      <w:r w:rsidRPr="00870B1F">
        <w:t xml:space="preserve">по държавния бюджет към 31.12.2025 г. са в общ размер на </w:t>
      </w:r>
      <w:r w:rsidRPr="00870B1F">
        <w:rPr>
          <w:b/>
          <w:lang w:val="ru-RU"/>
        </w:rPr>
        <w:t>1 386</w:t>
      </w:r>
      <w:r w:rsidRPr="00F3573F">
        <w:rPr>
          <w:b/>
          <w:lang w:val="ru-RU"/>
        </w:rPr>
        <w:t>,5</w:t>
      </w:r>
      <w:r w:rsidRPr="00F3573F">
        <w:rPr>
          <w:b/>
        </w:rPr>
        <w:t> млн. лв</w:t>
      </w:r>
      <w:r w:rsidRPr="00F3573F">
        <w:t>. или 88,5 % от предвидените в годишните разчети.</w:t>
      </w:r>
    </w:p>
    <w:p w:rsidR="00C35EB3" w:rsidRPr="00230EFC" w:rsidRDefault="00C35EB3" w:rsidP="00C35EB3">
      <w:pPr>
        <w:spacing w:after="120"/>
        <w:jc w:val="both"/>
        <w:rPr>
          <w:color w:val="0070C0"/>
        </w:rPr>
      </w:pPr>
      <w:r w:rsidRPr="00D54085">
        <w:t xml:space="preserve">Разходите за </w:t>
      </w:r>
      <w:r w:rsidRPr="00D54085">
        <w:rPr>
          <w:b/>
        </w:rPr>
        <w:t>лихви по външни заеми</w:t>
      </w:r>
      <w:r w:rsidRPr="00D54085">
        <w:t xml:space="preserve"> са в размер на </w:t>
      </w:r>
      <w:r w:rsidRPr="00D54085">
        <w:rPr>
          <w:lang w:val="ru-RU"/>
        </w:rPr>
        <w:t xml:space="preserve">1 178,4 </w:t>
      </w:r>
      <w:r w:rsidRPr="00D54085">
        <w:t>млн. лв., в т. ч. 1 165,2 млн. лв. по централния бюджет. По ДИЗ, управлявани от министерства и ведомства са изплатени 13,3 млн. лв. (от тях 0,7 млн. лв. са лихвите по заемите с краен бенефициент - търговско дружество).</w:t>
      </w:r>
    </w:p>
    <w:p w:rsidR="00C35EB3" w:rsidRPr="00D424BA" w:rsidRDefault="00C35EB3" w:rsidP="00C35EB3">
      <w:pPr>
        <w:spacing w:after="120"/>
        <w:jc w:val="both"/>
        <w:rPr>
          <w:b/>
        </w:rPr>
      </w:pPr>
      <w:r w:rsidRPr="00D424BA">
        <w:t>През отчетния период не са използвани средства за покриване на риска от активиране на държавни гаранции.</w:t>
      </w:r>
      <w:r w:rsidRPr="00D424BA">
        <w:rPr>
          <w:b/>
        </w:rPr>
        <w:t xml:space="preserve"> </w:t>
      </w:r>
    </w:p>
    <w:p w:rsidR="00C35EB3" w:rsidRPr="0031630C" w:rsidRDefault="00C35EB3" w:rsidP="00C35EB3">
      <w:pPr>
        <w:spacing w:after="60"/>
        <w:jc w:val="both"/>
      </w:pPr>
      <w:r w:rsidRPr="008D4E76">
        <w:rPr>
          <w:b/>
        </w:rPr>
        <w:t>Лихвите по вътрешни заеми</w:t>
      </w:r>
      <w:r w:rsidRPr="008D4E76">
        <w:t xml:space="preserve"> по държавния бюджет </w:t>
      </w:r>
      <w:r w:rsidRPr="008D4E76">
        <w:rPr>
          <w:bCs/>
        </w:rPr>
        <w:t>към декември 2025 г.</w:t>
      </w:r>
      <w:r w:rsidRPr="008D4E76">
        <w:t xml:space="preserve"> са в размер на </w:t>
      </w:r>
      <w:r w:rsidRPr="008D4E76">
        <w:rPr>
          <w:b/>
        </w:rPr>
        <w:t>208,1 млн. лв.</w:t>
      </w:r>
      <w:r w:rsidRPr="008D4E76">
        <w:t xml:space="preserve"> </w:t>
      </w:r>
      <w:r w:rsidRPr="006142A3">
        <w:t xml:space="preserve">Платените лихви по ДЦК са в размер на 151,1 млн. лв., 65,8 млн. лв. са платените </w:t>
      </w:r>
      <w:r w:rsidRPr="0031630C">
        <w:t xml:space="preserve">отстъпки, а реализираните при </w:t>
      </w:r>
      <w:proofErr w:type="spellStart"/>
      <w:r w:rsidRPr="0031630C">
        <w:t>аукционите</w:t>
      </w:r>
      <w:proofErr w:type="spellEnd"/>
      <w:r w:rsidRPr="0031630C">
        <w:t xml:space="preserve"> премии над номинала от емисии на ДЦК (отчетени в намаление на разходите за лихви по вътрешния дълг) възлизат на (-8,8) млн. лв. Изплатените лихви, отстъпки и реализираните премии над номинала през декември възлизат общо на 6,8 млн. лева.</w:t>
      </w:r>
    </w:p>
    <w:p w:rsidR="00C35EB3" w:rsidRPr="0031630C" w:rsidRDefault="00C35EB3" w:rsidP="00C35EB3">
      <w:pPr>
        <w:pStyle w:val="ListParagraph"/>
        <w:numPr>
          <w:ilvl w:val="0"/>
          <w:numId w:val="22"/>
        </w:numPr>
        <w:tabs>
          <w:tab w:val="left" w:pos="426"/>
        </w:tabs>
        <w:spacing w:before="120" w:after="60" w:line="240" w:lineRule="auto"/>
        <w:ind w:left="0" w:firstLine="0"/>
        <w:contextualSpacing w:val="0"/>
        <w:rPr>
          <w:rFonts w:ascii="Times New Roman" w:hAnsi="Times New Roman"/>
          <w:b/>
          <w:bCs/>
        </w:rPr>
      </w:pPr>
      <w:r w:rsidRPr="0031630C">
        <w:rPr>
          <w:rFonts w:ascii="Times New Roman" w:hAnsi="Times New Roman"/>
          <w:b/>
          <w:bCs/>
        </w:rPr>
        <w:t>Нетният размер на трансферите по държавния бюджет</w:t>
      </w:r>
      <w:r w:rsidRPr="0031630C">
        <w:rPr>
          <w:rFonts w:ascii="Times New Roman" w:hAnsi="Times New Roman"/>
          <w:bCs/>
        </w:rPr>
        <w:t xml:space="preserve">  към декември 2025 г. е</w:t>
      </w:r>
      <w:r w:rsidRPr="0031630C">
        <w:rPr>
          <w:rFonts w:ascii="Times New Roman" w:hAnsi="Times New Roman"/>
          <w:b/>
          <w:bCs/>
        </w:rPr>
        <w:t xml:space="preserve"> 30 197,5</w:t>
      </w:r>
      <w:r w:rsidRPr="0031630C">
        <w:rPr>
          <w:rFonts w:ascii="Times New Roman" w:eastAsia="Calibri" w:hAnsi="Times New Roman"/>
          <w:b/>
        </w:rPr>
        <w:t> </w:t>
      </w:r>
      <w:r w:rsidRPr="0031630C">
        <w:rPr>
          <w:rFonts w:ascii="Times New Roman" w:hAnsi="Times New Roman"/>
          <w:b/>
          <w:bCs/>
        </w:rPr>
        <w:t xml:space="preserve">млн. лв.,  </w:t>
      </w:r>
      <w:r w:rsidRPr="0031630C">
        <w:rPr>
          <w:rFonts w:ascii="Times New Roman" w:hAnsi="Times New Roman"/>
          <w:bCs/>
        </w:rPr>
        <w:t>в т.ч.:</w:t>
      </w:r>
      <w:r w:rsidRPr="0031630C">
        <w:rPr>
          <w:rFonts w:ascii="Times New Roman" w:hAnsi="Times New Roman"/>
          <w:b/>
          <w:bCs/>
        </w:rPr>
        <w:t xml:space="preserve"> </w:t>
      </w:r>
    </w:p>
    <w:p w:rsidR="00C35EB3" w:rsidRPr="00384190" w:rsidRDefault="00C35EB3" w:rsidP="00C35EB3">
      <w:pPr>
        <w:numPr>
          <w:ilvl w:val="0"/>
          <w:numId w:val="15"/>
        </w:numPr>
        <w:tabs>
          <w:tab w:val="clear" w:pos="700"/>
          <w:tab w:val="left" w:pos="180"/>
          <w:tab w:val="num" w:pos="540"/>
          <w:tab w:val="num" w:pos="1495"/>
          <w:tab w:val="num" w:pos="9858"/>
        </w:tabs>
        <w:ind w:left="538" w:hanging="357"/>
        <w:jc w:val="both"/>
      </w:pPr>
      <w:r w:rsidRPr="0031630C">
        <w:t xml:space="preserve">бюджетните  взаимоотношения  с  общините  включват  нето трансфери  и временни безлихвени заеми в  размер  на </w:t>
      </w:r>
      <w:r w:rsidRPr="0031630C">
        <w:rPr>
          <w:lang w:val="en-US"/>
        </w:rPr>
        <w:t>12 391</w:t>
      </w:r>
      <w:r w:rsidRPr="0031630C">
        <w:t>,</w:t>
      </w:r>
      <w:r w:rsidRPr="0031630C">
        <w:rPr>
          <w:lang w:val="en-US"/>
        </w:rPr>
        <w:t>9</w:t>
      </w:r>
      <w:r w:rsidRPr="0031630C">
        <w:t xml:space="preserve"> млн. лв.,</w:t>
      </w:r>
      <w:r w:rsidRPr="0031630C">
        <w:rPr>
          <w:lang w:val="ru-RU"/>
        </w:rPr>
        <w:t xml:space="preserve"> </w:t>
      </w:r>
      <w:r w:rsidRPr="0031630C">
        <w:t>от които субсидии от централния бюджет</w:t>
      </w:r>
      <w:r w:rsidRPr="00384190">
        <w:t xml:space="preserve"> в размер на 9 119,9 млн. лв., други целеви трансфери от централния бюджет в размер на 1 044,6 млн. лв., нетни трансфери от/за други бюджети в размер на 2 283,1 млн. лв. и възстановени трансфери от предходни години в централния бюджет – 55,7 млн. лева;</w:t>
      </w:r>
    </w:p>
    <w:p w:rsidR="00C35EB3" w:rsidRPr="00384190" w:rsidRDefault="00C35EB3" w:rsidP="00C35EB3">
      <w:pPr>
        <w:numPr>
          <w:ilvl w:val="0"/>
          <w:numId w:val="15"/>
        </w:numPr>
        <w:tabs>
          <w:tab w:val="clear" w:pos="700"/>
          <w:tab w:val="left" w:pos="180"/>
          <w:tab w:val="num" w:pos="540"/>
          <w:tab w:val="num" w:pos="1495"/>
          <w:tab w:val="num" w:pos="9858"/>
        </w:tabs>
        <w:ind w:left="538" w:hanging="357"/>
        <w:jc w:val="both"/>
      </w:pPr>
      <w:r w:rsidRPr="00384190">
        <w:t xml:space="preserve">на </w:t>
      </w:r>
      <w:proofErr w:type="spellStart"/>
      <w:r w:rsidRPr="00384190">
        <w:t>социалноосигурителните</w:t>
      </w:r>
      <w:proofErr w:type="spellEnd"/>
      <w:r w:rsidRPr="00384190">
        <w:t xml:space="preserve"> фондове (нето) – </w:t>
      </w:r>
      <w:r w:rsidRPr="00384190">
        <w:rPr>
          <w:lang w:val="en-US"/>
        </w:rPr>
        <w:t>15 689</w:t>
      </w:r>
      <w:r w:rsidRPr="00384190">
        <w:t>,</w:t>
      </w:r>
      <w:r w:rsidRPr="00384190">
        <w:rPr>
          <w:lang w:val="en-US"/>
        </w:rPr>
        <w:t>6</w:t>
      </w:r>
      <w:r w:rsidRPr="00384190">
        <w:t xml:space="preserve"> млн. лв.;</w:t>
      </w:r>
    </w:p>
    <w:p w:rsidR="00C35EB3" w:rsidRPr="00DA07E1" w:rsidRDefault="00C35EB3" w:rsidP="00C35EB3">
      <w:pPr>
        <w:numPr>
          <w:ilvl w:val="0"/>
          <w:numId w:val="15"/>
        </w:numPr>
        <w:tabs>
          <w:tab w:val="clear" w:pos="700"/>
          <w:tab w:val="left" w:pos="180"/>
          <w:tab w:val="num" w:pos="540"/>
          <w:tab w:val="num" w:pos="1495"/>
          <w:tab w:val="num" w:pos="9858"/>
        </w:tabs>
        <w:ind w:left="538" w:hanging="357"/>
        <w:jc w:val="both"/>
      </w:pPr>
      <w:r w:rsidRPr="00DA07E1">
        <w:t xml:space="preserve">на други автономни бюджети (ДВУ, БАН, ССА, БНТ, БНР и БТА) – </w:t>
      </w:r>
      <w:r w:rsidRPr="00DA07E1">
        <w:rPr>
          <w:lang w:val="ru-RU"/>
        </w:rPr>
        <w:t>1 304,7</w:t>
      </w:r>
      <w:r w:rsidRPr="00DA07E1">
        <w:t xml:space="preserve"> млн. лв.; </w:t>
      </w:r>
    </w:p>
    <w:p w:rsidR="00C35EB3" w:rsidRPr="00E4758E" w:rsidRDefault="00C35EB3" w:rsidP="00C35EB3">
      <w:pPr>
        <w:numPr>
          <w:ilvl w:val="0"/>
          <w:numId w:val="5"/>
        </w:numPr>
        <w:tabs>
          <w:tab w:val="clear" w:pos="7650"/>
          <w:tab w:val="left" w:pos="426"/>
        </w:tabs>
        <w:spacing w:before="120"/>
        <w:ind w:left="0" w:firstLine="0"/>
        <w:jc w:val="both"/>
        <w:rPr>
          <w:bCs/>
        </w:rPr>
      </w:pPr>
      <w:r w:rsidRPr="0057563A">
        <w:rPr>
          <w:b/>
        </w:rPr>
        <w:t>В</w:t>
      </w:r>
      <w:r w:rsidRPr="00E4758E">
        <w:rPr>
          <w:b/>
        </w:rPr>
        <w:t xml:space="preserve">носката на Република България в общия бюджет на ЕС, </w:t>
      </w:r>
      <w:r w:rsidRPr="00E4758E">
        <w:t>изплатена към 31.12.2025 г. от централния бюджет, възлиза на</w:t>
      </w:r>
      <w:r w:rsidRPr="00E4758E">
        <w:rPr>
          <w:b/>
        </w:rPr>
        <w:t xml:space="preserve"> 2 036</w:t>
      </w:r>
      <w:r w:rsidRPr="00E4758E">
        <w:rPr>
          <w:b/>
          <w:lang w:val="ru-RU"/>
        </w:rPr>
        <w:t>,0</w:t>
      </w:r>
      <w:r w:rsidRPr="00E4758E">
        <w:rPr>
          <w:b/>
        </w:rPr>
        <w:t xml:space="preserve"> млн. лева.</w:t>
      </w:r>
      <w:r w:rsidRPr="00E4758E">
        <w:t xml:space="preserve"> </w:t>
      </w:r>
    </w:p>
    <w:p w:rsidR="00C35EB3" w:rsidRPr="002F6EA0" w:rsidRDefault="00C35EB3" w:rsidP="00C35EB3">
      <w:pPr>
        <w:numPr>
          <w:ilvl w:val="0"/>
          <w:numId w:val="5"/>
        </w:numPr>
        <w:tabs>
          <w:tab w:val="clear" w:pos="7650"/>
          <w:tab w:val="num" w:pos="426"/>
        </w:tabs>
        <w:spacing w:before="240" w:after="240"/>
        <w:ind w:left="0" w:firstLine="0"/>
        <w:jc w:val="both"/>
        <w:rPr>
          <w:sz w:val="16"/>
          <w:szCs w:val="16"/>
        </w:rPr>
      </w:pPr>
      <w:r w:rsidRPr="002F6EA0">
        <w:rPr>
          <w:b/>
        </w:rPr>
        <w:t>Бюджетното салдо по държавния бюджет</w:t>
      </w:r>
      <w:r w:rsidRPr="002F6EA0">
        <w:t xml:space="preserve"> към 31.12.2025 г. </w:t>
      </w:r>
      <w:r w:rsidRPr="002F6EA0">
        <w:rPr>
          <w:b/>
        </w:rPr>
        <w:t>е отрицателно</w:t>
      </w:r>
      <w:r w:rsidRPr="002F6EA0">
        <w:t xml:space="preserve"> в размер на </w:t>
      </w:r>
      <w:r w:rsidRPr="002F6EA0">
        <w:rPr>
          <w:b/>
        </w:rPr>
        <w:t>6 088,6 млн. лева</w:t>
      </w:r>
      <w:r w:rsidRPr="002F6EA0">
        <w:t xml:space="preserve">. </w:t>
      </w:r>
    </w:p>
    <w:p w:rsidR="00C35EB3" w:rsidRPr="00572AD8" w:rsidRDefault="00C35EB3" w:rsidP="00C35EB3">
      <w:pPr>
        <w:numPr>
          <w:ilvl w:val="0"/>
          <w:numId w:val="5"/>
        </w:numPr>
        <w:tabs>
          <w:tab w:val="clear" w:pos="7650"/>
          <w:tab w:val="num" w:pos="426"/>
        </w:tabs>
        <w:spacing w:before="120" w:after="120"/>
        <w:ind w:left="0" w:firstLine="0"/>
        <w:jc w:val="both"/>
        <w:rPr>
          <w:b/>
        </w:rPr>
      </w:pPr>
      <w:r w:rsidRPr="00572AD8">
        <w:rPr>
          <w:b/>
        </w:rPr>
        <w:t>Финансиране на бюджета чрез операции по дълга</w:t>
      </w:r>
    </w:p>
    <w:p w:rsidR="00C35EB3" w:rsidRPr="000E535A" w:rsidRDefault="00C35EB3" w:rsidP="00C35EB3">
      <w:pPr>
        <w:tabs>
          <w:tab w:val="left" w:pos="567"/>
        </w:tabs>
        <w:jc w:val="both"/>
      </w:pPr>
      <w:r w:rsidRPr="000E535A">
        <w:t>Към 31.12.2025 г. е реализирано положително нетно дългово финансиране на държавния бюджет в размер на 14 184,2 млн. лв., като общият размер на постъпленията от емисии на ДЦК на вътрешния пазар и на МКП и от усвояванията на средства по държавни заеми от ЕИБ и БРСЕ възлиза на 17 767,2 млн. лв., а извършените погашения по държавния дълг са в размер на 3 583,0 млн. л</w:t>
      </w:r>
      <w:r>
        <w:t>е</w:t>
      </w:r>
      <w:r w:rsidRPr="000E535A">
        <w:t>в</w:t>
      </w:r>
      <w:r>
        <w:t>а</w:t>
      </w:r>
      <w:r w:rsidRPr="000E535A">
        <w:t>.</w:t>
      </w:r>
    </w:p>
    <w:p w:rsidR="00C35EB3" w:rsidRPr="006B4F3D" w:rsidRDefault="00C35EB3" w:rsidP="00C35EB3">
      <w:pPr>
        <w:tabs>
          <w:tab w:val="left" w:pos="567"/>
        </w:tabs>
        <w:spacing w:before="120"/>
        <w:jc w:val="both"/>
        <w:rPr>
          <w:rFonts w:eastAsia="Calibri"/>
        </w:rPr>
      </w:pPr>
      <w:r w:rsidRPr="006B4F3D">
        <w:rPr>
          <w:rFonts w:eastAsia="Calibri"/>
        </w:rPr>
        <w:t xml:space="preserve">В края на декември е отчетено отрицателно нетно </w:t>
      </w:r>
      <w:r w:rsidRPr="006B4F3D">
        <w:rPr>
          <w:b/>
          <w:i/>
        </w:rPr>
        <w:t>вътрешно финансиране на държавния бюджет с ДЦК</w:t>
      </w:r>
      <w:r w:rsidRPr="006B4F3D">
        <w:rPr>
          <w:rFonts w:eastAsia="Calibri"/>
        </w:rPr>
        <w:t xml:space="preserve"> в размер на (- 39,1) млн. лв. Общият размер </w:t>
      </w:r>
      <w:r w:rsidRPr="006B4F3D">
        <w:rPr>
          <w:rFonts w:eastAsia="Calibri"/>
          <w:b/>
          <w:i/>
        </w:rPr>
        <w:t>на постъпленията</w:t>
      </w:r>
      <w:r w:rsidRPr="006B4F3D">
        <w:rPr>
          <w:rFonts w:eastAsia="Calibri"/>
        </w:rPr>
        <w:t xml:space="preserve"> от емисии на ДЦК на вътрешния пазар възлиза на 3 287,9 млн. лв. или са емитирани ДЦК на обща номинална стойност 3 300 млн. лв., разпределени в две нови емисии от месец януари, като същите са </w:t>
      </w:r>
      <w:proofErr w:type="spellStart"/>
      <w:r w:rsidRPr="006B4F3D">
        <w:rPr>
          <w:rFonts w:eastAsia="Calibri"/>
        </w:rPr>
        <w:t>преотворени</w:t>
      </w:r>
      <w:proofErr w:type="spellEnd"/>
      <w:r w:rsidRPr="006B4F3D">
        <w:rPr>
          <w:rFonts w:eastAsia="Calibri"/>
        </w:rPr>
        <w:t xml:space="preserve"> във февруари, март, април, юни, август, септември, октомври и ноември, както следва:</w:t>
      </w:r>
    </w:p>
    <w:p w:rsidR="00C35EB3" w:rsidRPr="00000AC9" w:rsidRDefault="00C35EB3" w:rsidP="00C35EB3">
      <w:pPr>
        <w:numPr>
          <w:ilvl w:val="0"/>
          <w:numId w:val="24"/>
        </w:numPr>
        <w:tabs>
          <w:tab w:val="left" w:pos="1134"/>
        </w:tabs>
        <w:spacing w:line="259" w:lineRule="auto"/>
        <w:ind w:left="0" w:firstLine="851"/>
        <w:jc w:val="both"/>
        <w:rPr>
          <w:rFonts w:eastAsia="Calibri"/>
        </w:rPr>
      </w:pPr>
      <w:r w:rsidRPr="00000AC9">
        <w:rPr>
          <w:b/>
          <w:i/>
        </w:rPr>
        <w:t>3-годишни ДЦК</w:t>
      </w:r>
      <w:r w:rsidRPr="00000AC9">
        <w:t xml:space="preserve"> </w:t>
      </w:r>
      <w:r w:rsidRPr="00000AC9">
        <w:rPr>
          <w:rFonts w:eastAsia="Calibri"/>
        </w:rPr>
        <w:t>(емисията е пусната в обращение на 22.01.2025 г., деноминирана е в лева, с падеж 22.01.2028 г. и годишен лихвен купон от 2</w:t>
      </w:r>
      <w:r>
        <w:rPr>
          <w:rFonts w:eastAsia="Calibri"/>
        </w:rPr>
        <w:t>,</w:t>
      </w:r>
      <w:r w:rsidRPr="00000AC9">
        <w:rPr>
          <w:rFonts w:eastAsia="Calibri"/>
        </w:rPr>
        <w:t>75</w:t>
      </w:r>
      <w:r>
        <w:rPr>
          <w:rFonts w:eastAsia="Calibri"/>
        </w:rPr>
        <w:t xml:space="preserve"> </w:t>
      </w:r>
      <w:r w:rsidRPr="00000AC9">
        <w:rPr>
          <w:rFonts w:eastAsia="Calibri"/>
        </w:rPr>
        <w:t xml:space="preserve">%) с общ пласиран обем от 1,6 млрд. </w:t>
      </w:r>
      <w:r w:rsidRPr="00000AC9">
        <w:rPr>
          <w:rFonts w:eastAsia="Calibri"/>
        </w:rPr>
        <w:lastRenderedPageBreak/>
        <w:t>лв., в т.ч. през януари 300 млн. лв., през февруари 100 млн. лв., през март 100 млн. лв., през април 500 млн. лв., през август 300 млн. лв. и през октомври 300 млн. лв.</w:t>
      </w:r>
    </w:p>
    <w:p w:rsidR="00C35EB3" w:rsidRPr="00000AC9" w:rsidRDefault="00C35EB3" w:rsidP="00C35EB3">
      <w:pPr>
        <w:numPr>
          <w:ilvl w:val="0"/>
          <w:numId w:val="24"/>
        </w:numPr>
        <w:tabs>
          <w:tab w:val="left" w:pos="1134"/>
        </w:tabs>
        <w:spacing w:line="259" w:lineRule="auto"/>
        <w:ind w:left="0" w:firstLine="851"/>
        <w:jc w:val="both"/>
        <w:rPr>
          <w:rFonts w:eastAsia="Calibri"/>
          <w:color w:val="FF0000"/>
        </w:rPr>
      </w:pPr>
      <w:r w:rsidRPr="00000AC9">
        <w:rPr>
          <w:rFonts w:eastAsia="Calibri"/>
          <w:b/>
          <w:i/>
        </w:rPr>
        <w:t>7-годишни ДЦК</w:t>
      </w:r>
      <w:r w:rsidRPr="00000AC9">
        <w:rPr>
          <w:rFonts w:eastAsia="Calibri"/>
        </w:rPr>
        <w:t xml:space="preserve"> (емисията е пусната</w:t>
      </w:r>
      <w:r w:rsidRPr="00000AC9">
        <w:rPr>
          <w:rFonts w:ascii="Calibri" w:eastAsia="Calibri" w:hAnsi="Calibri"/>
        </w:rPr>
        <w:t xml:space="preserve"> </w:t>
      </w:r>
      <w:r w:rsidRPr="00000AC9">
        <w:rPr>
          <w:rFonts w:eastAsia="Calibri"/>
        </w:rPr>
        <w:t>в обращение на 29.01.2025 г., деноминирана в лева, с падеж 29.01.2032 г.</w:t>
      </w:r>
      <w:r w:rsidRPr="00000AC9">
        <w:t xml:space="preserve"> и годишен лихвен купон от 3</w:t>
      </w:r>
      <w:r>
        <w:t>,</w:t>
      </w:r>
      <w:r w:rsidRPr="00000AC9">
        <w:t>25</w:t>
      </w:r>
      <w:r>
        <w:t xml:space="preserve"> </w:t>
      </w:r>
      <w:r w:rsidRPr="00000AC9">
        <w:t>%</w:t>
      </w:r>
      <w:r w:rsidRPr="00000AC9">
        <w:rPr>
          <w:rFonts w:eastAsia="Calibri"/>
        </w:rPr>
        <w:t>) с общ пласиран обем от 1,7 млрд. лв., в т.</w:t>
      </w:r>
      <w:r>
        <w:rPr>
          <w:rFonts w:eastAsia="Calibri"/>
        </w:rPr>
        <w:t xml:space="preserve"> </w:t>
      </w:r>
      <w:r w:rsidRPr="00000AC9">
        <w:rPr>
          <w:rFonts w:eastAsia="Calibri"/>
        </w:rPr>
        <w:t>ч. през януари 300 млн. лв., през февруари 100 млн. лв., през март 100 млн. лв., през април 300 млн. лв., през юни 300 млн. лв., през септември 300 млн. лв. и през ноември 300 млн. лв.</w:t>
      </w:r>
    </w:p>
    <w:p w:rsidR="00C35EB3" w:rsidRPr="00000AC9" w:rsidRDefault="00C35EB3" w:rsidP="00C35EB3">
      <w:pPr>
        <w:tabs>
          <w:tab w:val="left" w:pos="0"/>
          <w:tab w:val="left" w:pos="1134"/>
        </w:tabs>
        <w:spacing w:after="120"/>
        <w:jc w:val="both"/>
      </w:pPr>
      <w:r w:rsidRPr="00000AC9">
        <w:t xml:space="preserve">Отчетените </w:t>
      </w:r>
      <w:r w:rsidRPr="00000AC9">
        <w:rPr>
          <w:b/>
          <w:i/>
        </w:rPr>
        <w:t>погашения</w:t>
      </w:r>
      <w:r w:rsidRPr="00000AC9">
        <w:t xml:space="preserve"> по ДЦК</w:t>
      </w:r>
      <w:r w:rsidRPr="00000AC9">
        <w:rPr>
          <w:rFonts w:eastAsia="Calibri"/>
        </w:rPr>
        <w:t xml:space="preserve"> </w:t>
      </w:r>
      <w:r w:rsidRPr="00000AC9">
        <w:t>в края на декември 2025 г. са в размер на 3 327,1 млн. лв. като през месец януари Министерството на финансите погаси емисия 5-годишни ДЦК от 2020 г. в обем от 600,0 млн. лв. номинална стойност, през месец март емисия 8-годишни ДЦК от 2017 г. в обем от 250 млн. лв., през април емисия 10-годишни ДЦК от 2015 г. в обем от 235 млн. лв., през май емисия 5-годишни ДЦК от 2021 г. в обем от 1 800 млн. лв., през юли емисия 10-годишни ДЦК от 2015 г. в обем от 50 млн. лв. и през септември емисия 15-годишни ДЦК от 2010 г., деноминирани в евро, в обем от  234,1 млн. евро (431 млн. лв.).</w:t>
      </w:r>
    </w:p>
    <w:p w:rsidR="00C35EB3" w:rsidRPr="00DA2712" w:rsidRDefault="00C35EB3" w:rsidP="00C35EB3">
      <w:pPr>
        <w:spacing w:before="120" w:after="240"/>
        <w:jc w:val="both"/>
      </w:pPr>
      <w:r w:rsidRPr="00DA2712">
        <w:t xml:space="preserve">Към 31.12.2025 г. е отчетено положително нетно </w:t>
      </w:r>
      <w:r w:rsidRPr="00DA2712">
        <w:rPr>
          <w:b/>
          <w:i/>
        </w:rPr>
        <w:t>външно финансиране</w:t>
      </w:r>
      <w:r w:rsidRPr="00DA2712">
        <w:t xml:space="preserve"> в размер на 14 223,3</w:t>
      </w:r>
      <w:r>
        <w:t> </w:t>
      </w:r>
      <w:r w:rsidRPr="00DA2712">
        <w:t xml:space="preserve">млн. лв. </w:t>
      </w:r>
      <w:r w:rsidRPr="00DA2712">
        <w:rPr>
          <w:b/>
          <w:i/>
        </w:rPr>
        <w:t>по държавния бюджет</w:t>
      </w:r>
      <w:r w:rsidRPr="00DA2712">
        <w:t>, което се дължи на постъпленията в общ размер на 14</w:t>
      </w:r>
      <w:r>
        <w:t> </w:t>
      </w:r>
      <w:r w:rsidRPr="00DA2712">
        <w:t>479,2</w:t>
      </w:r>
      <w:r>
        <w:t> </w:t>
      </w:r>
      <w:r w:rsidRPr="00DA2712">
        <w:t>млн. лв. от емитираните през май и юли на МКП четири транша облигации, деноминирани в евро и от усвоените средства по държавни заеми от ЕИБ и БРСЕ и извършените погашения към външни кредитори от държавния бюджет общо в размер на 255,9 млн. лв.</w:t>
      </w:r>
    </w:p>
    <w:p w:rsidR="00C35EB3" w:rsidRPr="00264587" w:rsidRDefault="00C35EB3" w:rsidP="00C35EB3">
      <w:pPr>
        <w:spacing w:after="120"/>
        <w:ind w:firstLine="851"/>
        <w:jc w:val="both"/>
      </w:pPr>
      <w:r w:rsidRPr="00264587">
        <w:rPr>
          <w:b/>
          <w:i/>
        </w:rPr>
        <w:t>Постъпленията по централния бюджет</w:t>
      </w:r>
      <w:r w:rsidRPr="00264587">
        <w:rPr>
          <w:i/>
        </w:rPr>
        <w:t xml:space="preserve"> </w:t>
      </w:r>
      <w:r w:rsidRPr="00EC32CF">
        <w:t>възлизат</w:t>
      </w:r>
      <w:r w:rsidRPr="00264587">
        <w:rPr>
          <w:i/>
        </w:rPr>
        <w:t xml:space="preserve"> </w:t>
      </w:r>
      <w:r w:rsidRPr="00960091">
        <w:t>на</w:t>
      </w:r>
      <w:r w:rsidRPr="00264587">
        <w:rPr>
          <w:i/>
        </w:rPr>
        <w:t xml:space="preserve"> </w:t>
      </w:r>
      <w:r w:rsidRPr="00264587">
        <w:rPr>
          <w:b/>
        </w:rPr>
        <w:t xml:space="preserve">14 </w:t>
      </w:r>
      <w:r>
        <w:rPr>
          <w:b/>
        </w:rPr>
        <w:t>479</w:t>
      </w:r>
      <w:r w:rsidRPr="00264587">
        <w:rPr>
          <w:b/>
        </w:rPr>
        <w:t>,</w:t>
      </w:r>
      <w:r>
        <w:rPr>
          <w:b/>
        </w:rPr>
        <w:t>2</w:t>
      </w:r>
      <w:r w:rsidRPr="00264587">
        <w:rPr>
          <w:b/>
        </w:rPr>
        <w:t xml:space="preserve"> млн. лв</w:t>
      </w:r>
      <w:r w:rsidRPr="00264587">
        <w:t>., в т.</w:t>
      </w:r>
      <w:r>
        <w:t xml:space="preserve"> </w:t>
      </w:r>
      <w:r w:rsidRPr="00264587">
        <w:t>ч. от:</w:t>
      </w:r>
    </w:p>
    <w:p w:rsidR="00C35EB3" w:rsidRPr="00264587" w:rsidRDefault="00C35EB3" w:rsidP="00C35EB3">
      <w:pPr>
        <w:numPr>
          <w:ilvl w:val="0"/>
          <w:numId w:val="27"/>
        </w:numPr>
        <w:tabs>
          <w:tab w:val="left" w:pos="1134"/>
        </w:tabs>
        <w:ind w:left="0" w:firstLine="851"/>
        <w:jc w:val="both"/>
      </w:pPr>
      <w:r w:rsidRPr="00264587">
        <w:t xml:space="preserve">емисии на облигации, деноминирани в евро, на МКП на 7.05.2025 г. в размер на </w:t>
      </w:r>
      <w:r w:rsidRPr="00264587">
        <w:rPr>
          <w:b/>
        </w:rPr>
        <w:t>7 693,9 млн. лв.</w:t>
      </w:r>
      <w:r w:rsidRPr="00264587">
        <w:t xml:space="preserve"> </w:t>
      </w:r>
      <w:r w:rsidRPr="00264587">
        <w:rPr>
          <w:b/>
        </w:rPr>
        <w:t xml:space="preserve"> </w:t>
      </w:r>
      <w:r w:rsidRPr="00264587">
        <w:t xml:space="preserve">като са емитирани облигации в общ размер на 4 000,0 млн. евро номинална стойност, разпределени в два транша: първият транш е със </w:t>
      </w:r>
      <w:proofErr w:type="spellStart"/>
      <w:r w:rsidRPr="00264587">
        <w:t>срочност</w:t>
      </w:r>
      <w:proofErr w:type="spellEnd"/>
      <w:r w:rsidRPr="00264587">
        <w:t xml:space="preserve"> 9 г., обем от 2 250 млн. евро и лихвен купон от 3,5 %, като вторият транш е със </w:t>
      </w:r>
      <w:proofErr w:type="spellStart"/>
      <w:r w:rsidRPr="00264587">
        <w:t>срочност</w:t>
      </w:r>
      <w:proofErr w:type="spellEnd"/>
      <w:r w:rsidRPr="00264587">
        <w:t xml:space="preserve"> 13 г., обем от 1 750 млн. евро и лихвен купон в размер на 4,125 %;</w:t>
      </w:r>
    </w:p>
    <w:p w:rsidR="00C35EB3" w:rsidRPr="00264587" w:rsidRDefault="00C35EB3" w:rsidP="00C35EB3">
      <w:pPr>
        <w:numPr>
          <w:ilvl w:val="0"/>
          <w:numId w:val="27"/>
        </w:numPr>
        <w:tabs>
          <w:tab w:val="left" w:pos="1134"/>
        </w:tabs>
        <w:ind w:left="0" w:firstLine="851"/>
        <w:jc w:val="both"/>
      </w:pPr>
      <w:r w:rsidRPr="00264587">
        <w:t xml:space="preserve">емисии на облигации, деноминирани в евро, на МКП на 18.07.2025 г. в размер на </w:t>
      </w:r>
      <w:r w:rsidRPr="006E0174">
        <w:rPr>
          <w:b/>
        </w:rPr>
        <w:t>6</w:t>
      </w:r>
      <w:r w:rsidRPr="00264587">
        <w:rPr>
          <w:b/>
        </w:rPr>
        <w:t> 100,8 млн. лв.</w:t>
      </w:r>
      <w:r w:rsidRPr="00264587">
        <w:t xml:space="preserve"> </w:t>
      </w:r>
      <w:r w:rsidRPr="00264587">
        <w:rPr>
          <w:b/>
        </w:rPr>
        <w:t xml:space="preserve"> </w:t>
      </w:r>
      <w:r w:rsidRPr="00264587">
        <w:t xml:space="preserve">като са емитирани облигации в общ размер на 3 200,0 млн. евро номинална стойност, разпределени в два транша: първият транш е със </w:t>
      </w:r>
      <w:proofErr w:type="spellStart"/>
      <w:r w:rsidRPr="00264587">
        <w:t>срочност</w:t>
      </w:r>
      <w:proofErr w:type="spellEnd"/>
      <w:r w:rsidRPr="00264587">
        <w:t xml:space="preserve"> 10 г., обем от 2 000 млн. евро и лихвен купон от 3, </w:t>
      </w:r>
      <w:r w:rsidRPr="006E0174">
        <w:t>375</w:t>
      </w:r>
      <w:r>
        <w:t xml:space="preserve"> </w:t>
      </w:r>
      <w:r w:rsidRPr="00264587">
        <w:t xml:space="preserve">%, като вторият транш е със </w:t>
      </w:r>
      <w:proofErr w:type="spellStart"/>
      <w:r w:rsidRPr="00264587">
        <w:t>срочност</w:t>
      </w:r>
      <w:proofErr w:type="spellEnd"/>
      <w:r w:rsidRPr="00264587">
        <w:t xml:space="preserve"> 20 г., обем от 1 200 млн. евро и ли</w:t>
      </w:r>
      <w:r>
        <w:t>хвен купон в размер на 4,125 %;</w:t>
      </w:r>
      <w:r w:rsidRPr="00264587">
        <w:t xml:space="preserve">  </w:t>
      </w:r>
    </w:p>
    <w:p w:rsidR="00C35EB3" w:rsidRPr="00CF31CA" w:rsidRDefault="00C35EB3" w:rsidP="00C35EB3">
      <w:pPr>
        <w:numPr>
          <w:ilvl w:val="0"/>
          <w:numId w:val="27"/>
        </w:numPr>
        <w:tabs>
          <w:tab w:val="left" w:pos="1134"/>
        </w:tabs>
        <w:ind w:left="0" w:right="-1" w:firstLine="851"/>
        <w:jc w:val="both"/>
      </w:pPr>
      <w:r w:rsidRPr="00264587">
        <w:t xml:space="preserve">усвоени средства на 30.06.2025 г. в размер на </w:t>
      </w:r>
      <w:r w:rsidRPr="00264587">
        <w:rPr>
          <w:b/>
        </w:rPr>
        <w:t>489,0 млн. лв.</w:t>
      </w:r>
      <w:r w:rsidRPr="00264587">
        <w:t xml:space="preserve"> (250,0 млн. евро) по Финансов договор между Република България и Европейската инвестиционна банка за финансиране на проект "България–съфинансиране по фондовете на Евро</w:t>
      </w:r>
      <w:r>
        <w:t>пейския съюз 2021 –2027 (СПЗ)";</w:t>
      </w:r>
    </w:p>
    <w:p w:rsidR="00C35EB3" w:rsidRPr="00264587" w:rsidRDefault="00C35EB3" w:rsidP="00C35EB3">
      <w:pPr>
        <w:numPr>
          <w:ilvl w:val="0"/>
          <w:numId w:val="27"/>
        </w:numPr>
        <w:tabs>
          <w:tab w:val="left" w:pos="1134"/>
        </w:tabs>
        <w:ind w:left="0" w:right="-1" w:firstLine="851"/>
        <w:jc w:val="both"/>
      </w:pPr>
      <w:r>
        <w:t>усвоени средства на 22</w:t>
      </w:r>
      <w:r w:rsidRPr="00264587">
        <w:t>.</w:t>
      </w:r>
      <w:r>
        <w:t>12</w:t>
      </w:r>
      <w:r w:rsidRPr="00264587">
        <w:t xml:space="preserve">.2025 г. в размер на </w:t>
      </w:r>
      <w:r>
        <w:rPr>
          <w:b/>
        </w:rPr>
        <w:t>195</w:t>
      </w:r>
      <w:r w:rsidRPr="00264587">
        <w:rPr>
          <w:b/>
        </w:rPr>
        <w:t>,</w:t>
      </w:r>
      <w:r>
        <w:rPr>
          <w:b/>
        </w:rPr>
        <w:t>6</w:t>
      </w:r>
      <w:r w:rsidRPr="00264587">
        <w:rPr>
          <w:b/>
        </w:rPr>
        <w:t xml:space="preserve"> млн. лв.</w:t>
      </w:r>
      <w:r w:rsidRPr="00264587">
        <w:t xml:space="preserve"> (</w:t>
      </w:r>
      <w:r>
        <w:t>10</w:t>
      </w:r>
      <w:r w:rsidRPr="00264587">
        <w:t>0,0 млн. евро)</w:t>
      </w:r>
      <w:r>
        <w:t xml:space="preserve"> по </w:t>
      </w:r>
      <w:r w:rsidRPr="00AD7C73">
        <w:t xml:space="preserve">Рамковото споразумение за заем между Банката </w:t>
      </w:r>
      <w:r>
        <w:t xml:space="preserve">за развитие на Съвета на Европа </w:t>
      </w:r>
      <w:r w:rsidRPr="00AD7C73">
        <w:t>и Република България, Механизъм за съфинансиране на програми, съфинансирани от Европейския социален фонд плюс пре</w:t>
      </w:r>
      <w:r>
        <w:t>з 2021-2027 г. програмен период.</w:t>
      </w:r>
    </w:p>
    <w:p w:rsidR="00C35EB3" w:rsidRPr="00230EFC" w:rsidRDefault="00C35EB3" w:rsidP="00C35EB3">
      <w:pPr>
        <w:tabs>
          <w:tab w:val="left" w:pos="567"/>
        </w:tabs>
        <w:spacing w:before="120"/>
        <w:jc w:val="both"/>
        <w:rPr>
          <w:color w:val="0070C0"/>
        </w:rPr>
      </w:pPr>
      <w:r w:rsidRPr="00AE3B61">
        <w:t xml:space="preserve">Извършените </w:t>
      </w:r>
      <w:r w:rsidRPr="00AE3B61">
        <w:rPr>
          <w:b/>
          <w:i/>
        </w:rPr>
        <w:t>погашения от централен бюджет</w:t>
      </w:r>
      <w:r w:rsidRPr="00AE3B61">
        <w:t xml:space="preserve"> възлизат на </w:t>
      </w:r>
      <w:r w:rsidRPr="00AE3B61">
        <w:rPr>
          <w:b/>
          <w:i/>
        </w:rPr>
        <w:t>184,6 млн. лв</w:t>
      </w:r>
      <w:r w:rsidRPr="00AE3B61">
        <w:t>. по външни държавни заеми</w:t>
      </w:r>
      <w:r w:rsidRPr="00AE3B61">
        <w:rPr>
          <w:rFonts w:ascii="Calibri" w:eastAsia="Calibri" w:hAnsi="Calibri"/>
          <w:sz w:val="22"/>
          <w:szCs w:val="22"/>
        </w:rPr>
        <w:t xml:space="preserve"> </w:t>
      </w:r>
      <w:r w:rsidRPr="00AE3B61">
        <w:t>към международни финансови институции, в съответствие с договорените погасителни планове, в т.</w:t>
      </w:r>
      <w:r>
        <w:t xml:space="preserve"> </w:t>
      </w:r>
      <w:r w:rsidRPr="00AE3B61">
        <w:t>ч. 40,9 млн. лв. към Международната банка за възстановяване</w:t>
      </w:r>
      <w:r w:rsidRPr="00AE3B61">
        <w:rPr>
          <w:rFonts w:eastAsia="Calibri"/>
          <w:sz w:val="22"/>
          <w:szCs w:val="22"/>
        </w:rPr>
        <w:t xml:space="preserve"> и </w:t>
      </w:r>
      <w:r w:rsidRPr="00AE3B61">
        <w:t>развитие, 124,1 млн. лв. към Европейска инвестиционна банка и 19,6 млн. лв. към Банка за развитие на Съвета на Европа. През декември няма извършени погашения от централен бюджет</w:t>
      </w:r>
      <w:r w:rsidRPr="00230EFC">
        <w:rPr>
          <w:color w:val="0070C0"/>
        </w:rPr>
        <w:t>.</w:t>
      </w:r>
    </w:p>
    <w:p w:rsidR="00C35EB3" w:rsidRPr="001F395B" w:rsidRDefault="00C35EB3" w:rsidP="00C35EB3">
      <w:pPr>
        <w:spacing w:before="120"/>
        <w:jc w:val="both"/>
      </w:pPr>
      <w:r w:rsidRPr="00B87459">
        <w:rPr>
          <w:b/>
          <w:i/>
        </w:rPr>
        <w:t>Погашенията по ДИЗ, управлявани от министерства</w:t>
      </w:r>
      <w:r w:rsidRPr="00B87459">
        <w:t xml:space="preserve"> </w:t>
      </w:r>
      <w:r w:rsidRPr="00B87459">
        <w:rPr>
          <w:b/>
          <w:i/>
        </w:rPr>
        <w:t>и ведомства,</w:t>
      </w:r>
      <w:r w:rsidRPr="00B87459">
        <w:t xml:space="preserve"> </w:t>
      </w:r>
      <w:r>
        <w:t>през 2025 г. са</w:t>
      </w:r>
      <w:r w:rsidRPr="00B87459">
        <w:t xml:space="preserve"> в размер на </w:t>
      </w:r>
      <w:r>
        <w:t>63,1</w:t>
      </w:r>
      <w:r w:rsidRPr="00B87459">
        <w:t xml:space="preserve"> млн. лв</w:t>
      </w:r>
      <w:r w:rsidRPr="00230EFC">
        <w:rPr>
          <w:color w:val="0070C0"/>
        </w:rPr>
        <w:t xml:space="preserve">. </w:t>
      </w:r>
      <w:r w:rsidRPr="001F395B">
        <w:rPr>
          <w:b/>
          <w:i/>
        </w:rPr>
        <w:t>По заемите с краен бенефициент търговско дружество</w:t>
      </w:r>
      <w:r w:rsidRPr="001F395B">
        <w:t xml:space="preserve"> извършените погашения са в размер на </w:t>
      </w:r>
      <w:r w:rsidRPr="001F395B">
        <w:rPr>
          <w:lang w:val="ru-RU"/>
        </w:rPr>
        <w:t>8,3</w:t>
      </w:r>
      <w:r w:rsidRPr="001F395B">
        <w:t xml:space="preserve"> млн. лева.</w:t>
      </w:r>
    </w:p>
    <w:p w:rsidR="00C35EB3" w:rsidRDefault="00C35EB3" w:rsidP="00C35EB3">
      <w:pPr>
        <w:tabs>
          <w:tab w:val="left" w:pos="567"/>
        </w:tabs>
        <w:spacing w:before="120" w:after="240"/>
        <w:jc w:val="both"/>
      </w:pPr>
      <w:r w:rsidRPr="008E037F">
        <w:t>През отчетния период не са използвани средствата, предвидени в ЗДБРБ за 2025 г., за покриване на риска от активиране на държавни гаранции.</w:t>
      </w:r>
    </w:p>
    <w:p w:rsidR="004C65F2" w:rsidRPr="008E037F" w:rsidRDefault="004C65F2" w:rsidP="00C35EB3">
      <w:pPr>
        <w:tabs>
          <w:tab w:val="left" w:pos="567"/>
        </w:tabs>
        <w:spacing w:before="120" w:after="240"/>
        <w:jc w:val="both"/>
      </w:pPr>
    </w:p>
    <w:p w:rsidR="00C35EB3" w:rsidRPr="008E09AC" w:rsidRDefault="00C35EB3" w:rsidP="00C35EB3">
      <w:pPr>
        <w:pStyle w:val="BodyTextIndent"/>
        <w:numPr>
          <w:ilvl w:val="1"/>
          <w:numId w:val="8"/>
        </w:numPr>
        <w:tabs>
          <w:tab w:val="num" w:pos="900"/>
        </w:tabs>
        <w:spacing w:before="360" w:after="0"/>
        <w:ind w:left="714" w:hanging="357"/>
        <w:jc w:val="both"/>
        <w:rPr>
          <w:b/>
          <w:bCs/>
        </w:rPr>
      </w:pPr>
      <w:r w:rsidRPr="008E09AC">
        <w:rPr>
          <w:b/>
          <w:bCs/>
        </w:rPr>
        <w:lastRenderedPageBreak/>
        <w:t>Разходи по централн</w:t>
      </w:r>
      <w:r w:rsidRPr="008E09AC">
        <w:rPr>
          <w:b/>
          <w:bCs/>
          <w:szCs w:val="26"/>
        </w:rPr>
        <w:t xml:space="preserve">ия бюджет </w:t>
      </w:r>
      <w:r w:rsidRPr="008E09AC">
        <w:rPr>
          <w:b/>
          <w:bCs/>
        </w:rPr>
        <w:t>за субсидии, капиталови трансфери</w:t>
      </w:r>
      <w:r w:rsidRPr="008E09AC">
        <w:rPr>
          <w:bCs/>
        </w:rPr>
        <w:t xml:space="preserve"> </w:t>
      </w:r>
      <w:r w:rsidRPr="008E09AC">
        <w:rPr>
          <w:b/>
          <w:bCs/>
        </w:rPr>
        <w:t xml:space="preserve">и други разходи, свързани с дейността на реалния сектор </w:t>
      </w:r>
    </w:p>
    <w:p w:rsidR="00C35EB3" w:rsidRPr="00C25B8B" w:rsidRDefault="00C35EB3" w:rsidP="00C35EB3">
      <w:pPr>
        <w:pStyle w:val="Header"/>
        <w:jc w:val="both"/>
        <w:rPr>
          <w:color w:val="0070C0"/>
          <w:sz w:val="8"/>
          <w:szCs w:val="8"/>
        </w:rPr>
      </w:pPr>
    </w:p>
    <w:p w:rsidR="00C35EB3" w:rsidRPr="00C25B8B" w:rsidRDefault="00C35EB3" w:rsidP="00C35EB3">
      <w:pPr>
        <w:pStyle w:val="Header"/>
        <w:jc w:val="both"/>
        <w:rPr>
          <w:color w:val="0070C0"/>
          <w:sz w:val="4"/>
          <w:szCs w:val="4"/>
        </w:rPr>
      </w:pPr>
    </w:p>
    <w:p w:rsidR="00C35EB3" w:rsidRPr="00983BBD" w:rsidRDefault="00C35EB3" w:rsidP="00C35EB3">
      <w:pPr>
        <w:pStyle w:val="BodyText2"/>
        <w:spacing w:after="0" w:line="240" w:lineRule="auto"/>
        <w:jc w:val="both"/>
      </w:pPr>
      <w:r w:rsidRPr="00983BBD">
        <w:t xml:space="preserve">Средствата за </w:t>
      </w:r>
      <w:r w:rsidRPr="00983BBD">
        <w:rPr>
          <w:bCs/>
        </w:rPr>
        <w:t>субсидии</w:t>
      </w:r>
      <w:r w:rsidRPr="00983BBD">
        <w:t xml:space="preserve"> са предназначени за търговски дружества, осъществяващи превоза на пътниците по нерентабилни автобусни линии във вътрешноградския транспорт и транспорта в планински и други райони. По своя характер те са обществени превозни услуги от общ икономически интерес и имат предимно социална насоченост – масови превози до и от работните места в рамките на града и превози до малки отдалечени селища, осигуряващи връзка с общинския център.</w:t>
      </w:r>
    </w:p>
    <w:p w:rsidR="00C35EB3" w:rsidRPr="00C25B8B" w:rsidRDefault="00C35EB3" w:rsidP="00C35EB3">
      <w:pPr>
        <w:widowControl w:val="0"/>
        <w:jc w:val="both"/>
        <w:rPr>
          <w:color w:val="0070C0"/>
        </w:rPr>
      </w:pPr>
      <w:r w:rsidRPr="00A71FB2">
        <w:rPr>
          <w:noProof/>
        </w:rPr>
        <w:t>Към 31.12.2025 г. предоставените за тази цел средства са в размер на 227,4 млн. лв., в т.</w:t>
      </w:r>
      <w:r>
        <w:rPr>
          <w:noProof/>
        </w:rPr>
        <w:t> </w:t>
      </w:r>
      <w:r w:rsidRPr="00A71FB2">
        <w:rPr>
          <w:noProof/>
        </w:rPr>
        <w:t>ч. за Столична община – в размер на 106</w:t>
      </w:r>
      <w:r>
        <w:rPr>
          <w:noProof/>
        </w:rPr>
        <w:t>,</w:t>
      </w:r>
      <w:r w:rsidRPr="00A71FB2">
        <w:rPr>
          <w:noProof/>
        </w:rPr>
        <w:t>0 млн. лв. Средствата се разпределят по общини по предложение на Министерството на транспорта и съобщенията, с изключение на тези за Столична община</w:t>
      </w:r>
      <w:r w:rsidRPr="00A71FB2">
        <w:rPr>
          <w:color w:val="0070C0"/>
        </w:rPr>
        <w:t>.</w:t>
      </w:r>
      <w:r w:rsidRPr="00C25B8B">
        <w:rPr>
          <w:color w:val="0070C0"/>
        </w:rPr>
        <w:t xml:space="preserve"> </w:t>
      </w:r>
    </w:p>
    <w:p w:rsidR="00C35EB3" w:rsidRPr="00695120" w:rsidRDefault="00C35EB3" w:rsidP="00C35EB3">
      <w:pPr>
        <w:spacing w:before="120"/>
        <w:jc w:val="both"/>
      </w:pPr>
      <w:r w:rsidRPr="00695120">
        <w:t>За отчетния период м. януари – м. декември 2025 г. са извършени капиталови разходи за изпълнение на Програмата за отстраняване на нанесените щети върху околната среда, настъпили от минали действия или бездействия при приватизация на обща стойност 0,2 млн. лв. за изпълнени дейности по програмата на „Агрополихим“ АД – гр. Девня, при планирани общо 10 млн. лв.</w:t>
      </w:r>
    </w:p>
    <w:p w:rsidR="00C35EB3" w:rsidRPr="00C4165D" w:rsidRDefault="00C35EB3" w:rsidP="00C35EB3">
      <w:pPr>
        <w:spacing w:before="120"/>
        <w:jc w:val="both"/>
      </w:pPr>
      <w:r w:rsidRPr="00C4165D">
        <w:rPr>
          <w:bCs/>
        </w:rPr>
        <w:t xml:space="preserve">По централния бюджет са предвидени и </w:t>
      </w:r>
      <w:r w:rsidRPr="00C4165D">
        <w:rPr>
          <w:b/>
          <w:bCs/>
        </w:rPr>
        <w:t>други разходи</w:t>
      </w:r>
      <w:r w:rsidRPr="00C4165D">
        <w:rPr>
          <w:bCs/>
        </w:rPr>
        <w:t>, свързани с к</w:t>
      </w:r>
      <w:r w:rsidRPr="00C4165D">
        <w:t xml:space="preserve">омпенсиране със средства от държавния бюджет на </w:t>
      </w:r>
      <w:r w:rsidRPr="00C4165D">
        <w:rPr>
          <w:bCs/>
        </w:rPr>
        <w:t>намалените приходи от прилагането на цени за пътуване, предвидени в нормативни актове за определени категории пътници</w:t>
      </w:r>
      <w:r w:rsidRPr="00C4165D">
        <w:t xml:space="preserve"> по железопътния и автомобилния транспорт. Средствата </w:t>
      </w:r>
      <w:r w:rsidRPr="00C4165D">
        <w:rPr>
          <w:bCs/>
        </w:rPr>
        <w:t xml:space="preserve">се предоставят на „БДЖ-Пътнически превози“ ЕООД за компенсации за пътувания с железопътния транспорт и под формата на целеви трансфер на общините - </w:t>
      </w:r>
      <w:r w:rsidRPr="00C4165D">
        <w:t xml:space="preserve">за автомобилния транспорт. </w:t>
      </w:r>
    </w:p>
    <w:p w:rsidR="00C35EB3" w:rsidRPr="00087B73" w:rsidRDefault="00C35EB3" w:rsidP="00C35EB3">
      <w:pPr>
        <w:tabs>
          <w:tab w:val="left" w:pos="851"/>
        </w:tabs>
        <w:jc w:val="both"/>
        <w:rPr>
          <w:sz w:val="8"/>
          <w:szCs w:val="8"/>
        </w:rPr>
      </w:pPr>
      <w:r w:rsidRPr="00293AA7">
        <w:t xml:space="preserve">Предоставените средства към 31.12.2025 г. са общо в размер на </w:t>
      </w:r>
      <w:r w:rsidRPr="00293AA7">
        <w:rPr>
          <w:lang w:val="ru-RU"/>
        </w:rPr>
        <w:t>305</w:t>
      </w:r>
      <w:r w:rsidRPr="00293AA7">
        <w:t>,</w:t>
      </w:r>
      <w:r w:rsidRPr="00293AA7">
        <w:rPr>
          <w:lang w:val="ru-RU"/>
        </w:rPr>
        <w:t>5</w:t>
      </w:r>
      <w:r w:rsidRPr="00293AA7">
        <w:t xml:space="preserve"> млн. лв., в т.</w:t>
      </w:r>
      <w:r w:rsidRPr="00293AA7">
        <w:rPr>
          <w:lang w:val="ru-RU"/>
        </w:rPr>
        <w:t xml:space="preserve"> </w:t>
      </w:r>
      <w:r w:rsidRPr="00293AA7">
        <w:t xml:space="preserve">ч. за вътрешноградския транспорт, междуселищния автомобилен транспорт и железопътния </w:t>
      </w:r>
      <w:r w:rsidRPr="00087B73">
        <w:t xml:space="preserve">транспорт. </w:t>
      </w:r>
    </w:p>
    <w:p w:rsidR="00C35EB3" w:rsidRPr="00087B73" w:rsidRDefault="00C35EB3" w:rsidP="00C35EB3">
      <w:pPr>
        <w:tabs>
          <w:tab w:val="left" w:pos="851"/>
        </w:tabs>
        <w:jc w:val="both"/>
      </w:pPr>
      <w:r w:rsidRPr="00087B73">
        <w:t xml:space="preserve">Предоставените средства към 31.12.2025 г. за компенсиране на намалените приходи от прилагането на цени за пътуване, предвидени в нормативни актове за определени категории пътници /компенсации/, структурирани според вида ползван транспорт – </w:t>
      </w:r>
      <w:r w:rsidRPr="00087B73">
        <w:rPr>
          <w:noProof/>
        </w:rPr>
        <w:t xml:space="preserve">вътрешноградски транспорт и междуселищен </w:t>
      </w:r>
      <w:r w:rsidRPr="00087B73">
        <w:t>автомобилен транспорт или железопътен транспорт са както следва:</w:t>
      </w:r>
    </w:p>
    <w:p w:rsidR="00C35EB3" w:rsidRPr="002109B5" w:rsidRDefault="00C35EB3" w:rsidP="00C35EB3">
      <w:pPr>
        <w:ind w:firstLine="567"/>
        <w:jc w:val="both"/>
      </w:pPr>
      <w:r w:rsidRPr="002109B5">
        <w:t xml:space="preserve">- компенсации за пътувания с железопътния транспорт в размер на 11,2 млн. лв.; </w:t>
      </w:r>
    </w:p>
    <w:p w:rsidR="00C35EB3" w:rsidRPr="00295ADF" w:rsidRDefault="00C35EB3" w:rsidP="00C35EB3">
      <w:pPr>
        <w:tabs>
          <w:tab w:val="left" w:pos="709"/>
          <w:tab w:val="left" w:pos="993"/>
        </w:tabs>
        <w:ind w:left="709" w:hanging="142"/>
        <w:jc w:val="both"/>
        <w:rPr>
          <w:noProof/>
        </w:rPr>
      </w:pPr>
      <w:r w:rsidRPr="00295ADF">
        <w:rPr>
          <w:noProof/>
        </w:rPr>
        <w:t xml:space="preserve">- компенсации за пътувания с вътрешноградски транспорт и междуселищния автомобилен транспорт в страната – 294,3 млн. лв. </w:t>
      </w:r>
    </w:p>
    <w:p w:rsidR="00C35EB3" w:rsidRPr="00C25B8B" w:rsidRDefault="00C35EB3" w:rsidP="00C35EB3">
      <w:pPr>
        <w:spacing w:before="120"/>
        <w:jc w:val="both"/>
        <w:rPr>
          <w:noProof/>
          <w:color w:val="0070C0"/>
        </w:rPr>
      </w:pPr>
      <w:r w:rsidRPr="0043109C">
        <w:rPr>
          <w:noProof/>
        </w:rPr>
        <w:t xml:space="preserve">Предоставените средства за </w:t>
      </w:r>
      <w:r w:rsidRPr="0043109C">
        <w:t>компенсиране на намалените приходи от прилагането на цени за пътуване, предвидени в нормативни актове за определени категории пътници,</w:t>
      </w:r>
      <w:r w:rsidRPr="0043109C">
        <w:rPr>
          <w:noProof/>
        </w:rPr>
        <w:t xml:space="preserve"> по вътрешноградския транспорт и междуселищния автомобилен транспорт към 31.12.2025 г., диференцирани по групи правоимащи лица и размер на намалението спрямо редовната цена, са както следва:</w:t>
      </w:r>
    </w:p>
    <w:p w:rsidR="00C35EB3" w:rsidRPr="00CE2A92" w:rsidRDefault="00C35EB3" w:rsidP="00C35EB3">
      <w:pPr>
        <w:widowControl w:val="0"/>
        <w:ind w:firstLine="567"/>
        <w:jc w:val="both"/>
        <w:rPr>
          <w:noProof/>
        </w:rPr>
      </w:pPr>
      <w:r w:rsidRPr="00CE2A92">
        <w:rPr>
          <w:noProof/>
        </w:rPr>
        <w:t xml:space="preserve">- 76,2 млн. лв. за транспорт на деца и ученици; </w:t>
      </w:r>
    </w:p>
    <w:p w:rsidR="00C35EB3" w:rsidRPr="00CE2A92" w:rsidRDefault="00C35EB3" w:rsidP="00C35EB3">
      <w:pPr>
        <w:widowControl w:val="0"/>
        <w:ind w:firstLine="567"/>
        <w:jc w:val="both"/>
        <w:rPr>
          <w:noProof/>
        </w:rPr>
      </w:pPr>
      <w:r w:rsidRPr="00CE2A92">
        <w:rPr>
          <w:noProof/>
        </w:rPr>
        <w:t>- 218,1 млн. лв. за безплатни и по намалени цени пътувания по общини, в това число:</w:t>
      </w:r>
    </w:p>
    <w:p w:rsidR="00C35EB3" w:rsidRPr="00027CE5" w:rsidRDefault="00C35EB3" w:rsidP="00C35EB3">
      <w:pPr>
        <w:numPr>
          <w:ilvl w:val="0"/>
          <w:numId w:val="30"/>
        </w:numPr>
        <w:tabs>
          <w:tab w:val="left" w:pos="1134"/>
        </w:tabs>
        <w:ind w:firstLine="131"/>
        <w:jc w:val="both"/>
        <w:rPr>
          <w:noProof/>
        </w:rPr>
      </w:pPr>
      <w:r w:rsidRPr="00A012C4">
        <w:rPr>
          <w:noProof/>
        </w:rPr>
        <w:t xml:space="preserve">201,0 млн. лв. за безплатни пътувания на деца до седемгодишна възраст, ветерани от войните, военноинвалиди и военнопострадали, както и пътувания по намалени цени на деца от 7 до 14 навършени години, учащи се и лица, получаващи пенсия, лица с намалена работоспособност над 70,99 на 100 с вътрешноградския транспорт и междуселищния </w:t>
      </w:r>
      <w:r w:rsidRPr="00027CE5">
        <w:rPr>
          <w:noProof/>
        </w:rPr>
        <w:t xml:space="preserve">автомобилен транспорт; </w:t>
      </w:r>
    </w:p>
    <w:p w:rsidR="00C35EB3" w:rsidRPr="00027CE5" w:rsidRDefault="00C35EB3" w:rsidP="00C35EB3">
      <w:pPr>
        <w:numPr>
          <w:ilvl w:val="0"/>
          <w:numId w:val="30"/>
        </w:numPr>
        <w:tabs>
          <w:tab w:val="left" w:pos="1134"/>
        </w:tabs>
        <w:ind w:firstLine="131"/>
        <w:jc w:val="both"/>
        <w:rPr>
          <w:noProof/>
        </w:rPr>
      </w:pPr>
      <w:r w:rsidRPr="00027CE5">
        <w:rPr>
          <w:noProof/>
        </w:rPr>
        <w:t>17,1 млн. лв. за превоз на служители, ползващи право на безплатно пътуване при изпълнение на служебните си задължения.</w:t>
      </w:r>
    </w:p>
    <w:p w:rsidR="00C35EB3" w:rsidRDefault="00C35EB3" w:rsidP="00C35EB3">
      <w:pPr>
        <w:jc w:val="both"/>
      </w:pPr>
      <w:r w:rsidRPr="00A14CF9">
        <w:t>Средствата се разпределят по общини по предложение на Министерството на транспорта и съобщенията, Министерството на образованието и науката и на министерствата и ведомствата, чиито служители ползват право на безплатно пътуване за изпълнение на служебните си задължения в изпълнение на законови разпоредби.</w:t>
      </w:r>
    </w:p>
    <w:p w:rsidR="009B08B9" w:rsidRDefault="009B08B9" w:rsidP="00C35EB3">
      <w:pPr>
        <w:jc w:val="both"/>
      </w:pPr>
    </w:p>
    <w:p w:rsidR="009B08B9" w:rsidRPr="00A14CF9" w:rsidRDefault="009B08B9" w:rsidP="00C35EB3">
      <w:pPr>
        <w:jc w:val="both"/>
      </w:pPr>
    </w:p>
    <w:p w:rsidR="00C35EB3" w:rsidRPr="00C25B8B" w:rsidRDefault="00C35EB3" w:rsidP="00C35EB3">
      <w:pPr>
        <w:spacing w:after="120"/>
        <w:jc w:val="both"/>
        <w:rPr>
          <w:color w:val="0070C0"/>
          <w:sz w:val="8"/>
        </w:rPr>
      </w:pPr>
    </w:p>
    <w:p w:rsidR="00C35EB3" w:rsidRPr="00FF6F8B" w:rsidRDefault="00C35EB3" w:rsidP="00C35EB3">
      <w:pPr>
        <w:pStyle w:val="BodyTextIndent"/>
        <w:numPr>
          <w:ilvl w:val="1"/>
          <w:numId w:val="8"/>
        </w:numPr>
        <w:tabs>
          <w:tab w:val="num" w:pos="900"/>
        </w:tabs>
        <w:spacing w:before="120" w:after="0"/>
        <w:ind w:left="714" w:hanging="357"/>
        <w:jc w:val="both"/>
        <w:rPr>
          <w:b/>
          <w:bCs/>
        </w:rPr>
      </w:pPr>
      <w:r w:rsidRPr="00FF6F8B">
        <w:rPr>
          <w:b/>
          <w:bCs/>
        </w:rPr>
        <w:lastRenderedPageBreak/>
        <w:t>Бюджет на съдебната власт</w:t>
      </w:r>
    </w:p>
    <w:p w:rsidR="00C35EB3" w:rsidRPr="00C25B8B" w:rsidRDefault="00C35EB3" w:rsidP="00C35EB3">
      <w:pPr>
        <w:spacing w:before="120"/>
        <w:jc w:val="both"/>
        <w:rPr>
          <w:color w:val="0070C0"/>
        </w:rPr>
      </w:pPr>
      <w:r w:rsidRPr="00906DCA">
        <w:t>За 202</w:t>
      </w:r>
      <w:r w:rsidRPr="00906DCA">
        <w:rPr>
          <w:lang w:val="ru-RU"/>
        </w:rPr>
        <w:t>5</w:t>
      </w:r>
      <w:r w:rsidRPr="00906DCA">
        <w:t xml:space="preserve"> г. по бюджета на съдебната власт са отчетени </w:t>
      </w:r>
      <w:r w:rsidRPr="00906DCA">
        <w:rPr>
          <w:b/>
        </w:rPr>
        <w:t>приходи</w:t>
      </w:r>
      <w:r w:rsidRPr="00906DCA">
        <w:t xml:space="preserve"> в размер на 127,4 млн. лв., от </w:t>
      </w:r>
      <w:r w:rsidRPr="00852B48">
        <w:t>които 98,2 млн. лв. - приходи от съдебни такси. За сравнение, за 2024 г. са отчетени общо приходи в размер на 120,0 млн. лв., от които 96,9 млн. лв. - приходи от съдебни такси.</w:t>
      </w:r>
    </w:p>
    <w:p w:rsidR="00C35EB3" w:rsidRPr="00C25B8B" w:rsidRDefault="00C35EB3" w:rsidP="00C35EB3">
      <w:pPr>
        <w:tabs>
          <w:tab w:val="left" w:pos="90"/>
        </w:tabs>
        <w:jc w:val="both"/>
        <w:rPr>
          <w:color w:val="0070C0"/>
        </w:rPr>
      </w:pPr>
      <w:r w:rsidRPr="00003434">
        <w:rPr>
          <w:b/>
        </w:rPr>
        <w:t xml:space="preserve">Разходите </w:t>
      </w:r>
      <w:r w:rsidRPr="00003434">
        <w:t>по бюджета на съдебната власт</w:t>
      </w:r>
      <w:r w:rsidRPr="00003434">
        <w:rPr>
          <w:b/>
        </w:rPr>
        <w:t xml:space="preserve"> </w:t>
      </w:r>
      <w:r w:rsidRPr="00003434">
        <w:t>за 2025 г.</w:t>
      </w:r>
      <w:r w:rsidRPr="00003434">
        <w:rPr>
          <w:b/>
        </w:rPr>
        <w:t xml:space="preserve"> </w:t>
      </w:r>
      <w:r w:rsidRPr="00003434">
        <w:t>са в размер на 1 358,6 млн. лв., като с най-</w:t>
      </w:r>
      <w:r w:rsidRPr="00F46E1F">
        <w:t>голям относителен дял от отчетените разходи са тези за персонал – 91,6 % (1 244,1 млн. лв.). За сравнение, през 2024 г. са отчетени общо разходи в размер 1 234,8 млн. лева.</w:t>
      </w:r>
    </w:p>
    <w:p w:rsidR="00C35EB3" w:rsidRPr="007F45AD" w:rsidRDefault="00C35EB3" w:rsidP="00C35EB3">
      <w:pPr>
        <w:keepNext/>
        <w:numPr>
          <w:ilvl w:val="0"/>
          <w:numId w:val="8"/>
        </w:numPr>
        <w:spacing w:before="360"/>
        <w:ind w:left="533" w:right="-108" w:hanging="391"/>
        <w:jc w:val="both"/>
        <w:outlineLvl w:val="0"/>
        <w:rPr>
          <w:b/>
          <w:bCs/>
        </w:rPr>
      </w:pPr>
      <w:r w:rsidRPr="007F45AD">
        <w:rPr>
          <w:b/>
          <w:bCs/>
        </w:rPr>
        <w:t>Просрочени задължения</w:t>
      </w:r>
    </w:p>
    <w:p w:rsidR="00C35EB3" w:rsidRPr="00C25B8B" w:rsidRDefault="00C35EB3" w:rsidP="00C35EB3">
      <w:pPr>
        <w:spacing w:before="120" w:after="120"/>
        <w:jc w:val="both"/>
        <w:rPr>
          <w:color w:val="0070C0"/>
        </w:rPr>
      </w:pPr>
      <w:r w:rsidRPr="003B48A9">
        <w:t xml:space="preserve">Към </w:t>
      </w:r>
      <w:r w:rsidRPr="003B48A9">
        <w:rPr>
          <w:lang w:val="ru-RU"/>
        </w:rPr>
        <w:t>31</w:t>
      </w:r>
      <w:r w:rsidRPr="003B48A9">
        <w:t>.</w:t>
      </w:r>
      <w:r w:rsidRPr="003B48A9">
        <w:rPr>
          <w:lang w:val="ru-RU"/>
        </w:rPr>
        <w:t>12</w:t>
      </w:r>
      <w:r w:rsidRPr="003B48A9">
        <w:t xml:space="preserve">.2025 г. просрочените задължения на централно и местно правителство са в размер на </w:t>
      </w:r>
      <w:r w:rsidRPr="003B48A9">
        <w:rPr>
          <w:b/>
        </w:rPr>
        <w:t>358,6 млн. лева.</w:t>
      </w:r>
      <w:r w:rsidRPr="003B48A9">
        <w:t xml:space="preserve"> </w:t>
      </w:r>
    </w:p>
    <w:p w:rsidR="00C35EB3" w:rsidRPr="00C25B8B" w:rsidRDefault="00C35EB3" w:rsidP="00C35EB3">
      <w:pPr>
        <w:spacing w:before="120"/>
        <w:jc w:val="both"/>
        <w:rPr>
          <w:noProof/>
          <w:color w:val="0070C0"/>
        </w:rPr>
      </w:pPr>
      <w:r w:rsidRPr="00434631">
        <w:t xml:space="preserve">Размерът на просрочените задължения на </w:t>
      </w:r>
      <w:r w:rsidRPr="00434631">
        <w:rPr>
          <w:b/>
        </w:rPr>
        <w:t>централното правителство</w:t>
      </w:r>
      <w:r w:rsidRPr="00434631">
        <w:t xml:space="preserve"> (министерства, ведомства и разпоредителите с бюджет по чл. 13, ал. 3 и ал. 4 на ЗПФ) е</w:t>
      </w:r>
      <w:r w:rsidRPr="00434631">
        <w:rPr>
          <w:b/>
        </w:rPr>
        <w:t xml:space="preserve"> 182,5 млн. лева. </w:t>
      </w:r>
      <w:r w:rsidRPr="00434631">
        <w:t xml:space="preserve">Спрямо отчетените в края на 2024 г. те намаляват с 3,1 млн. лв. В обхвата на държавния бюджет просрочените задължения са основно </w:t>
      </w:r>
      <w:r>
        <w:t xml:space="preserve"> </w:t>
      </w:r>
      <w:r w:rsidRPr="00434631">
        <w:t>към доставчици.</w:t>
      </w:r>
    </w:p>
    <w:p w:rsidR="00C35EB3" w:rsidRPr="00C25B8B" w:rsidRDefault="00C35EB3" w:rsidP="00C35EB3">
      <w:pPr>
        <w:spacing w:before="120" w:after="120"/>
        <w:jc w:val="both"/>
        <w:rPr>
          <w:noProof/>
          <w:color w:val="0070C0"/>
        </w:rPr>
      </w:pPr>
      <w:r w:rsidRPr="00D84A6A">
        <w:rPr>
          <w:noProof/>
        </w:rPr>
        <w:t xml:space="preserve">Просрочените задължения по </w:t>
      </w:r>
      <w:r w:rsidRPr="00D84A6A">
        <w:rPr>
          <w:b/>
          <w:noProof/>
        </w:rPr>
        <w:t>бюджетите на общините</w:t>
      </w:r>
      <w:r w:rsidRPr="00D84A6A">
        <w:rPr>
          <w:noProof/>
        </w:rPr>
        <w:t xml:space="preserve"> към 31.12.2025 г. са в размер на </w:t>
      </w:r>
      <w:r w:rsidRPr="007814C7">
        <w:rPr>
          <w:b/>
          <w:noProof/>
          <w:lang w:val="ru-RU"/>
        </w:rPr>
        <w:t>176,0</w:t>
      </w:r>
      <w:r w:rsidRPr="007814C7">
        <w:rPr>
          <w:b/>
          <w:noProof/>
        </w:rPr>
        <w:t> млн. лв.,</w:t>
      </w:r>
      <w:r w:rsidRPr="007814C7">
        <w:rPr>
          <w:noProof/>
        </w:rPr>
        <w:t xml:space="preserve"> като спрямо </w:t>
      </w:r>
      <w:r w:rsidRPr="007814C7">
        <w:t xml:space="preserve">края на 2024 г. </w:t>
      </w:r>
      <w:r w:rsidRPr="007814C7">
        <w:rPr>
          <w:noProof/>
        </w:rPr>
        <w:t>се отчита увеличение с 33,0 млн. лева. С най-голям относителен дял в просрочените задължения</w:t>
      </w:r>
      <w:r>
        <w:rPr>
          <w:noProof/>
        </w:rPr>
        <w:t xml:space="preserve"> по бюджетите на общините за</w:t>
      </w:r>
      <w:r w:rsidRPr="007814C7">
        <w:rPr>
          <w:noProof/>
        </w:rPr>
        <w:t xml:space="preserve"> 2025 г. са просрочените задължения към доставчици, които са в размер на 167,3 млн. </w:t>
      </w:r>
      <w:r w:rsidRPr="00CE2A92">
        <w:rPr>
          <w:noProof/>
        </w:rPr>
        <w:t>лева или 95 на сто от общия размер на просрочените задължения по бюджетите на общините. В делегираните от държавата дейности просрочените задължения са в размер на 5,2 млн. лева</w:t>
      </w:r>
      <w:r w:rsidRPr="00C25B8B">
        <w:rPr>
          <w:noProof/>
          <w:color w:val="0070C0"/>
        </w:rPr>
        <w:t>.</w:t>
      </w:r>
    </w:p>
    <w:p w:rsidR="00C35EB3" w:rsidRPr="00C25B8B" w:rsidRDefault="00C35EB3" w:rsidP="00C35EB3">
      <w:pPr>
        <w:spacing w:after="120"/>
        <w:jc w:val="both"/>
        <w:rPr>
          <w:noProof/>
          <w:color w:val="0070C0"/>
          <w:sz w:val="2"/>
          <w:szCs w:val="12"/>
          <w:lang w:val="en-US"/>
        </w:rPr>
      </w:pPr>
      <w:r w:rsidRPr="00872443">
        <w:rPr>
          <w:noProof/>
        </w:rPr>
        <w:t xml:space="preserve">Извън обхвата на консолидираната фискална програма, продължава да има проблем с просрочията на лечебните заведения за болнична помощ (държавни и общински болници – търговски дружества). </w:t>
      </w:r>
      <w:r w:rsidR="0074694C" w:rsidRPr="00254722">
        <w:rPr>
          <w:noProof/>
        </w:rPr>
        <w:t>Към 31.12.2025 г. размерът на просрочените задължения е 43,2</w:t>
      </w:r>
      <w:r w:rsidR="0074694C" w:rsidRPr="00254722">
        <w:rPr>
          <w:noProof/>
          <w:lang w:val="ru-RU"/>
        </w:rPr>
        <w:t xml:space="preserve"> млн. лв., от които 29,6 млн. лв. са на държавните болници и 13,6 млн. лв. са на общинските болници. Спрямо отчетените просрочени задължения към 31.12.2024 г. се отчита увеличение с 1,7 млн. лв. (с 4,</w:t>
      </w:r>
      <w:r w:rsidR="0074694C" w:rsidRPr="0074694C">
        <w:rPr>
          <w:noProof/>
          <w:lang w:val="ru-RU"/>
        </w:rPr>
        <w:t>1 на сто)</w:t>
      </w:r>
      <w:r w:rsidRPr="0074694C">
        <w:rPr>
          <w:color w:val="0070C0"/>
        </w:rPr>
        <w:t>.</w:t>
      </w:r>
    </w:p>
    <w:p w:rsidR="00F521AA" w:rsidRPr="00D56273" w:rsidRDefault="00F521AA" w:rsidP="003E54F0">
      <w:pPr>
        <w:keepNext/>
        <w:numPr>
          <w:ilvl w:val="0"/>
          <w:numId w:val="8"/>
        </w:numPr>
        <w:spacing w:before="360"/>
        <w:ind w:left="533" w:right="-108" w:hanging="391"/>
        <w:jc w:val="both"/>
        <w:outlineLvl w:val="0"/>
        <w:rPr>
          <w:b/>
          <w:bCs/>
        </w:rPr>
      </w:pPr>
      <w:r w:rsidRPr="00D56273">
        <w:rPr>
          <w:b/>
          <w:bCs/>
        </w:rPr>
        <w:t xml:space="preserve">Сметки за средства от ЕС на Разплащателната агенция към ДФ „Земеделие“ и на Националния фонд към Министерството на финансите </w:t>
      </w:r>
    </w:p>
    <w:p w:rsidR="006C54A6" w:rsidRPr="001A38D5" w:rsidRDefault="006C54A6" w:rsidP="003E54F0">
      <w:pPr>
        <w:pStyle w:val="Heading1"/>
        <w:numPr>
          <w:ilvl w:val="1"/>
          <w:numId w:val="8"/>
        </w:numPr>
        <w:tabs>
          <w:tab w:val="left" w:pos="90"/>
          <w:tab w:val="left" w:pos="993"/>
        </w:tabs>
        <w:spacing w:before="240" w:after="120"/>
        <w:ind w:left="0" w:right="-108" w:firstLine="567"/>
        <w:jc w:val="both"/>
        <w:rPr>
          <w:sz w:val="24"/>
        </w:rPr>
      </w:pPr>
      <w:r w:rsidRPr="001A38D5">
        <w:rPr>
          <w:sz w:val="24"/>
        </w:rPr>
        <w:t xml:space="preserve">Сметка за Европейски средства на Разплащателна агенция ДФ „Земеделие“  </w:t>
      </w:r>
    </w:p>
    <w:p w:rsidR="001A38D5" w:rsidRPr="002B228B" w:rsidRDefault="001A38D5" w:rsidP="001A38D5">
      <w:pPr>
        <w:numPr>
          <w:ilvl w:val="0"/>
          <w:numId w:val="17"/>
        </w:numPr>
        <w:spacing w:before="120" w:line="276" w:lineRule="auto"/>
        <w:ind w:left="777" w:hanging="357"/>
        <w:jc w:val="both"/>
        <w:rPr>
          <w:b/>
          <w:color w:val="000000" w:themeColor="text1"/>
          <w:lang w:eastAsia="bg-BG"/>
        </w:rPr>
      </w:pPr>
      <w:r w:rsidRPr="002B228B">
        <w:rPr>
          <w:b/>
          <w:color w:val="000000" w:themeColor="text1"/>
          <w:lang w:eastAsia="bg-BG"/>
        </w:rPr>
        <w:t>Приходи</w:t>
      </w:r>
    </w:p>
    <w:p w:rsidR="001A38D5" w:rsidRPr="002B228B" w:rsidRDefault="001A38D5" w:rsidP="001A38D5">
      <w:pPr>
        <w:ind w:firstLine="567"/>
        <w:jc w:val="both"/>
        <w:rPr>
          <w:color w:val="000000" w:themeColor="text1"/>
        </w:rPr>
      </w:pPr>
      <w:r w:rsidRPr="002B228B">
        <w:rPr>
          <w:color w:val="000000" w:themeColor="text1"/>
        </w:rPr>
        <w:t>За 2025 г. планираните приходи по утвърдените годишни разчети на сметката за средства от Европейския съюз на Разплащателната агенция към ДФ „Земеделие” са в размер на 921,6 млн. лева. Към 3</w:t>
      </w:r>
      <w:r w:rsidRPr="002B228B">
        <w:rPr>
          <w:color w:val="000000" w:themeColor="text1"/>
          <w:lang w:val="ru-RU"/>
        </w:rPr>
        <w:t>1</w:t>
      </w:r>
      <w:r w:rsidRPr="002B228B">
        <w:rPr>
          <w:color w:val="000000" w:themeColor="text1"/>
        </w:rPr>
        <w:t>.</w:t>
      </w:r>
      <w:r w:rsidRPr="002B228B">
        <w:rPr>
          <w:color w:val="000000" w:themeColor="text1"/>
          <w:lang w:val="ru-RU"/>
        </w:rPr>
        <w:t>12</w:t>
      </w:r>
      <w:r w:rsidRPr="002B228B">
        <w:rPr>
          <w:color w:val="000000" w:themeColor="text1"/>
        </w:rPr>
        <w:t>.2025 г. постъпленията са в размер на 619,8 млн. лв., което представлява 67,3 % от годишния план. За миналата година отчетената сума в частта „Приходи“ е била 613,3 млн. лева.</w:t>
      </w:r>
    </w:p>
    <w:p w:rsidR="001A38D5" w:rsidRPr="002B228B" w:rsidRDefault="001A38D5" w:rsidP="001A38D5">
      <w:pPr>
        <w:tabs>
          <w:tab w:val="left" w:pos="709"/>
        </w:tabs>
        <w:spacing w:before="120"/>
        <w:ind w:firstLine="562"/>
        <w:jc w:val="both"/>
        <w:rPr>
          <w:color w:val="000000" w:themeColor="text1"/>
        </w:rPr>
      </w:pPr>
      <w:r w:rsidRPr="002B228B">
        <w:rPr>
          <w:color w:val="000000" w:themeColor="text1"/>
        </w:rPr>
        <w:t>Приходната част е формирана от приходи от наказателни лихви, помощи и дарения от чужбина и коректив на касови постъпления, както следва:</w:t>
      </w:r>
    </w:p>
    <w:p w:rsidR="001A38D5" w:rsidRPr="002B228B" w:rsidRDefault="001A38D5" w:rsidP="001A38D5">
      <w:pPr>
        <w:numPr>
          <w:ilvl w:val="0"/>
          <w:numId w:val="16"/>
        </w:numPr>
        <w:tabs>
          <w:tab w:val="left" w:pos="993"/>
        </w:tabs>
        <w:spacing w:before="120" w:after="120"/>
        <w:ind w:left="1321" w:hanging="612"/>
        <w:jc w:val="both"/>
        <w:rPr>
          <w:b/>
          <w:i/>
          <w:color w:val="000000" w:themeColor="text1"/>
        </w:rPr>
      </w:pPr>
      <w:r w:rsidRPr="002B228B">
        <w:rPr>
          <w:b/>
          <w:i/>
          <w:color w:val="000000" w:themeColor="text1"/>
        </w:rPr>
        <w:t>Приходи от наказателни лихви</w:t>
      </w:r>
    </w:p>
    <w:p w:rsidR="001A38D5" w:rsidRPr="002B228B" w:rsidRDefault="001A38D5" w:rsidP="001A38D5">
      <w:pPr>
        <w:ind w:firstLine="567"/>
        <w:jc w:val="both"/>
        <w:rPr>
          <w:color w:val="000000" w:themeColor="text1"/>
        </w:rPr>
      </w:pPr>
      <w:r w:rsidRPr="002B228B">
        <w:rPr>
          <w:color w:val="000000" w:themeColor="text1"/>
        </w:rPr>
        <w:t>Отчетените приходи за 2025 г.  от получени наказателни лихви, свързани с вземания за възстановяване на средства от ЕК в размер на 1,9 млн. лева.</w:t>
      </w:r>
    </w:p>
    <w:p w:rsidR="001A38D5" w:rsidRPr="002B228B" w:rsidRDefault="001A38D5" w:rsidP="001A38D5">
      <w:pPr>
        <w:numPr>
          <w:ilvl w:val="0"/>
          <w:numId w:val="16"/>
        </w:numPr>
        <w:tabs>
          <w:tab w:val="left" w:pos="993"/>
        </w:tabs>
        <w:spacing w:before="120" w:after="120"/>
        <w:ind w:left="1321" w:hanging="612"/>
        <w:jc w:val="both"/>
        <w:rPr>
          <w:b/>
          <w:i/>
          <w:color w:val="000000" w:themeColor="text1"/>
        </w:rPr>
      </w:pPr>
      <w:r w:rsidRPr="002B228B">
        <w:rPr>
          <w:b/>
          <w:i/>
          <w:color w:val="000000" w:themeColor="text1"/>
        </w:rPr>
        <w:t>Текущи помощи и дарения от Европейския съюз</w:t>
      </w:r>
    </w:p>
    <w:p w:rsidR="001A38D5" w:rsidRPr="002B228B" w:rsidRDefault="001A38D5" w:rsidP="001A38D5">
      <w:pPr>
        <w:ind w:firstLine="567"/>
        <w:jc w:val="both"/>
        <w:rPr>
          <w:color w:val="000000" w:themeColor="text1"/>
        </w:rPr>
      </w:pPr>
      <w:r w:rsidRPr="002B228B">
        <w:rPr>
          <w:color w:val="000000" w:themeColor="text1"/>
        </w:rPr>
        <w:t>Общият размер на получените приходи, отчетени в „Текущи помощи и дарения от Европейския съюз“,  за 2025</w:t>
      </w:r>
      <w:r w:rsidRPr="002B228B">
        <w:rPr>
          <w:color w:val="000000" w:themeColor="text1"/>
          <w:lang w:val="ru-RU"/>
        </w:rPr>
        <w:t xml:space="preserve"> </w:t>
      </w:r>
      <w:r w:rsidRPr="002B228B">
        <w:rPr>
          <w:color w:val="000000" w:themeColor="text1"/>
        </w:rPr>
        <w:t>г. е 37,7 млн. лв., при планирани за годината средства в размер на 131,0 млн. лева.</w:t>
      </w:r>
    </w:p>
    <w:p w:rsidR="001A38D5" w:rsidRPr="002B228B" w:rsidRDefault="001A38D5" w:rsidP="001A38D5">
      <w:pPr>
        <w:ind w:firstLine="567"/>
        <w:jc w:val="both"/>
        <w:rPr>
          <w:color w:val="000000" w:themeColor="text1"/>
        </w:rPr>
      </w:pPr>
      <w:r w:rsidRPr="002B228B">
        <w:rPr>
          <w:color w:val="000000" w:themeColor="text1"/>
        </w:rPr>
        <w:t xml:space="preserve">Получените текущи приходи от възстановяване на средства от Европейски земеделски фонд за развитие на селските райони (ЕЗФРСР) по линия на Програмата за развитие на селските райони </w:t>
      </w:r>
      <w:r w:rsidRPr="002B228B">
        <w:rPr>
          <w:color w:val="000000" w:themeColor="text1"/>
        </w:rPr>
        <w:lastRenderedPageBreak/>
        <w:t>(ПРСР) без директни плащания за 2025</w:t>
      </w:r>
      <w:r w:rsidRPr="002B228B">
        <w:rPr>
          <w:color w:val="000000" w:themeColor="text1"/>
          <w:lang w:val="ru-RU"/>
        </w:rPr>
        <w:t xml:space="preserve"> </w:t>
      </w:r>
      <w:r w:rsidRPr="002B228B">
        <w:rPr>
          <w:color w:val="000000" w:themeColor="text1"/>
        </w:rPr>
        <w:t>г. възлизат на 30,1</w:t>
      </w:r>
      <w:r w:rsidRPr="002B228B">
        <w:rPr>
          <w:color w:val="000000" w:themeColor="text1"/>
          <w:lang w:val="ru-RU"/>
        </w:rPr>
        <w:t xml:space="preserve"> </w:t>
      </w:r>
      <w:r w:rsidRPr="002B228B">
        <w:rPr>
          <w:color w:val="000000" w:themeColor="text1"/>
        </w:rPr>
        <w:t>млн. лева. Получените текущи приходи за ПРСР по линия на Стратегическия план по ОСП (2023-2027) са 1,1 млн. лева. Общо получените текущи приходи по ПРСР представляват 29,2 % от планираните за годината 107,0</w:t>
      </w:r>
      <w:r w:rsidR="00B429BD">
        <w:rPr>
          <w:color w:val="000000" w:themeColor="text1"/>
        </w:rPr>
        <w:t> </w:t>
      </w:r>
      <w:r w:rsidRPr="002B228B">
        <w:rPr>
          <w:color w:val="000000" w:themeColor="text1"/>
        </w:rPr>
        <w:t>млн. лева. За миналата година отчетените текущи приходи са били в размер на 39,2 млн. лева.</w:t>
      </w:r>
    </w:p>
    <w:p w:rsidR="001A38D5" w:rsidRPr="00C5241D" w:rsidRDefault="001A38D5" w:rsidP="001A38D5">
      <w:pPr>
        <w:ind w:firstLine="567"/>
        <w:jc w:val="both"/>
        <w:rPr>
          <w:color w:val="000000" w:themeColor="text1"/>
        </w:rPr>
      </w:pPr>
      <w:r w:rsidRPr="00C5241D">
        <w:rPr>
          <w:color w:val="000000" w:themeColor="text1"/>
        </w:rPr>
        <w:t>Получените текущи приходи от възстановяване на средства по линия на схемите „Училищен плод“ и „Училищно мляко“ от Европейски фонд за гарантиране на земеделието (ЕФГЗ) към 31.12.2025 г. са 6,5 млн. лв., което представлява 85,0 % от планираните 7,7 млн. лв. за годината.  За 2024 г. по това направление са отчетени 6,2 млн. лева.</w:t>
      </w:r>
    </w:p>
    <w:p w:rsidR="001A38D5" w:rsidRPr="00084F36" w:rsidRDefault="001A38D5" w:rsidP="001A38D5">
      <w:pPr>
        <w:ind w:firstLine="567"/>
        <w:jc w:val="both"/>
        <w:rPr>
          <w:color w:val="000000" w:themeColor="text1"/>
        </w:rPr>
      </w:pPr>
      <w:r w:rsidRPr="00084F36">
        <w:rPr>
          <w:color w:val="000000" w:themeColor="text1"/>
        </w:rPr>
        <w:t>За 202</w:t>
      </w:r>
      <w:r w:rsidRPr="00084F36">
        <w:rPr>
          <w:color w:val="000000" w:themeColor="text1"/>
          <w:lang w:val="ru-RU"/>
        </w:rPr>
        <w:t xml:space="preserve">5 </w:t>
      </w:r>
      <w:r w:rsidRPr="00084F36">
        <w:rPr>
          <w:color w:val="000000" w:themeColor="text1"/>
        </w:rPr>
        <w:t>г. не са възстановени средства от Европейския фонд за морско дело и рибарство (ЕФМДР), при годишен план за текущи приходи в размер на 16,4 млн. лева. През миналата година са получени 18,9 млн. лв. текущи приходи.</w:t>
      </w:r>
    </w:p>
    <w:p w:rsidR="001A38D5" w:rsidRPr="00084F36" w:rsidRDefault="001A38D5" w:rsidP="001A38D5">
      <w:pPr>
        <w:numPr>
          <w:ilvl w:val="0"/>
          <w:numId w:val="16"/>
        </w:numPr>
        <w:tabs>
          <w:tab w:val="left" w:pos="993"/>
        </w:tabs>
        <w:spacing w:before="120" w:after="120"/>
        <w:ind w:left="1321" w:hanging="612"/>
        <w:jc w:val="both"/>
        <w:rPr>
          <w:b/>
          <w:i/>
          <w:color w:val="000000" w:themeColor="text1"/>
          <w:lang w:eastAsia="bg-BG"/>
        </w:rPr>
      </w:pPr>
      <w:r w:rsidRPr="00084F36">
        <w:rPr>
          <w:b/>
          <w:i/>
          <w:color w:val="000000" w:themeColor="text1"/>
          <w:lang w:eastAsia="bg-BG"/>
        </w:rPr>
        <w:t>Капиталови помощи и дарения от Европейския съюз</w:t>
      </w:r>
    </w:p>
    <w:p w:rsidR="001A38D5" w:rsidRPr="00084F36" w:rsidRDefault="001A38D5" w:rsidP="001A38D5">
      <w:pPr>
        <w:ind w:firstLine="567"/>
        <w:jc w:val="both"/>
        <w:rPr>
          <w:color w:val="000000" w:themeColor="text1"/>
        </w:rPr>
      </w:pPr>
      <w:r w:rsidRPr="00084F36">
        <w:rPr>
          <w:color w:val="000000" w:themeColor="text1"/>
        </w:rPr>
        <w:t xml:space="preserve">Общият размер на получените приходи, отчетени в „Капиталови помощи и дарения от Европейския съюз“ към 31.12.2025 г. е 591,7 млн. лв. при планирани за годината 790,6 млн. лева. </w:t>
      </w:r>
    </w:p>
    <w:p w:rsidR="001A38D5" w:rsidRPr="00084F36" w:rsidRDefault="001A38D5" w:rsidP="001A38D5">
      <w:pPr>
        <w:ind w:firstLine="567"/>
        <w:jc w:val="both"/>
        <w:rPr>
          <w:color w:val="000000" w:themeColor="text1"/>
        </w:rPr>
      </w:pPr>
      <w:r w:rsidRPr="00084F36">
        <w:rPr>
          <w:color w:val="000000" w:themeColor="text1"/>
        </w:rPr>
        <w:t>Получените капиталови приходи от ЕЗФРСР по линия на ПРСР без директни през 2025 г. са 589,3 млн. лв., от които 27,6 млн. лв. са аванс по линия на Стратегическия план по ОСП 2023-2027.  Изпълнени са 75,2 % от годишния план, който е в размер на 783,2 млн. лева. За сравнение, за предходната година, капиталовите приходи по ПРСР са били 544,1 млн. лева.</w:t>
      </w:r>
    </w:p>
    <w:p w:rsidR="001A38D5" w:rsidRPr="00084F36" w:rsidRDefault="001A38D5" w:rsidP="001A38D5">
      <w:pPr>
        <w:ind w:firstLine="567"/>
        <w:jc w:val="both"/>
        <w:rPr>
          <w:color w:val="000000" w:themeColor="text1"/>
        </w:rPr>
      </w:pPr>
      <w:r w:rsidRPr="00084F36">
        <w:rPr>
          <w:color w:val="000000" w:themeColor="text1"/>
        </w:rPr>
        <w:t>През 2025 г. са получени капиталови приходи в размер 2,4 млн. лв. - аванс по ПМДРА 2021-2027. Степента на изпълнение спрямо годишния разчет от 7,4 млн. лв. е 32,4 %. За предходната година по това направление са отчетени 15,0 млн. лева.</w:t>
      </w:r>
      <w:r w:rsidRPr="00084F36">
        <w:rPr>
          <w:color w:val="000000" w:themeColor="text1"/>
        </w:rPr>
        <w:tab/>
      </w:r>
    </w:p>
    <w:p w:rsidR="001A38D5" w:rsidRPr="007D6705" w:rsidRDefault="001A38D5" w:rsidP="001A38D5">
      <w:pPr>
        <w:numPr>
          <w:ilvl w:val="0"/>
          <w:numId w:val="16"/>
        </w:numPr>
        <w:tabs>
          <w:tab w:val="left" w:pos="993"/>
        </w:tabs>
        <w:spacing w:before="120" w:after="120"/>
        <w:ind w:left="1321" w:hanging="612"/>
        <w:jc w:val="both"/>
        <w:rPr>
          <w:b/>
          <w:i/>
          <w:color w:val="000000" w:themeColor="text1"/>
          <w:lang w:eastAsia="bg-BG"/>
        </w:rPr>
      </w:pPr>
      <w:r w:rsidRPr="007D6705">
        <w:rPr>
          <w:b/>
          <w:i/>
          <w:color w:val="000000" w:themeColor="text1"/>
          <w:lang w:eastAsia="bg-BG"/>
        </w:rPr>
        <w:t xml:space="preserve">Коректив на касови постъпления </w:t>
      </w:r>
    </w:p>
    <w:p w:rsidR="001A38D5" w:rsidRPr="007D6705" w:rsidRDefault="001A38D5" w:rsidP="001A38D5">
      <w:pPr>
        <w:spacing w:before="120" w:after="120"/>
        <w:ind w:firstLine="567"/>
        <w:jc w:val="both"/>
        <w:rPr>
          <w:bCs/>
          <w:iCs/>
          <w:color w:val="000000" w:themeColor="text1"/>
        </w:rPr>
      </w:pPr>
      <w:r w:rsidRPr="007D6705">
        <w:rPr>
          <w:bCs/>
          <w:iCs/>
          <w:color w:val="000000" w:themeColor="text1"/>
        </w:rPr>
        <w:t>През 2025 г. отчетеният коректив на касови постъпления е минус 11,5 млн. лева. Той е формиран от размера на принудително събрани суми от НАП, за които не е извършен превод на средства по сметката на ДФЗ-РА.</w:t>
      </w:r>
    </w:p>
    <w:p w:rsidR="001A38D5" w:rsidRPr="007D6705" w:rsidRDefault="001A38D5" w:rsidP="001A38D5">
      <w:pPr>
        <w:numPr>
          <w:ilvl w:val="0"/>
          <w:numId w:val="17"/>
        </w:numPr>
        <w:spacing w:before="240" w:line="276" w:lineRule="auto"/>
        <w:ind w:left="777" w:hanging="357"/>
        <w:jc w:val="both"/>
        <w:rPr>
          <w:b/>
          <w:color w:val="000000" w:themeColor="text1"/>
          <w:lang w:eastAsia="bg-BG"/>
        </w:rPr>
      </w:pPr>
      <w:r w:rsidRPr="007D6705">
        <w:rPr>
          <w:b/>
          <w:color w:val="000000" w:themeColor="text1"/>
          <w:lang w:eastAsia="bg-BG"/>
        </w:rPr>
        <w:t>Разходи</w:t>
      </w:r>
    </w:p>
    <w:p w:rsidR="001A38D5" w:rsidRPr="007D6705" w:rsidRDefault="001A38D5" w:rsidP="001A38D5">
      <w:pPr>
        <w:ind w:firstLine="567"/>
        <w:jc w:val="both"/>
        <w:rPr>
          <w:color w:val="000000" w:themeColor="text1"/>
        </w:rPr>
      </w:pPr>
      <w:r w:rsidRPr="007D6705">
        <w:rPr>
          <w:color w:val="000000" w:themeColor="text1"/>
        </w:rPr>
        <w:t>Общият размер на планираните за 2025 г. разходи по утвърдените годишни разчети на сметката за средства от Европейския съюз на Разплащателната агенция към ДФ „Земеделие” е 2 312,8 млн. лева.</w:t>
      </w:r>
    </w:p>
    <w:p w:rsidR="001A38D5" w:rsidRPr="007D6705" w:rsidRDefault="001A38D5" w:rsidP="001A38D5">
      <w:pPr>
        <w:ind w:firstLine="720"/>
        <w:jc w:val="both"/>
        <w:rPr>
          <w:color w:val="000000" w:themeColor="text1"/>
          <w:szCs w:val="20"/>
        </w:rPr>
      </w:pPr>
      <w:r w:rsidRPr="007D6705">
        <w:rPr>
          <w:color w:val="000000" w:themeColor="text1"/>
          <w:szCs w:val="20"/>
        </w:rPr>
        <w:t>Уточненият план на субсидиите за текуща дейност и капиталовите трансфери за 2025 г. е 1 930,3 млн. лева. Изпълнението им към 31.12.2025 г. възлиза на 69,5</w:t>
      </w:r>
      <w:r w:rsidRPr="007D6705">
        <w:rPr>
          <w:color w:val="000000" w:themeColor="text1"/>
          <w:szCs w:val="20"/>
          <w:lang w:val="ru-RU"/>
        </w:rPr>
        <w:t xml:space="preserve"> </w:t>
      </w:r>
      <w:r w:rsidRPr="007D6705">
        <w:rPr>
          <w:color w:val="000000" w:themeColor="text1"/>
          <w:szCs w:val="20"/>
        </w:rPr>
        <w:t>% от годишния план при отчетени разходи в размер 1 341,7 млн. лева.</w:t>
      </w:r>
    </w:p>
    <w:p w:rsidR="001A38D5" w:rsidRPr="007D6705" w:rsidRDefault="001A38D5" w:rsidP="001A38D5">
      <w:pPr>
        <w:ind w:firstLine="567"/>
        <w:jc w:val="both"/>
        <w:rPr>
          <w:color w:val="000000" w:themeColor="text1"/>
          <w:szCs w:val="20"/>
        </w:rPr>
      </w:pPr>
      <w:r w:rsidRPr="007D6705">
        <w:rPr>
          <w:color w:val="000000" w:themeColor="text1"/>
          <w:szCs w:val="20"/>
        </w:rPr>
        <w:t>Останалите планирани разходи в размер 382,5 млн. лв. са формирани от: разходи за заплати и възнаграждения на персонала 26,6 млн. лв., задължителни осигурителни вноски от работодатели 8,7 млн. лв., издръжка 22,5 млн. лв. и придобиване на ДМА 324,7 млн. лв. Те подлежат на отчитане в § 63-00 Трансфери между сметки за средствата от ЕС.</w:t>
      </w:r>
    </w:p>
    <w:p w:rsidR="001A38D5" w:rsidRPr="007D6705" w:rsidRDefault="001A38D5" w:rsidP="001A38D5">
      <w:pPr>
        <w:ind w:firstLine="709"/>
        <w:jc w:val="both"/>
        <w:rPr>
          <w:color w:val="000000" w:themeColor="text1"/>
          <w:sz w:val="12"/>
          <w:szCs w:val="12"/>
        </w:rPr>
      </w:pPr>
    </w:p>
    <w:p w:rsidR="001A38D5" w:rsidRPr="00FB1E5B" w:rsidRDefault="001A38D5" w:rsidP="001A38D5">
      <w:pPr>
        <w:ind w:firstLine="709"/>
        <w:jc w:val="both"/>
        <w:rPr>
          <w:color w:val="000000" w:themeColor="text1"/>
        </w:rPr>
      </w:pPr>
      <w:r w:rsidRPr="00FB1E5B">
        <w:rPr>
          <w:color w:val="000000" w:themeColor="text1"/>
        </w:rPr>
        <w:t>Изпълнението на отчетените разходи е както следва:</w:t>
      </w:r>
    </w:p>
    <w:p w:rsidR="001A38D5" w:rsidRPr="00FB1E5B" w:rsidRDefault="001A38D5" w:rsidP="001A38D5">
      <w:pPr>
        <w:jc w:val="both"/>
        <w:rPr>
          <w:color w:val="000000" w:themeColor="text1"/>
          <w:sz w:val="8"/>
        </w:rPr>
      </w:pPr>
      <w:r w:rsidRPr="00FB1E5B">
        <w:rPr>
          <w:color w:val="000000" w:themeColor="text1"/>
          <w:sz w:val="8"/>
        </w:rPr>
        <w:tab/>
      </w:r>
    </w:p>
    <w:p w:rsidR="001A38D5" w:rsidRPr="00FB1E5B" w:rsidRDefault="001A38D5" w:rsidP="001A38D5">
      <w:pPr>
        <w:numPr>
          <w:ilvl w:val="0"/>
          <w:numId w:val="16"/>
        </w:numPr>
        <w:tabs>
          <w:tab w:val="left" w:pos="993"/>
        </w:tabs>
        <w:ind w:left="1321" w:hanging="612"/>
        <w:jc w:val="both"/>
        <w:rPr>
          <w:b/>
          <w:i/>
          <w:color w:val="000000" w:themeColor="text1"/>
          <w:lang w:eastAsia="bg-BG"/>
        </w:rPr>
      </w:pPr>
      <w:r w:rsidRPr="00FB1E5B">
        <w:rPr>
          <w:b/>
          <w:i/>
          <w:color w:val="000000" w:themeColor="text1"/>
          <w:lang w:eastAsia="bg-BG"/>
        </w:rPr>
        <w:t>Субсидии и други текущи трансфери за нефинансови предприятия</w:t>
      </w:r>
    </w:p>
    <w:p w:rsidR="001A38D5" w:rsidRPr="00FB1E5B" w:rsidRDefault="001A38D5" w:rsidP="001A38D5">
      <w:pPr>
        <w:ind w:firstLine="567"/>
        <w:contextualSpacing/>
        <w:jc w:val="both"/>
        <w:rPr>
          <w:color w:val="000000" w:themeColor="text1"/>
        </w:rPr>
      </w:pPr>
      <w:r w:rsidRPr="00FB1E5B">
        <w:rPr>
          <w:color w:val="000000" w:themeColor="text1"/>
        </w:rPr>
        <w:t>За 2025 г. са планирани средства в размер на 652,1 млн. лв. за субсидии и други текущи трансфери за нефинансови предприятия. Отчетените за годината средства представляват 71,7 % от планираните</w:t>
      </w:r>
      <w:r w:rsidRPr="00FB1E5B">
        <w:rPr>
          <w:color w:val="000000" w:themeColor="text1"/>
          <w:lang w:val="ru-RU"/>
        </w:rPr>
        <w:t>,</w:t>
      </w:r>
      <w:r w:rsidRPr="00FB1E5B">
        <w:rPr>
          <w:color w:val="000000" w:themeColor="text1"/>
        </w:rPr>
        <w:t xml:space="preserve"> и са в размер на 467,8 млн. лева. През 2024 г. отчетените текущи субсидии са били 212,7 млн. лева. </w:t>
      </w:r>
    </w:p>
    <w:p w:rsidR="001A38D5" w:rsidRPr="00143682" w:rsidRDefault="001A38D5" w:rsidP="001A38D5">
      <w:pPr>
        <w:ind w:firstLine="720"/>
        <w:contextualSpacing/>
        <w:jc w:val="both"/>
        <w:rPr>
          <w:color w:val="000000" w:themeColor="text1"/>
        </w:rPr>
      </w:pPr>
      <w:r w:rsidRPr="00143682">
        <w:rPr>
          <w:color w:val="000000" w:themeColor="text1"/>
        </w:rPr>
        <w:t>Изпълнението по дейности е както следва:</w:t>
      </w:r>
    </w:p>
    <w:p w:rsidR="001A38D5" w:rsidRPr="00143682" w:rsidRDefault="001A38D5" w:rsidP="001A38D5">
      <w:pPr>
        <w:ind w:firstLine="720"/>
        <w:contextualSpacing/>
        <w:jc w:val="both"/>
        <w:rPr>
          <w:color w:val="000000" w:themeColor="text1"/>
        </w:rPr>
      </w:pPr>
      <w:r w:rsidRPr="00143682">
        <w:rPr>
          <w:color w:val="000000" w:themeColor="text1"/>
        </w:rPr>
        <w:t>- национално съфинансиране към ЕЗФРСР за директни плащания – 298,6 млн. лв., изпълнение 72,4</w:t>
      </w:r>
      <w:r w:rsidRPr="00143682">
        <w:rPr>
          <w:color w:val="000000" w:themeColor="text1"/>
          <w:lang w:val="ru-RU"/>
        </w:rPr>
        <w:t xml:space="preserve"> </w:t>
      </w:r>
      <w:r w:rsidRPr="00143682">
        <w:rPr>
          <w:color w:val="000000" w:themeColor="text1"/>
        </w:rPr>
        <w:t>% от планираните за годината 412,6 млн. лв.;</w:t>
      </w:r>
    </w:p>
    <w:p w:rsidR="001A38D5" w:rsidRPr="00143682" w:rsidRDefault="001A38D5" w:rsidP="001A38D5">
      <w:pPr>
        <w:ind w:firstLine="720"/>
        <w:contextualSpacing/>
        <w:jc w:val="both"/>
        <w:rPr>
          <w:color w:val="000000" w:themeColor="text1"/>
        </w:rPr>
      </w:pPr>
      <w:r w:rsidRPr="00143682">
        <w:rPr>
          <w:color w:val="000000" w:themeColor="text1"/>
        </w:rPr>
        <w:t>-  текущи субсидии по Програмата за морско дело и рибарство – 2,1 млн. лв., изпълнение 67,7</w:t>
      </w:r>
      <w:r w:rsidRPr="00143682">
        <w:rPr>
          <w:color w:val="000000" w:themeColor="text1"/>
          <w:lang w:val="ru-RU"/>
        </w:rPr>
        <w:t xml:space="preserve"> </w:t>
      </w:r>
      <w:r w:rsidRPr="00143682">
        <w:rPr>
          <w:color w:val="000000" w:themeColor="text1"/>
        </w:rPr>
        <w:t>% от планираните 3,1 млн. лв.;</w:t>
      </w:r>
    </w:p>
    <w:p w:rsidR="001A38D5" w:rsidRPr="00143682" w:rsidRDefault="001A38D5" w:rsidP="001A38D5">
      <w:pPr>
        <w:ind w:firstLine="720"/>
        <w:contextualSpacing/>
        <w:jc w:val="both"/>
        <w:rPr>
          <w:color w:val="000000" w:themeColor="text1"/>
        </w:rPr>
      </w:pPr>
      <w:r w:rsidRPr="00143682">
        <w:rPr>
          <w:color w:val="000000" w:themeColor="text1"/>
        </w:rPr>
        <w:t>- текущи субсидии по Програмата за развитие на селските райони – 96,3 млн. лв., изпълнение от 58,5</w:t>
      </w:r>
      <w:r w:rsidRPr="00143682">
        <w:rPr>
          <w:color w:val="000000" w:themeColor="text1"/>
          <w:lang w:val="ru-RU"/>
        </w:rPr>
        <w:t xml:space="preserve"> </w:t>
      </w:r>
      <w:r w:rsidRPr="00143682">
        <w:rPr>
          <w:color w:val="000000" w:themeColor="text1"/>
        </w:rPr>
        <w:t>% на планираните за годината 164,7 млн. лв.;</w:t>
      </w:r>
    </w:p>
    <w:p w:rsidR="001A38D5" w:rsidRPr="00143682" w:rsidRDefault="001A38D5" w:rsidP="001A38D5">
      <w:pPr>
        <w:ind w:firstLine="709"/>
        <w:contextualSpacing/>
        <w:jc w:val="both"/>
        <w:rPr>
          <w:color w:val="000000" w:themeColor="text1"/>
        </w:rPr>
      </w:pPr>
      <w:r w:rsidRPr="00143682">
        <w:rPr>
          <w:color w:val="000000" w:themeColor="text1"/>
        </w:rPr>
        <w:t>-  текущи субсидии за пазарни мерки – 70,8 млн. лв., изпълнение от 98,7</w:t>
      </w:r>
      <w:r w:rsidRPr="00143682">
        <w:rPr>
          <w:color w:val="000000" w:themeColor="text1"/>
          <w:lang w:val="ru-RU"/>
        </w:rPr>
        <w:t xml:space="preserve"> </w:t>
      </w:r>
      <w:r w:rsidRPr="00143682">
        <w:rPr>
          <w:color w:val="000000" w:themeColor="text1"/>
        </w:rPr>
        <w:t>% на планираните за 202</w:t>
      </w:r>
      <w:r w:rsidRPr="00143682">
        <w:rPr>
          <w:color w:val="000000" w:themeColor="text1"/>
          <w:lang w:val="ru-RU"/>
        </w:rPr>
        <w:t xml:space="preserve">5 </w:t>
      </w:r>
      <w:r w:rsidRPr="00143682">
        <w:rPr>
          <w:color w:val="000000" w:themeColor="text1"/>
        </w:rPr>
        <w:t xml:space="preserve">г. 71,7 млн. лева. </w:t>
      </w:r>
    </w:p>
    <w:p w:rsidR="001A38D5" w:rsidRPr="00783B2A" w:rsidRDefault="001A38D5" w:rsidP="001A38D5">
      <w:pPr>
        <w:numPr>
          <w:ilvl w:val="0"/>
          <w:numId w:val="16"/>
        </w:numPr>
        <w:tabs>
          <w:tab w:val="left" w:pos="993"/>
        </w:tabs>
        <w:spacing w:before="120" w:after="120"/>
        <w:ind w:left="1321" w:hanging="612"/>
        <w:jc w:val="both"/>
        <w:rPr>
          <w:b/>
          <w:i/>
          <w:color w:val="000000" w:themeColor="text1"/>
          <w:lang w:eastAsia="bg-BG"/>
        </w:rPr>
      </w:pPr>
      <w:r w:rsidRPr="00783B2A">
        <w:rPr>
          <w:b/>
          <w:i/>
          <w:color w:val="000000" w:themeColor="text1"/>
          <w:lang w:eastAsia="bg-BG"/>
        </w:rPr>
        <w:lastRenderedPageBreak/>
        <w:t>Субсидии и други текущи трансфери за юридически лица с нестопанска цел</w:t>
      </w:r>
    </w:p>
    <w:p w:rsidR="001A38D5" w:rsidRPr="00783B2A" w:rsidRDefault="001A38D5" w:rsidP="001A38D5">
      <w:pPr>
        <w:tabs>
          <w:tab w:val="left" w:pos="993"/>
        </w:tabs>
        <w:ind w:firstLine="567"/>
        <w:jc w:val="both"/>
        <w:rPr>
          <w:color w:val="000000" w:themeColor="text1"/>
        </w:rPr>
      </w:pPr>
      <w:r w:rsidRPr="00783B2A">
        <w:rPr>
          <w:color w:val="000000" w:themeColor="text1"/>
        </w:rPr>
        <w:t>За 2025 г. за субсидии и други текущи трансфери за юридически лица с нестопанска цел са планирани 25,4 млн. лв. През 2025 г. са отчетени разходи в размер на 12,9 млн. лв., степен на изпълнение – 50,8</w:t>
      </w:r>
      <w:r w:rsidRPr="00783B2A">
        <w:rPr>
          <w:color w:val="000000" w:themeColor="text1"/>
          <w:lang w:val="ru-RU"/>
        </w:rPr>
        <w:t xml:space="preserve"> </w:t>
      </w:r>
      <w:r w:rsidRPr="00783B2A">
        <w:rPr>
          <w:color w:val="000000" w:themeColor="text1"/>
        </w:rPr>
        <w:t>%. За 2024 г. този вид разходи са възлизали на 13,5 млн. лева.</w:t>
      </w:r>
    </w:p>
    <w:p w:rsidR="001A38D5" w:rsidRPr="00783B2A" w:rsidRDefault="001A38D5" w:rsidP="001A38D5">
      <w:pPr>
        <w:tabs>
          <w:tab w:val="left" w:pos="993"/>
        </w:tabs>
        <w:ind w:firstLine="567"/>
        <w:jc w:val="both"/>
        <w:rPr>
          <w:color w:val="000000" w:themeColor="text1"/>
        </w:rPr>
      </w:pPr>
      <w:r w:rsidRPr="00783B2A">
        <w:rPr>
          <w:color w:val="000000" w:themeColor="text1"/>
        </w:rPr>
        <w:t>Разпределението по дейности е както следва:</w:t>
      </w:r>
    </w:p>
    <w:p w:rsidR="001A38D5" w:rsidRPr="00783B2A" w:rsidRDefault="001A38D5" w:rsidP="001A38D5">
      <w:pPr>
        <w:numPr>
          <w:ilvl w:val="0"/>
          <w:numId w:val="21"/>
        </w:numPr>
        <w:tabs>
          <w:tab w:val="left" w:pos="540"/>
          <w:tab w:val="left" w:pos="851"/>
        </w:tabs>
        <w:ind w:left="0" w:firstLine="709"/>
        <w:contextualSpacing/>
        <w:jc w:val="both"/>
        <w:rPr>
          <w:color w:val="000000" w:themeColor="text1"/>
        </w:rPr>
      </w:pPr>
      <w:r w:rsidRPr="00783B2A">
        <w:rPr>
          <w:color w:val="000000" w:themeColor="text1"/>
        </w:rPr>
        <w:t>текущи субсидии национално съфинансиране към директни плащания – 0,2 млн. лв.</w:t>
      </w:r>
    </w:p>
    <w:p w:rsidR="001A38D5" w:rsidRPr="00783B2A" w:rsidRDefault="001A38D5" w:rsidP="001A38D5">
      <w:pPr>
        <w:tabs>
          <w:tab w:val="left" w:pos="993"/>
        </w:tabs>
        <w:ind w:firstLine="709"/>
        <w:jc w:val="both"/>
        <w:rPr>
          <w:color w:val="000000" w:themeColor="text1"/>
        </w:rPr>
      </w:pPr>
      <w:r w:rsidRPr="00783B2A">
        <w:rPr>
          <w:color w:val="000000" w:themeColor="text1"/>
        </w:rPr>
        <w:t xml:space="preserve">- текущи субсидии по ПМДР – </w:t>
      </w:r>
      <w:r w:rsidRPr="00783B2A">
        <w:rPr>
          <w:color w:val="000000" w:themeColor="text1"/>
          <w:lang w:val="ru-RU"/>
        </w:rPr>
        <w:t>0,4</w:t>
      </w:r>
      <w:r w:rsidRPr="00783B2A">
        <w:rPr>
          <w:color w:val="000000" w:themeColor="text1"/>
        </w:rPr>
        <w:t xml:space="preserve"> млн. лв., възлизащи на </w:t>
      </w:r>
      <w:r w:rsidRPr="00783B2A">
        <w:rPr>
          <w:color w:val="000000" w:themeColor="text1"/>
          <w:lang w:val="ru-RU"/>
        </w:rPr>
        <w:t xml:space="preserve">22,2 </w:t>
      </w:r>
      <w:r w:rsidRPr="00783B2A">
        <w:rPr>
          <w:color w:val="000000" w:themeColor="text1"/>
        </w:rPr>
        <w:t>% от планираните 1,8</w:t>
      </w:r>
      <w:r w:rsidR="0049005A">
        <w:rPr>
          <w:color w:val="000000" w:themeColor="text1"/>
        </w:rPr>
        <w:t> </w:t>
      </w:r>
      <w:r w:rsidRPr="00783B2A">
        <w:rPr>
          <w:color w:val="000000" w:themeColor="text1"/>
        </w:rPr>
        <w:t>млн. лв.;</w:t>
      </w:r>
    </w:p>
    <w:p w:rsidR="001A38D5" w:rsidRPr="00783B2A" w:rsidRDefault="001A38D5" w:rsidP="001A38D5">
      <w:pPr>
        <w:tabs>
          <w:tab w:val="left" w:pos="993"/>
        </w:tabs>
        <w:ind w:firstLine="709"/>
        <w:jc w:val="both"/>
        <w:rPr>
          <w:color w:val="000000" w:themeColor="text1"/>
        </w:rPr>
      </w:pPr>
      <w:r w:rsidRPr="00783B2A">
        <w:rPr>
          <w:color w:val="000000" w:themeColor="text1"/>
        </w:rPr>
        <w:t>- текущи субсидии по Програмата за развитие на селските райони – 12,3 млн. лв., при планирани 23,6 млн. лв., степен на изпълнение 52,1</w:t>
      </w:r>
      <w:r w:rsidRPr="00783B2A">
        <w:rPr>
          <w:color w:val="000000" w:themeColor="text1"/>
          <w:lang w:val="ru-RU"/>
        </w:rPr>
        <w:t xml:space="preserve"> процента.</w:t>
      </w:r>
    </w:p>
    <w:p w:rsidR="001A38D5" w:rsidRPr="00783B2A" w:rsidRDefault="001A38D5" w:rsidP="001A38D5">
      <w:pPr>
        <w:numPr>
          <w:ilvl w:val="0"/>
          <w:numId w:val="16"/>
        </w:numPr>
        <w:tabs>
          <w:tab w:val="left" w:pos="993"/>
        </w:tabs>
        <w:spacing w:before="120" w:after="120"/>
        <w:ind w:left="1321" w:hanging="612"/>
        <w:jc w:val="both"/>
        <w:rPr>
          <w:b/>
          <w:i/>
          <w:color w:val="000000" w:themeColor="text1"/>
          <w:lang w:eastAsia="bg-BG"/>
        </w:rPr>
      </w:pPr>
      <w:r w:rsidRPr="00783B2A">
        <w:rPr>
          <w:b/>
          <w:i/>
          <w:color w:val="000000" w:themeColor="text1"/>
          <w:lang w:eastAsia="bg-BG"/>
        </w:rPr>
        <w:t>Капиталови трансфери за нефинансови предприятия</w:t>
      </w:r>
    </w:p>
    <w:p w:rsidR="001A38D5" w:rsidRPr="00783B2A" w:rsidRDefault="001A38D5" w:rsidP="001A38D5">
      <w:pPr>
        <w:tabs>
          <w:tab w:val="left" w:pos="993"/>
        </w:tabs>
        <w:ind w:firstLine="567"/>
        <w:jc w:val="both"/>
        <w:rPr>
          <w:color w:val="000000" w:themeColor="text1"/>
        </w:rPr>
      </w:pPr>
      <w:r w:rsidRPr="00783B2A">
        <w:rPr>
          <w:color w:val="000000" w:themeColor="text1"/>
        </w:rPr>
        <w:t>За 2025 г. за капиталови трансфери за нефинансови предприятия са планирани 1 202,4 млн. лева. Към 31.12.2025 г. са отчетени 831,2 млн. лв., представляващи 69,1</w:t>
      </w:r>
      <w:r w:rsidRPr="00783B2A">
        <w:rPr>
          <w:color w:val="000000" w:themeColor="text1"/>
          <w:lang w:val="ru-RU"/>
        </w:rPr>
        <w:t xml:space="preserve"> </w:t>
      </w:r>
      <w:r w:rsidRPr="00783B2A">
        <w:rPr>
          <w:color w:val="000000" w:themeColor="text1"/>
        </w:rPr>
        <w:t>% от годишния план. Отчетените за 2024 г. разходи за капиталови субсидии за физически лица и предприятия са били 372,1 млн. лева.</w:t>
      </w:r>
    </w:p>
    <w:p w:rsidR="001A38D5" w:rsidRPr="00783B2A" w:rsidRDefault="001A38D5" w:rsidP="001A38D5">
      <w:pPr>
        <w:tabs>
          <w:tab w:val="left" w:pos="993"/>
        </w:tabs>
        <w:ind w:firstLine="567"/>
        <w:jc w:val="both"/>
        <w:rPr>
          <w:color w:val="000000" w:themeColor="text1"/>
        </w:rPr>
      </w:pPr>
      <w:r w:rsidRPr="00783B2A">
        <w:rPr>
          <w:color w:val="000000" w:themeColor="text1"/>
        </w:rPr>
        <w:t>Разпределението по дейности е както следва:</w:t>
      </w:r>
    </w:p>
    <w:p w:rsidR="001A38D5" w:rsidRPr="00783B2A" w:rsidRDefault="001A38D5" w:rsidP="001A38D5">
      <w:pPr>
        <w:ind w:firstLine="720"/>
        <w:contextualSpacing/>
        <w:jc w:val="both"/>
        <w:rPr>
          <w:color w:val="000000" w:themeColor="text1"/>
        </w:rPr>
      </w:pPr>
      <w:r w:rsidRPr="00783B2A">
        <w:rPr>
          <w:color w:val="000000" w:themeColor="text1"/>
        </w:rPr>
        <w:t>- капиталови трансфери по Програмата за морско дело и рибарство (ПМДР) – 5,8 млн. лв., 39,2</w:t>
      </w:r>
      <w:r w:rsidRPr="00783B2A">
        <w:rPr>
          <w:color w:val="000000" w:themeColor="text1"/>
          <w:lang w:val="ru-RU"/>
        </w:rPr>
        <w:t xml:space="preserve"> </w:t>
      </w:r>
      <w:r w:rsidRPr="00783B2A">
        <w:rPr>
          <w:color w:val="000000" w:themeColor="text1"/>
        </w:rPr>
        <w:t>%  изпълнение на годишния план (14,8 млн. лв.);</w:t>
      </w:r>
    </w:p>
    <w:p w:rsidR="001A38D5" w:rsidRPr="00783B2A" w:rsidRDefault="001A38D5" w:rsidP="001A38D5">
      <w:pPr>
        <w:ind w:firstLine="720"/>
        <w:contextualSpacing/>
        <w:jc w:val="both"/>
        <w:rPr>
          <w:color w:val="000000" w:themeColor="text1"/>
        </w:rPr>
      </w:pPr>
      <w:r w:rsidRPr="00783B2A">
        <w:rPr>
          <w:color w:val="000000" w:themeColor="text1"/>
        </w:rPr>
        <w:t>- капиталови трансфери по ПРСР – 825,0 млн. лв., 69,9</w:t>
      </w:r>
      <w:r w:rsidRPr="00783B2A">
        <w:rPr>
          <w:color w:val="000000" w:themeColor="text1"/>
          <w:lang w:val="ru-RU"/>
        </w:rPr>
        <w:t xml:space="preserve"> </w:t>
      </w:r>
      <w:r w:rsidRPr="00783B2A">
        <w:rPr>
          <w:color w:val="000000" w:themeColor="text1"/>
        </w:rPr>
        <w:t>% изпълнение на годишния план, възлизащ на 1 180,5 млн. лв.;</w:t>
      </w:r>
    </w:p>
    <w:p w:rsidR="001A38D5" w:rsidRPr="00783B2A" w:rsidRDefault="001A38D5" w:rsidP="001A38D5">
      <w:pPr>
        <w:ind w:firstLine="720"/>
        <w:contextualSpacing/>
        <w:jc w:val="both"/>
        <w:rPr>
          <w:color w:val="000000" w:themeColor="text1"/>
        </w:rPr>
      </w:pPr>
      <w:r w:rsidRPr="00783B2A">
        <w:rPr>
          <w:color w:val="000000" w:themeColor="text1"/>
        </w:rPr>
        <w:t>- капиталови трансфери за пазарни мерки – 0,4 млн. лв. при годишен разчет 7,1 млн. лв., изпълнение 5,6</w:t>
      </w:r>
      <w:r w:rsidRPr="00783B2A">
        <w:rPr>
          <w:color w:val="000000" w:themeColor="text1"/>
          <w:lang w:val="ru-RU"/>
        </w:rPr>
        <w:t xml:space="preserve"> процента</w:t>
      </w:r>
      <w:r w:rsidRPr="00783B2A">
        <w:rPr>
          <w:color w:val="000000" w:themeColor="text1"/>
        </w:rPr>
        <w:t>.</w:t>
      </w:r>
    </w:p>
    <w:p w:rsidR="001A38D5" w:rsidRPr="00783B2A" w:rsidRDefault="001A38D5" w:rsidP="001A38D5">
      <w:pPr>
        <w:numPr>
          <w:ilvl w:val="0"/>
          <w:numId w:val="16"/>
        </w:numPr>
        <w:tabs>
          <w:tab w:val="left" w:pos="993"/>
        </w:tabs>
        <w:spacing w:before="120" w:after="120"/>
        <w:ind w:left="1321" w:hanging="612"/>
        <w:jc w:val="both"/>
        <w:rPr>
          <w:b/>
          <w:i/>
          <w:color w:val="000000" w:themeColor="text1"/>
          <w:lang w:eastAsia="bg-BG"/>
        </w:rPr>
      </w:pPr>
      <w:r w:rsidRPr="00783B2A">
        <w:rPr>
          <w:b/>
          <w:i/>
          <w:color w:val="000000" w:themeColor="text1"/>
          <w:lang w:eastAsia="bg-BG"/>
        </w:rPr>
        <w:t>Капиталови трансфери за организации с нестопанска цел</w:t>
      </w:r>
    </w:p>
    <w:p w:rsidR="001A38D5" w:rsidRPr="00783B2A" w:rsidRDefault="001A38D5" w:rsidP="001A38D5">
      <w:pPr>
        <w:ind w:firstLine="567"/>
        <w:jc w:val="both"/>
        <w:rPr>
          <w:color w:val="000000" w:themeColor="text1"/>
        </w:rPr>
      </w:pPr>
      <w:r w:rsidRPr="00783B2A">
        <w:rPr>
          <w:color w:val="000000" w:themeColor="text1"/>
        </w:rPr>
        <w:t>Годишните разчети за капиталови трансфери за организации с нестопанска цел за 2025 г. възлизат на 50,4 млн. лева. Към 31.12.2025 г. са отчетени 29,8 млн. лв., като степента на изпълнение е 59,1</w:t>
      </w:r>
      <w:r w:rsidRPr="00783B2A">
        <w:rPr>
          <w:color w:val="000000" w:themeColor="text1"/>
          <w:lang w:val="ru-RU"/>
        </w:rPr>
        <w:t xml:space="preserve"> </w:t>
      </w:r>
      <w:r w:rsidRPr="00783B2A">
        <w:rPr>
          <w:color w:val="000000" w:themeColor="text1"/>
        </w:rPr>
        <w:t>%. През предходната година са отчетени 16,3 млн. лева.</w:t>
      </w:r>
    </w:p>
    <w:p w:rsidR="001A38D5" w:rsidRPr="00783B2A" w:rsidRDefault="001A38D5" w:rsidP="001A38D5">
      <w:pPr>
        <w:tabs>
          <w:tab w:val="left" w:pos="993"/>
        </w:tabs>
        <w:ind w:firstLine="567"/>
        <w:jc w:val="both"/>
        <w:rPr>
          <w:color w:val="000000" w:themeColor="text1"/>
        </w:rPr>
      </w:pPr>
      <w:r w:rsidRPr="00783B2A">
        <w:rPr>
          <w:color w:val="000000" w:themeColor="text1"/>
        </w:rPr>
        <w:t>Разпределението по дейности е както следва:</w:t>
      </w:r>
    </w:p>
    <w:p w:rsidR="001A38D5" w:rsidRPr="00783B2A" w:rsidRDefault="001A38D5" w:rsidP="001A38D5">
      <w:pPr>
        <w:ind w:firstLine="720"/>
        <w:contextualSpacing/>
        <w:jc w:val="both"/>
        <w:rPr>
          <w:color w:val="000000" w:themeColor="text1"/>
        </w:rPr>
      </w:pPr>
      <w:r w:rsidRPr="00783B2A">
        <w:rPr>
          <w:color w:val="000000" w:themeColor="text1"/>
        </w:rPr>
        <w:t>- капиталови трансфери по ПРСР – 29,8 млн. лв., 59,1</w:t>
      </w:r>
      <w:r w:rsidRPr="00783B2A">
        <w:rPr>
          <w:color w:val="000000" w:themeColor="text1"/>
          <w:lang w:val="ru-RU"/>
        </w:rPr>
        <w:t xml:space="preserve"> </w:t>
      </w:r>
      <w:r w:rsidRPr="00783B2A">
        <w:rPr>
          <w:color w:val="000000" w:themeColor="text1"/>
        </w:rPr>
        <w:t>% изпълнение на годишния план от 50,4 млн. лева.</w:t>
      </w:r>
    </w:p>
    <w:p w:rsidR="001A38D5" w:rsidRPr="00783B2A" w:rsidRDefault="001A38D5" w:rsidP="001A38D5">
      <w:pPr>
        <w:ind w:firstLine="708"/>
        <w:jc w:val="both"/>
        <w:rPr>
          <w:color w:val="000000" w:themeColor="text1"/>
        </w:rPr>
      </w:pPr>
    </w:p>
    <w:p w:rsidR="001A38D5" w:rsidRPr="00783B2A" w:rsidRDefault="001A38D5" w:rsidP="001A38D5">
      <w:pPr>
        <w:numPr>
          <w:ilvl w:val="0"/>
          <w:numId w:val="17"/>
        </w:numPr>
        <w:spacing w:before="120" w:after="120" w:line="276" w:lineRule="auto"/>
        <w:ind w:left="780"/>
        <w:contextualSpacing/>
        <w:jc w:val="both"/>
        <w:rPr>
          <w:b/>
          <w:color w:val="000000" w:themeColor="text1"/>
          <w:lang w:eastAsia="bg-BG"/>
        </w:rPr>
      </w:pPr>
      <w:r w:rsidRPr="00783B2A">
        <w:rPr>
          <w:b/>
          <w:color w:val="000000" w:themeColor="text1"/>
          <w:lang w:eastAsia="bg-BG"/>
        </w:rPr>
        <w:t xml:space="preserve">Трансфери </w:t>
      </w:r>
    </w:p>
    <w:p w:rsidR="001A38D5" w:rsidRPr="00783B2A" w:rsidRDefault="001A38D5" w:rsidP="001A38D5">
      <w:pPr>
        <w:tabs>
          <w:tab w:val="left" w:pos="540"/>
        </w:tabs>
        <w:ind w:firstLine="567"/>
        <w:contextualSpacing/>
        <w:jc w:val="both"/>
        <w:rPr>
          <w:color w:val="000000" w:themeColor="text1"/>
        </w:rPr>
      </w:pPr>
      <w:r w:rsidRPr="00783B2A">
        <w:rPr>
          <w:color w:val="000000" w:themeColor="text1"/>
        </w:rPr>
        <w:t>В частта на трансферите, в касовия отчет на ДФЗ-РА към 31.12.2025 г. са отразени следните касови потоци:</w:t>
      </w:r>
    </w:p>
    <w:p w:rsidR="001A38D5" w:rsidRPr="00051841" w:rsidRDefault="001A38D5" w:rsidP="001A38D5">
      <w:pPr>
        <w:numPr>
          <w:ilvl w:val="0"/>
          <w:numId w:val="16"/>
        </w:numPr>
        <w:tabs>
          <w:tab w:val="left" w:pos="993"/>
        </w:tabs>
        <w:spacing w:before="120" w:after="120"/>
        <w:ind w:left="1321" w:hanging="612"/>
        <w:jc w:val="both"/>
        <w:rPr>
          <w:b/>
          <w:i/>
          <w:color w:val="000000" w:themeColor="text1"/>
          <w:lang w:eastAsia="bg-BG"/>
        </w:rPr>
      </w:pPr>
      <w:r w:rsidRPr="00051841">
        <w:rPr>
          <w:b/>
          <w:i/>
          <w:color w:val="000000" w:themeColor="text1"/>
          <w:lang w:eastAsia="bg-BG"/>
        </w:rPr>
        <w:t xml:space="preserve">Трансфери между бюджети и сметки за средства от Европейския съюз </w:t>
      </w:r>
    </w:p>
    <w:p w:rsidR="001A38D5" w:rsidRPr="00051841" w:rsidRDefault="001A38D5" w:rsidP="001A38D5">
      <w:pPr>
        <w:ind w:firstLine="567"/>
        <w:jc w:val="both"/>
        <w:rPr>
          <w:color w:val="000000" w:themeColor="text1"/>
        </w:rPr>
      </w:pPr>
      <w:r w:rsidRPr="00051841">
        <w:rPr>
          <w:color w:val="000000" w:themeColor="text1"/>
        </w:rPr>
        <w:t>Предоставените трансфери във връзка с чл.14 от Закона за подпомагане на земеделските производители възлизат на 0,3 млн. лева.</w:t>
      </w:r>
    </w:p>
    <w:p w:rsidR="001A38D5" w:rsidRPr="00051841" w:rsidRDefault="001A38D5" w:rsidP="001A38D5">
      <w:pPr>
        <w:numPr>
          <w:ilvl w:val="0"/>
          <w:numId w:val="16"/>
        </w:numPr>
        <w:tabs>
          <w:tab w:val="left" w:pos="993"/>
        </w:tabs>
        <w:spacing w:before="120" w:after="120"/>
        <w:ind w:left="1321" w:hanging="612"/>
        <w:jc w:val="both"/>
        <w:rPr>
          <w:b/>
          <w:i/>
          <w:color w:val="000000" w:themeColor="text1"/>
          <w:lang w:eastAsia="bg-BG"/>
        </w:rPr>
      </w:pPr>
      <w:r w:rsidRPr="00051841">
        <w:rPr>
          <w:b/>
          <w:i/>
          <w:color w:val="000000" w:themeColor="text1"/>
          <w:lang w:eastAsia="bg-BG"/>
        </w:rPr>
        <w:t>Трансфери между сметки за средства от Европейския съюз:</w:t>
      </w:r>
    </w:p>
    <w:p w:rsidR="001A38D5" w:rsidRPr="00051841" w:rsidRDefault="001A38D5" w:rsidP="001A38D5">
      <w:pPr>
        <w:tabs>
          <w:tab w:val="left" w:pos="540"/>
        </w:tabs>
        <w:ind w:firstLine="567"/>
        <w:jc w:val="both"/>
        <w:rPr>
          <w:color w:val="000000" w:themeColor="text1"/>
        </w:rPr>
      </w:pPr>
      <w:r w:rsidRPr="00051841">
        <w:rPr>
          <w:color w:val="000000" w:themeColor="text1"/>
        </w:rPr>
        <w:t xml:space="preserve">Предоставените трансфери са формирани от изплатените субсидии на публични бенефициенти. Към 31.12.2025 г. са отчетени 424,6 млн. лв., в т.ч.: </w:t>
      </w:r>
    </w:p>
    <w:p w:rsidR="001A38D5" w:rsidRPr="00051841" w:rsidRDefault="001A38D5" w:rsidP="001A38D5">
      <w:pPr>
        <w:numPr>
          <w:ilvl w:val="0"/>
          <w:numId w:val="21"/>
        </w:numPr>
        <w:tabs>
          <w:tab w:val="left" w:pos="540"/>
          <w:tab w:val="left" w:pos="851"/>
        </w:tabs>
        <w:ind w:left="0" w:firstLine="709"/>
        <w:contextualSpacing/>
        <w:jc w:val="both"/>
        <w:rPr>
          <w:color w:val="000000" w:themeColor="text1"/>
        </w:rPr>
      </w:pPr>
      <w:r w:rsidRPr="00051841">
        <w:rPr>
          <w:color w:val="000000" w:themeColor="text1"/>
        </w:rPr>
        <w:t>национално съфинансиране към директни плащания: 0,9 млн. лв.;</w:t>
      </w:r>
    </w:p>
    <w:p w:rsidR="001A38D5" w:rsidRPr="00051841" w:rsidRDefault="001A38D5" w:rsidP="001A38D5">
      <w:pPr>
        <w:numPr>
          <w:ilvl w:val="0"/>
          <w:numId w:val="21"/>
        </w:numPr>
        <w:tabs>
          <w:tab w:val="left" w:pos="540"/>
          <w:tab w:val="left" w:pos="851"/>
        </w:tabs>
        <w:ind w:left="0" w:firstLine="709"/>
        <w:contextualSpacing/>
        <w:jc w:val="both"/>
        <w:rPr>
          <w:color w:val="000000" w:themeColor="text1"/>
        </w:rPr>
      </w:pPr>
      <w:r w:rsidRPr="00051841">
        <w:rPr>
          <w:color w:val="000000" w:themeColor="text1"/>
        </w:rPr>
        <w:t>по Програмата за развитие на селските райони: 409,9 млн. лв.;</w:t>
      </w:r>
    </w:p>
    <w:p w:rsidR="001A38D5" w:rsidRPr="00051841" w:rsidRDefault="001A38D5" w:rsidP="001A38D5">
      <w:pPr>
        <w:numPr>
          <w:ilvl w:val="0"/>
          <w:numId w:val="21"/>
        </w:numPr>
        <w:tabs>
          <w:tab w:val="left" w:pos="540"/>
          <w:tab w:val="left" w:pos="851"/>
        </w:tabs>
        <w:ind w:left="0" w:firstLine="709"/>
        <w:contextualSpacing/>
        <w:jc w:val="both"/>
        <w:rPr>
          <w:color w:val="000000" w:themeColor="text1"/>
        </w:rPr>
      </w:pPr>
      <w:r w:rsidRPr="00051841">
        <w:rPr>
          <w:color w:val="000000" w:themeColor="text1"/>
        </w:rPr>
        <w:t>по Програмата за морско дело и рибарство: 13,7 млн. лв.;</w:t>
      </w:r>
    </w:p>
    <w:p w:rsidR="001A38D5" w:rsidRPr="00051841" w:rsidRDefault="001A38D5" w:rsidP="001A38D5">
      <w:pPr>
        <w:numPr>
          <w:ilvl w:val="0"/>
          <w:numId w:val="21"/>
        </w:numPr>
        <w:tabs>
          <w:tab w:val="left" w:pos="540"/>
          <w:tab w:val="left" w:pos="851"/>
        </w:tabs>
        <w:ind w:left="0" w:firstLine="709"/>
        <w:contextualSpacing/>
        <w:jc w:val="both"/>
        <w:rPr>
          <w:color w:val="000000" w:themeColor="text1"/>
        </w:rPr>
      </w:pPr>
      <w:r w:rsidRPr="00051841">
        <w:rPr>
          <w:color w:val="000000" w:themeColor="text1"/>
        </w:rPr>
        <w:t>пазарни мерки: 0,06 млн. лева.</w:t>
      </w:r>
    </w:p>
    <w:p w:rsidR="001A38D5" w:rsidRPr="00051841" w:rsidRDefault="001A38D5" w:rsidP="001A38D5">
      <w:pPr>
        <w:tabs>
          <w:tab w:val="left" w:pos="540"/>
        </w:tabs>
        <w:ind w:firstLine="567"/>
        <w:jc w:val="both"/>
        <w:rPr>
          <w:color w:val="000000" w:themeColor="text1"/>
        </w:rPr>
      </w:pPr>
      <w:r w:rsidRPr="00051841">
        <w:rPr>
          <w:color w:val="000000" w:themeColor="text1"/>
        </w:rPr>
        <w:t>През 2024 г. предоставените трансфери са възлизали на 211,5 млн. лева.</w:t>
      </w:r>
    </w:p>
    <w:p w:rsidR="001A38D5" w:rsidRPr="00051841" w:rsidRDefault="001A38D5" w:rsidP="001A38D5">
      <w:pPr>
        <w:tabs>
          <w:tab w:val="left" w:pos="540"/>
        </w:tabs>
        <w:jc w:val="both"/>
        <w:rPr>
          <w:color w:val="000000" w:themeColor="text1"/>
        </w:rPr>
      </w:pPr>
    </w:p>
    <w:p w:rsidR="001A38D5" w:rsidRPr="00051841" w:rsidRDefault="001A38D5" w:rsidP="001A38D5">
      <w:pPr>
        <w:numPr>
          <w:ilvl w:val="0"/>
          <w:numId w:val="17"/>
        </w:numPr>
        <w:spacing w:before="120" w:after="120" w:line="276" w:lineRule="auto"/>
        <w:ind w:left="780"/>
        <w:contextualSpacing/>
        <w:jc w:val="both"/>
        <w:rPr>
          <w:b/>
          <w:color w:val="000000" w:themeColor="text1"/>
          <w:lang w:eastAsia="bg-BG"/>
        </w:rPr>
      </w:pPr>
      <w:r w:rsidRPr="00051841">
        <w:rPr>
          <w:b/>
          <w:color w:val="000000" w:themeColor="text1"/>
          <w:lang w:eastAsia="bg-BG"/>
        </w:rPr>
        <w:t>Финансиране</w:t>
      </w:r>
    </w:p>
    <w:p w:rsidR="001A38D5" w:rsidRPr="00F54BB2" w:rsidRDefault="001A38D5" w:rsidP="001A38D5">
      <w:pPr>
        <w:tabs>
          <w:tab w:val="left" w:pos="851"/>
        </w:tabs>
        <w:spacing w:before="120" w:after="120"/>
        <w:ind w:firstLine="426"/>
        <w:jc w:val="both"/>
        <w:rPr>
          <w:b/>
          <w:sz w:val="12"/>
          <w:szCs w:val="12"/>
          <w:lang w:val="en-US" w:eastAsia="bg-BG"/>
        </w:rPr>
      </w:pPr>
    </w:p>
    <w:p w:rsidR="001A38D5" w:rsidRPr="00F54BB2" w:rsidRDefault="001A38D5" w:rsidP="001A38D5">
      <w:pPr>
        <w:numPr>
          <w:ilvl w:val="0"/>
          <w:numId w:val="16"/>
        </w:numPr>
        <w:tabs>
          <w:tab w:val="left" w:pos="993"/>
        </w:tabs>
        <w:spacing w:before="120" w:after="120"/>
        <w:ind w:left="851" w:hanging="425"/>
        <w:jc w:val="both"/>
        <w:rPr>
          <w:b/>
          <w:i/>
          <w:lang w:eastAsia="bg-BG"/>
        </w:rPr>
      </w:pPr>
      <w:r w:rsidRPr="00F54BB2">
        <w:rPr>
          <w:b/>
          <w:i/>
          <w:lang w:eastAsia="bg-BG"/>
        </w:rPr>
        <w:t>Суми по разчети за поети осигурителни вноски и данъци</w:t>
      </w:r>
    </w:p>
    <w:p w:rsidR="001A38D5" w:rsidRPr="00F54BB2" w:rsidRDefault="001A38D5" w:rsidP="001A38D5">
      <w:pPr>
        <w:ind w:firstLine="567"/>
        <w:jc w:val="both"/>
        <w:rPr>
          <w:lang w:eastAsia="bg-BG"/>
        </w:rPr>
      </w:pPr>
      <w:r w:rsidRPr="00F54BB2">
        <w:rPr>
          <w:lang w:eastAsia="bg-BG"/>
        </w:rPr>
        <w:lastRenderedPageBreak/>
        <w:t>През 2025 г. сумата по разчети за поети данъци, формирани от удържан и внесен окончателен данък на физически лица, съгл. чл. 65, ал. 14 от ЗДДФЛ възлиза нето на -0,05</w:t>
      </w:r>
      <w:r w:rsidRPr="00F54BB2">
        <w:rPr>
          <w:lang w:val="ru-RU" w:eastAsia="bg-BG"/>
        </w:rPr>
        <w:t xml:space="preserve"> </w:t>
      </w:r>
      <w:r w:rsidRPr="00F54BB2">
        <w:rPr>
          <w:lang w:eastAsia="bg-BG"/>
        </w:rPr>
        <w:t>млн. лева.</w:t>
      </w:r>
    </w:p>
    <w:p w:rsidR="001A38D5" w:rsidRPr="00384EED" w:rsidRDefault="001A38D5" w:rsidP="001A38D5">
      <w:pPr>
        <w:numPr>
          <w:ilvl w:val="0"/>
          <w:numId w:val="16"/>
        </w:numPr>
        <w:tabs>
          <w:tab w:val="left" w:pos="993"/>
        </w:tabs>
        <w:spacing w:before="120" w:after="120"/>
        <w:ind w:left="851" w:hanging="425"/>
        <w:jc w:val="both"/>
        <w:rPr>
          <w:b/>
          <w:i/>
          <w:lang w:eastAsia="bg-BG"/>
        </w:rPr>
      </w:pPr>
      <w:r w:rsidRPr="00384EED">
        <w:rPr>
          <w:b/>
          <w:i/>
          <w:lang w:eastAsia="bg-BG"/>
        </w:rPr>
        <w:t>Друго финансиране</w:t>
      </w:r>
    </w:p>
    <w:p w:rsidR="001A38D5" w:rsidRPr="00384EED" w:rsidRDefault="001A38D5" w:rsidP="001A38D5">
      <w:pPr>
        <w:ind w:firstLine="567"/>
        <w:jc w:val="both"/>
        <w:rPr>
          <w:lang w:eastAsia="bg-BG"/>
        </w:rPr>
      </w:pPr>
      <w:r w:rsidRPr="00384EED">
        <w:rPr>
          <w:lang w:eastAsia="bg-BG"/>
        </w:rPr>
        <w:t>През 2025 г. извършените плащания, възстановените суми, разчетът с централния бюджет и операциите с чужди средства, включени в отчетността в „Друго финансиране“ възлизат общо на 444,4 млн. лв., при планирани 525,6 млн. лева.</w:t>
      </w:r>
    </w:p>
    <w:p w:rsidR="001A38D5" w:rsidRPr="00384EED" w:rsidRDefault="001A38D5" w:rsidP="001A38D5">
      <w:pPr>
        <w:ind w:firstLine="567"/>
        <w:jc w:val="both"/>
        <w:rPr>
          <w:lang w:eastAsia="bg-BG"/>
        </w:rPr>
      </w:pPr>
      <w:r w:rsidRPr="00384EED">
        <w:rPr>
          <w:lang w:eastAsia="bg-BG"/>
        </w:rPr>
        <w:t>Към 31.12.2025 г. са отчетени плащания в общ размер 1 859,9 млн. лв., представляващи 94</w:t>
      </w:r>
      <w:r w:rsidRPr="00384EED">
        <w:rPr>
          <w:lang w:val="ru-RU" w:eastAsia="bg-BG"/>
        </w:rPr>
        <w:t>,2 </w:t>
      </w:r>
      <w:r w:rsidRPr="00384EED">
        <w:rPr>
          <w:lang w:eastAsia="bg-BG"/>
        </w:rPr>
        <w:t>% от годишните разчети, които са 1 974,1 млн. лв. За 2024 г. плащанията, отчитани като финансиране са били 1 875,7 млн. лева.</w:t>
      </w:r>
    </w:p>
    <w:p w:rsidR="001A38D5" w:rsidRPr="00384EED" w:rsidRDefault="001A38D5" w:rsidP="001A38D5">
      <w:pPr>
        <w:ind w:firstLine="567"/>
        <w:jc w:val="both"/>
        <w:rPr>
          <w:szCs w:val="20"/>
        </w:rPr>
      </w:pPr>
      <w:r w:rsidRPr="00384EED">
        <w:rPr>
          <w:szCs w:val="20"/>
        </w:rPr>
        <w:t>Отчетените плащания са по следните направления:</w:t>
      </w:r>
    </w:p>
    <w:p w:rsidR="001A38D5" w:rsidRPr="00384EED" w:rsidRDefault="001A38D5" w:rsidP="001A38D5">
      <w:pPr>
        <w:numPr>
          <w:ilvl w:val="0"/>
          <w:numId w:val="18"/>
        </w:numPr>
        <w:tabs>
          <w:tab w:val="left" w:pos="993"/>
        </w:tabs>
        <w:ind w:left="0" w:firstLine="709"/>
        <w:jc w:val="both"/>
        <w:rPr>
          <w:szCs w:val="20"/>
        </w:rPr>
      </w:pPr>
      <w:r w:rsidRPr="00384EED">
        <w:rPr>
          <w:szCs w:val="20"/>
          <w:lang w:val="ru-RU"/>
        </w:rPr>
        <w:t>1 595,5</w:t>
      </w:r>
      <w:r w:rsidRPr="00384EED">
        <w:rPr>
          <w:szCs w:val="20"/>
        </w:rPr>
        <w:t xml:space="preserve"> млн. лв. за директни плащания за сметка на ЕФГЗ, представляващи 98</w:t>
      </w:r>
      <w:r w:rsidRPr="00384EED">
        <w:rPr>
          <w:szCs w:val="20"/>
          <w:lang w:val="ru-RU"/>
        </w:rPr>
        <w:t xml:space="preserve">,1 </w:t>
      </w:r>
      <w:r w:rsidRPr="00384EED">
        <w:rPr>
          <w:szCs w:val="20"/>
        </w:rPr>
        <w:t>% от планираните 1 627,1 млн. лв.;</w:t>
      </w:r>
    </w:p>
    <w:p w:rsidR="001A38D5" w:rsidRPr="00384EED" w:rsidRDefault="001A38D5" w:rsidP="001A38D5">
      <w:pPr>
        <w:numPr>
          <w:ilvl w:val="0"/>
          <w:numId w:val="18"/>
        </w:numPr>
        <w:tabs>
          <w:tab w:val="left" w:pos="993"/>
        </w:tabs>
        <w:ind w:left="0" w:firstLine="709"/>
        <w:jc w:val="both"/>
        <w:rPr>
          <w:szCs w:val="20"/>
        </w:rPr>
      </w:pPr>
      <w:r w:rsidRPr="00384EED">
        <w:rPr>
          <w:szCs w:val="20"/>
        </w:rPr>
        <w:t xml:space="preserve">200,8 млн. лв. средства от ЕЗФРСР, прехвърлени към директни плащания, което е </w:t>
      </w:r>
      <w:r w:rsidRPr="00384EED">
        <w:rPr>
          <w:szCs w:val="20"/>
          <w:lang w:val="ru-RU"/>
        </w:rPr>
        <w:t>73,0 </w:t>
      </w:r>
      <w:r w:rsidRPr="00384EED">
        <w:rPr>
          <w:szCs w:val="20"/>
        </w:rPr>
        <w:t>% от планираните  275,1 млн. лв.;</w:t>
      </w:r>
    </w:p>
    <w:p w:rsidR="001A38D5" w:rsidRPr="00384EED" w:rsidRDefault="001A38D5" w:rsidP="001A38D5">
      <w:pPr>
        <w:numPr>
          <w:ilvl w:val="0"/>
          <w:numId w:val="18"/>
        </w:numPr>
        <w:tabs>
          <w:tab w:val="left" w:pos="993"/>
        </w:tabs>
        <w:ind w:left="0" w:firstLine="709"/>
        <w:jc w:val="both"/>
        <w:rPr>
          <w:szCs w:val="20"/>
        </w:rPr>
      </w:pPr>
      <w:r w:rsidRPr="00384EED">
        <w:rPr>
          <w:szCs w:val="20"/>
        </w:rPr>
        <w:t>43,3 млн. лв. за пазарни мерки при разчет за плащания в размер 45,4 млн. лв. изпълнение 95,4</w:t>
      </w:r>
      <w:r w:rsidRPr="00384EED">
        <w:rPr>
          <w:szCs w:val="20"/>
          <w:lang w:val="ru-RU"/>
        </w:rPr>
        <w:t xml:space="preserve"> </w:t>
      </w:r>
      <w:r w:rsidRPr="00384EED">
        <w:rPr>
          <w:szCs w:val="20"/>
        </w:rPr>
        <w:t>%;</w:t>
      </w:r>
    </w:p>
    <w:p w:rsidR="001A38D5" w:rsidRPr="00384EED" w:rsidRDefault="001A38D5" w:rsidP="001A38D5">
      <w:pPr>
        <w:numPr>
          <w:ilvl w:val="0"/>
          <w:numId w:val="18"/>
        </w:numPr>
        <w:tabs>
          <w:tab w:val="left" w:pos="993"/>
        </w:tabs>
        <w:ind w:left="0" w:firstLine="709"/>
        <w:jc w:val="both"/>
        <w:rPr>
          <w:szCs w:val="20"/>
        </w:rPr>
      </w:pPr>
      <w:r w:rsidRPr="00384EED">
        <w:rPr>
          <w:szCs w:val="20"/>
        </w:rPr>
        <w:t>20,3 млн. лв. за преструктуриране, изпълнение 76,6</w:t>
      </w:r>
      <w:r w:rsidRPr="00384EED">
        <w:rPr>
          <w:szCs w:val="20"/>
          <w:lang w:val="ru-RU"/>
        </w:rPr>
        <w:t xml:space="preserve"> </w:t>
      </w:r>
      <w:r w:rsidRPr="00384EED">
        <w:rPr>
          <w:szCs w:val="20"/>
        </w:rPr>
        <w:t>% от планираните плащания в размер 26,5 млн. лв.</w:t>
      </w:r>
    </w:p>
    <w:p w:rsidR="001A38D5" w:rsidRPr="00EB4A4C" w:rsidRDefault="001A38D5" w:rsidP="001A38D5">
      <w:pPr>
        <w:tabs>
          <w:tab w:val="left" w:pos="709"/>
        </w:tabs>
        <w:ind w:firstLine="567"/>
        <w:jc w:val="both"/>
        <w:rPr>
          <w:lang w:eastAsia="bg-BG"/>
        </w:rPr>
      </w:pPr>
      <w:r w:rsidRPr="00C804F6">
        <w:rPr>
          <w:lang w:eastAsia="bg-BG"/>
        </w:rPr>
        <w:t xml:space="preserve">Възстановените суми от Европейския съюз през 2025 г. възлизат общо на </w:t>
      </w:r>
      <w:r w:rsidRPr="00C804F6">
        <w:rPr>
          <w:lang w:val="ru-RU" w:eastAsia="bg-BG"/>
        </w:rPr>
        <w:t>1</w:t>
      </w:r>
      <w:r w:rsidRPr="00C804F6">
        <w:rPr>
          <w:lang w:val="en-US" w:eastAsia="bg-BG"/>
        </w:rPr>
        <w:t> </w:t>
      </w:r>
      <w:r w:rsidRPr="00C804F6">
        <w:rPr>
          <w:lang w:eastAsia="bg-BG"/>
        </w:rPr>
        <w:t>757,</w:t>
      </w:r>
      <w:r>
        <w:rPr>
          <w:lang w:eastAsia="bg-BG"/>
        </w:rPr>
        <w:t>9</w:t>
      </w:r>
      <w:r w:rsidRPr="00C804F6">
        <w:rPr>
          <w:lang w:eastAsia="bg-BG"/>
        </w:rPr>
        <w:t> млн. лв., представляващи 95,5</w:t>
      </w:r>
      <w:r w:rsidRPr="00C804F6">
        <w:rPr>
          <w:lang w:val="ru-RU" w:eastAsia="bg-BG"/>
        </w:rPr>
        <w:t xml:space="preserve"> </w:t>
      </w:r>
      <w:r w:rsidRPr="00C804F6">
        <w:rPr>
          <w:lang w:eastAsia="bg-BG"/>
        </w:rPr>
        <w:t>% от планираните 1 841,</w:t>
      </w:r>
      <w:r w:rsidRPr="00C804F6">
        <w:rPr>
          <w:lang w:val="ru-RU" w:eastAsia="bg-BG"/>
        </w:rPr>
        <w:t>2</w:t>
      </w:r>
      <w:r w:rsidRPr="00C804F6">
        <w:rPr>
          <w:lang w:eastAsia="bg-BG"/>
        </w:rPr>
        <w:t xml:space="preserve"> млн. лева. Отчетеното изпълнение за 2024 г. е </w:t>
      </w:r>
      <w:r w:rsidRPr="00EB4A4C">
        <w:rPr>
          <w:lang w:eastAsia="bg-BG"/>
        </w:rPr>
        <w:t>1 710,3 млн. лева.</w:t>
      </w:r>
    </w:p>
    <w:p w:rsidR="001A38D5" w:rsidRPr="00EB4A4C" w:rsidRDefault="001A38D5" w:rsidP="001A38D5">
      <w:pPr>
        <w:tabs>
          <w:tab w:val="left" w:pos="709"/>
        </w:tabs>
        <w:ind w:firstLine="567"/>
        <w:jc w:val="both"/>
        <w:rPr>
          <w:lang w:eastAsia="bg-BG"/>
        </w:rPr>
      </w:pPr>
      <w:r w:rsidRPr="00EB4A4C">
        <w:rPr>
          <w:lang w:eastAsia="bg-BG"/>
        </w:rPr>
        <w:t>Възстановени са суми по следните направления:</w:t>
      </w:r>
    </w:p>
    <w:p w:rsidR="001A38D5" w:rsidRPr="00EB4A4C" w:rsidRDefault="001A38D5" w:rsidP="001A38D5">
      <w:pPr>
        <w:numPr>
          <w:ilvl w:val="0"/>
          <w:numId w:val="18"/>
        </w:numPr>
        <w:tabs>
          <w:tab w:val="left" w:pos="993"/>
        </w:tabs>
        <w:ind w:left="0" w:firstLine="709"/>
        <w:jc w:val="both"/>
        <w:rPr>
          <w:lang w:eastAsia="bg-BG"/>
        </w:rPr>
      </w:pPr>
      <w:r w:rsidRPr="00EB4A4C">
        <w:rPr>
          <w:lang w:val="ru-RU" w:eastAsia="bg-BG"/>
        </w:rPr>
        <w:t>1</w:t>
      </w:r>
      <w:r w:rsidRPr="00EB4A4C">
        <w:rPr>
          <w:lang w:val="en-US" w:eastAsia="bg-BG"/>
        </w:rPr>
        <w:t> </w:t>
      </w:r>
      <w:r w:rsidRPr="00EB4A4C">
        <w:rPr>
          <w:lang w:eastAsia="bg-BG"/>
        </w:rPr>
        <w:t>575,</w:t>
      </w:r>
      <w:r w:rsidRPr="00EB4A4C">
        <w:rPr>
          <w:lang w:val="ru-RU" w:eastAsia="bg-BG"/>
        </w:rPr>
        <w:t>8</w:t>
      </w:r>
      <w:r w:rsidRPr="00EB4A4C">
        <w:rPr>
          <w:lang w:eastAsia="bg-BG"/>
        </w:rPr>
        <w:t xml:space="preserve"> млн. лв. за директни плащания от ЕФГЗ, 97,2</w:t>
      </w:r>
      <w:r w:rsidRPr="00EB4A4C">
        <w:rPr>
          <w:lang w:val="ru-RU" w:eastAsia="bg-BG"/>
        </w:rPr>
        <w:t xml:space="preserve"> </w:t>
      </w:r>
      <w:r w:rsidRPr="00EB4A4C">
        <w:rPr>
          <w:lang w:eastAsia="bg-BG"/>
        </w:rPr>
        <w:t>% от планираните 1 621</w:t>
      </w:r>
      <w:r w:rsidRPr="00EB4A4C">
        <w:rPr>
          <w:lang w:val="ru-RU" w:eastAsia="bg-BG"/>
        </w:rPr>
        <w:t>,1</w:t>
      </w:r>
      <w:r w:rsidRPr="00EB4A4C">
        <w:rPr>
          <w:lang w:eastAsia="bg-BG"/>
        </w:rPr>
        <w:t xml:space="preserve"> млн. лв.;</w:t>
      </w:r>
    </w:p>
    <w:p w:rsidR="001A38D5" w:rsidRPr="00EB4A4C" w:rsidRDefault="001A38D5" w:rsidP="001A38D5">
      <w:pPr>
        <w:numPr>
          <w:ilvl w:val="0"/>
          <w:numId w:val="18"/>
        </w:numPr>
        <w:tabs>
          <w:tab w:val="left" w:pos="709"/>
          <w:tab w:val="left" w:pos="993"/>
        </w:tabs>
        <w:ind w:left="0" w:firstLine="709"/>
        <w:jc w:val="both"/>
        <w:rPr>
          <w:lang w:eastAsia="bg-BG"/>
        </w:rPr>
      </w:pPr>
      <w:r w:rsidRPr="00EB4A4C">
        <w:rPr>
          <w:lang w:val="ru-RU" w:eastAsia="bg-BG"/>
        </w:rPr>
        <w:t>1</w:t>
      </w:r>
      <w:r w:rsidRPr="00EB4A4C">
        <w:rPr>
          <w:lang w:eastAsia="bg-BG"/>
        </w:rPr>
        <w:t>26,3 млн. лв. от ЕЗФРСР, прехвърлени към директни плащания – 86,5</w:t>
      </w:r>
      <w:r w:rsidRPr="00EB4A4C">
        <w:rPr>
          <w:lang w:val="ru-RU" w:eastAsia="bg-BG"/>
        </w:rPr>
        <w:t xml:space="preserve"> </w:t>
      </w:r>
      <w:r w:rsidRPr="00EB4A4C">
        <w:rPr>
          <w:lang w:eastAsia="bg-BG"/>
        </w:rPr>
        <w:t>% от заложените 146,0 млн. лв.;</w:t>
      </w:r>
    </w:p>
    <w:p w:rsidR="001A38D5" w:rsidRPr="00EB4A4C" w:rsidRDefault="001A38D5" w:rsidP="001A38D5">
      <w:pPr>
        <w:numPr>
          <w:ilvl w:val="0"/>
          <w:numId w:val="18"/>
        </w:numPr>
        <w:tabs>
          <w:tab w:val="left" w:pos="709"/>
          <w:tab w:val="left" w:pos="993"/>
        </w:tabs>
        <w:ind w:left="0" w:firstLine="709"/>
        <w:jc w:val="both"/>
        <w:rPr>
          <w:lang w:eastAsia="bg-BG"/>
        </w:rPr>
      </w:pPr>
      <w:r w:rsidRPr="00EB4A4C">
        <w:rPr>
          <w:lang w:eastAsia="bg-BG"/>
        </w:rPr>
        <w:t>37,2 млн. лв. за пазарни мерки от ЕФГЗ при планирани 47,9 млн. лв., степен на изпълнение: 77,7</w:t>
      </w:r>
      <w:r w:rsidRPr="00EB4A4C">
        <w:rPr>
          <w:lang w:val="ru-RU" w:eastAsia="bg-BG"/>
        </w:rPr>
        <w:t xml:space="preserve"> </w:t>
      </w:r>
      <w:r w:rsidRPr="00EB4A4C">
        <w:rPr>
          <w:lang w:eastAsia="bg-BG"/>
        </w:rPr>
        <w:t>%;</w:t>
      </w:r>
    </w:p>
    <w:p w:rsidR="001A38D5" w:rsidRDefault="001A38D5" w:rsidP="001A38D5">
      <w:pPr>
        <w:numPr>
          <w:ilvl w:val="0"/>
          <w:numId w:val="18"/>
        </w:numPr>
        <w:tabs>
          <w:tab w:val="left" w:pos="709"/>
          <w:tab w:val="left" w:pos="993"/>
        </w:tabs>
        <w:ind w:left="0" w:firstLine="709"/>
        <w:jc w:val="both"/>
        <w:rPr>
          <w:lang w:eastAsia="bg-BG"/>
        </w:rPr>
      </w:pPr>
      <w:r w:rsidRPr="00EB4A4C">
        <w:rPr>
          <w:lang w:eastAsia="bg-BG"/>
        </w:rPr>
        <w:t>18,5 млн. лв. за преструктуриране от ЕФГЗ при планирани 26,1 млн. лв., изпълнение на плана 70,9</w:t>
      </w:r>
      <w:r w:rsidRPr="00EB4A4C">
        <w:rPr>
          <w:lang w:val="ru-RU" w:eastAsia="bg-BG"/>
        </w:rPr>
        <w:t xml:space="preserve"> </w:t>
      </w:r>
      <w:r w:rsidRPr="00EB4A4C">
        <w:rPr>
          <w:lang w:eastAsia="bg-BG"/>
        </w:rPr>
        <w:t>%.</w:t>
      </w:r>
    </w:p>
    <w:p w:rsidR="001A38D5" w:rsidRPr="004E3A34" w:rsidRDefault="001A38D5" w:rsidP="001A38D5">
      <w:pPr>
        <w:ind w:firstLine="567"/>
        <w:rPr>
          <w:lang w:eastAsia="bg-BG"/>
        </w:rPr>
      </w:pPr>
      <w:r w:rsidRPr="004E3A34">
        <w:rPr>
          <w:lang w:eastAsia="bg-BG"/>
        </w:rPr>
        <w:t>Операциите с чужди средства към 31.12.2025</w:t>
      </w:r>
      <w:r>
        <w:rPr>
          <w:lang w:eastAsia="bg-BG"/>
        </w:rPr>
        <w:t xml:space="preserve"> </w:t>
      </w:r>
      <w:r w:rsidRPr="004E3A34">
        <w:rPr>
          <w:lang w:eastAsia="bg-BG"/>
        </w:rPr>
        <w:t>г. възлизат (нето) на 0,1 млн.</w:t>
      </w:r>
      <w:r>
        <w:rPr>
          <w:lang w:eastAsia="bg-BG"/>
        </w:rPr>
        <w:t xml:space="preserve"> </w:t>
      </w:r>
      <w:r w:rsidRPr="004E3A34">
        <w:rPr>
          <w:lang w:eastAsia="bg-BG"/>
        </w:rPr>
        <w:t>л</w:t>
      </w:r>
      <w:r>
        <w:rPr>
          <w:lang w:eastAsia="bg-BG"/>
        </w:rPr>
        <w:t>е</w:t>
      </w:r>
      <w:r w:rsidRPr="004E3A34">
        <w:rPr>
          <w:lang w:eastAsia="bg-BG"/>
        </w:rPr>
        <w:t>в</w:t>
      </w:r>
      <w:r>
        <w:rPr>
          <w:lang w:eastAsia="bg-BG"/>
        </w:rPr>
        <w:t>а</w:t>
      </w:r>
      <w:r w:rsidRPr="004E3A34">
        <w:rPr>
          <w:lang w:eastAsia="bg-BG"/>
        </w:rPr>
        <w:t>.</w:t>
      </w:r>
    </w:p>
    <w:p w:rsidR="001A38D5" w:rsidRPr="00C804F6" w:rsidRDefault="001A38D5" w:rsidP="001A38D5">
      <w:pPr>
        <w:tabs>
          <w:tab w:val="left" w:pos="709"/>
        </w:tabs>
        <w:spacing w:after="120"/>
        <w:ind w:firstLine="567"/>
        <w:contextualSpacing/>
        <w:jc w:val="both"/>
      </w:pPr>
      <w:r w:rsidRPr="00C804F6">
        <w:rPr>
          <w:lang w:eastAsia="bg-BG"/>
        </w:rPr>
        <w:t xml:space="preserve">Предоставените суми (нето) </w:t>
      </w:r>
      <w:r w:rsidRPr="00C804F6">
        <w:t>по разчети с ЦБ за финансиране на плащания при недостиг на средства по сметки</w:t>
      </w:r>
      <w:r w:rsidRPr="00C804F6">
        <w:rPr>
          <w:lang w:eastAsia="bg-BG"/>
        </w:rPr>
        <w:t xml:space="preserve"> към 31.12.2025 г. възлизат на 546,4 млн. лв., при планирани 658,5 млн. лева.</w:t>
      </w:r>
    </w:p>
    <w:p w:rsidR="003C48A1" w:rsidRPr="00C25B8B" w:rsidRDefault="003C48A1" w:rsidP="003C48A1">
      <w:pPr>
        <w:tabs>
          <w:tab w:val="left" w:pos="540"/>
        </w:tabs>
        <w:spacing w:before="120"/>
        <w:ind w:firstLine="567"/>
        <w:jc w:val="both"/>
        <w:rPr>
          <w:color w:val="0070C0"/>
        </w:rPr>
      </w:pPr>
      <w:r w:rsidRPr="00C25B8B">
        <w:rPr>
          <w:color w:val="0070C0"/>
          <w:lang w:eastAsia="bg-BG"/>
        </w:rPr>
        <w:tab/>
      </w:r>
    </w:p>
    <w:p w:rsidR="003C48A1" w:rsidRPr="009013FC" w:rsidRDefault="003C48A1" w:rsidP="003C48A1">
      <w:pPr>
        <w:pStyle w:val="Heading1"/>
        <w:numPr>
          <w:ilvl w:val="1"/>
          <w:numId w:val="8"/>
        </w:numPr>
        <w:spacing w:after="120"/>
        <w:ind w:left="792" w:right="-115" w:hanging="432"/>
        <w:jc w:val="both"/>
        <w:rPr>
          <w:sz w:val="24"/>
        </w:rPr>
      </w:pPr>
      <w:bookmarkStart w:id="103" w:name="_Toc83045529"/>
      <w:r w:rsidRPr="009013FC">
        <w:rPr>
          <w:sz w:val="24"/>
        </w:rPr>
        <w:t>Сметка за средствата от Европейския съюз на Национален фонд към Министерство на финансите</w:t>
      </w:r>
      <w:bookmarkEnd w:id="103"/>
    </w:p>
    <w:p w:rsidR="009013FC" w:rsidRPr="0095103A" w:rsidRDefault="009013FC" w:rsidP="009013FC">
      <w:pPr>
        <w:ind w:firstLine="686"/>
        <w:jc w:val="both"/>
        <w:rPr>
          <w:bCs/>
        </w:rPr>
      </w:pPr>
      <w:r w:rsidRPr="0095103A">
        <w:rPr>
          <w:bCs/>
        </w:rPr>
        <w:t xml:space="preserve">По сметките на НФ </w:t>
      </w:r>
      <w:r>
        <w:rPr>
          <w:bCs/>
        </w:rPr>
        <w:t xml:space="preserve"> през </w:t>
      </w:r>
      <w:r w:rsidRPr="0095103A">
        <w:rPr>
          <w:bCs/>
        </w:rPr>
        <w:t xml:space="preserve">2025 г. са постъпили приходи (нето) в размер на </w:t>
      </w:r>
      <w:r w:rsidRPr="004E3A34">
        <w:rPr>
          <w:bCs/>
          <w:lang w:val="ru-RU"/>
        </w:rPr>
        <w:t>5</w:t>
      </w:r>
      <w:r>
        <w:rPr>
          <w:bCs/>
        </w:rPr>
        <w:t> </w:t>
      </w:r>
      <w:r w:rsidRPr="0095103A">
        <w:rPr>
          <w:bCs/>
        </w:rPr>
        <w:t>0</w:t>
      </w:r>
      <w:r w:rsidRPr="004E3A34">
        <w:rPr>
          <w:bCs/>
          <w:lang w:val="ru-RU"/>
        </w:rPr>
        <w:t>25</w:t>
      </w:r>
      <w:r>
        <w:rPr>
          <w:bCs/>
        </w:rPr>
        <w:t>,</w:t>
      </w:r>
      <w:r w:rsidRPr="004E3A34">
        <w:rPr>
          <w:bCs/>
          <w:lang w:val="ru-RU"/>
        </w:rPr>
        <w:t xml:space="preserve">3 </w:t>
      </w:r>
      <w:r w:rsidRPr="0095103A">
        <w:rPr>
          <w:bCs/>
        </w:rPr>
        <w:t xml:space="preserve">млн. лева по програмите, съфинансирани от Европейския фонд за регионално развитие, </w:t>
      </w:r>
      <w:r>
        <w:rPr>
          <w:bCs/>
        </w:rPr>
        <w:t xml:space="preserve">Кохезионния фонд, </w:t>
      </w:r>
      <w:r w:rsidRPr="0095103A">
        <w:rPr>
          <w:bCs/>
        </w:rPr>
        <w:t xml:space="preserve">Европейския социален фонд+, </w:t>
      </w:r>
      <w:r>
        <w:rPr>
          <w:bCs/>
        </w:rPr>
        <w:t xml:space="preserve">Механизма за възстановяване и устойчивост, </w:t>
      </w:r>
      <w:r w:rsidRPr="0095103A">
        <w:rPr>
          <w:bCs/>
        </w:rPr>
        <w:t>ФМ на ЕИП 2014–2021 г., НФМ 2014–2021 г. и Швейцарско-българската програма за сътрудничество (ШБПС), като в тази сума са включени и отразените (нето) в отчетността на НФ операции по постъпването по банковите бюджетни сметки на Министерство на регионалното развитие и благоустройството (МРРБ) на чуждото финансиране по двустранните програми за трансгранично сътрудничество по външните граници на EС (ПТСВГ) и изплатените средства от получения ресурс към бенефициенти извън страната.</w:t>
      </w:r>
    </w:p>
    <w:p w:rsidR="009013FC" w:rsidRPr="00142B7D" w:rsidRDefault="009013FC" w:rsidP="009013FC">
      <w:pPr>
        <w:ind w:firstLine="686"/>
        <w:jc w:val="both"/>
        <w:rPr>
          <w:bCs/>
        </w:rPr>
      </w:pPr>
      <w:r w:rsidRPr="00142B7D">
        <w:rPr>
          <w:bCs/>
        </w:rPr>
        <w:t xml:space="preserve">Извършените разходи (нето) за периода с натрупване чрез сметките на НФ възлизат на </w:t>
      </w:r>
      <w:r>
        <w:rPr>
          <w:bCs/>
        </w:rPr>
        <w:t>1 614,2</w:t>
      </w:r>
      <w:r w:rsidRPr="00142B7D">
        <w:rPr>
          <w:bCs/>
        </w:rPr>
        <w:t xml:space="preserve"> млн. лева. По видове разходи изпълнението е както следва: 8</w:t>
      </w:r>
      <w:r w:rsidRPr="004E3A34">
        <w:rPr>
          <w:bCs/>
          <w:lang w:val="ru-RU"/>
        </w:rPr>
        <w:t>8</w:t>
      </w:r>
      <w:r w:rsidRPr="00142B7D">
        <w:rPr>
          <w:bCs/>
        </w:rPr>
        <w:t>,</w:t>
      </w:r>
      <w:r w:rsidRPr="004E3A34">
        <w:rPr>
          <w:bCs/>
          <w:lang w:val="ru-RU"/>
        </w:rPr>
        <w:t>3</w:t>
      </w:r>
      <w:r w:rsidRPr="00142B7D">
        <w:rPr>
          <w:bCs/>
        </w:rPr>
        <w:t>4</w:t>
      </w:r>
      <w:r>
        <w:rPr>
          <w:bCs/>
        </w:rPr>
        <w:t xml:space="preserve"> </w:t>
      </w:r>
      <w:r w:rsidRPr="00142B7D">
        <w:rPr>
          <w:bCs/>
        </w:rPr>
        <w:t xml:space="preserve">% от общата стойност са капиталови трансфери, </w:t>
      </w:r>
      <w:r w:rsidRPr="004E3A34">
        <w:rPr>
          <w:bCs/>
          <w:lang w:val="ru-RU"/>
        </w:rPr>
        <w:t>1</w:t>
      </w:r>
      <w:r w:rsidRPr="00142B7D">
        <w:rPr>
          <w:bCs/>
        </w:rPr>
        <w:t>0,</w:t>
      </w:r>
      <w:r w:rsidRPr="004E3A34">
        <w:rPr>
          <w:bCs/>
          <w:lang w:val="ru-RU"/>
        </w:rPr>
        <w:t>65</w:t>
      </w:r>
      <w:r>
        <w:rPr>
          <w:bCs/>
          <w:lang w:val="ru-RU"/>
        </w:rPr>
        <w:t xml:space="preserve"> </w:t>
      </w:r>
      <w:r w:rsidRPr="00142B7D">
        <w:rPr>
          <w:bCs/>
        </w:rPr>
        <w:t>% са субсидии и 1,</w:t>
      </w:r>
      <w:r w:rsidRPr="004E3A34">
        <w:rPr>
          <w:bCs/>
          <w:lang w:val="ru-RU"/>
        </w:rPr>
        <w:t>01</w:t>
      </w:r>
      <w:r>
        <w:rPr>
          <w:bCs/>
          <w:lang w:val="ru-RU"/>
        </w:rPr>
        <w:t xml:space="preserve"> </w:t>
      </w:r>
      <w:r w:rsidRPr="00142B7D">
        <w:rPr>
          <w:bCs/>
        </w:rPr>
        <w:t>% предоставени текущи, капиталови трансфери за чужбина и 0</w:t>
      </w:r>
      <w:r>
        <w:rPr>
          <w:bCs/>
        </w:rPr>
        <w:t>,</w:t>
      </w:r>
      <w:r w:rsidRPr="00142B7D">
        <w:rPr>
          <w:bCs/>
        </w:rPr>
        <w:t>0001</w:t>
      </w:r>
      <w:r>
        <w:rPr>
          <w:bCs/>
        </w:rPr>
        <w:t xml:space="preserve"> </w:t>
      </w:r>
      <w:r w:rsidRPr="00142B7D">
        <w:rPr>
          <w:bCs/>
        </w:rPr>
        <w:t>% - издръжка.</w:t>
      </w:r>
    </w:p>
    <w:p w:rsidR="009013FC" w:rsidRPr="00C1276D" w:rsidRDefault="009013FC" w:rsidP="009013FC">
      <w:pPr>
        <w:ind w:firstLine="686"/>
        <w:jc w:val="both"/>
        <w:rPr>
          <w:bCs/>
        </w:rPr>
      </w:pPr>
      <w:r w:rsidRPr="00C1276D">
        <w:rPr>
          <w:bCs/>
        </w:rPr>
        <w:t xml:space="preserve">Трансферите (нето), временните безлихвени заеми (нето) и временна възмездна финансова помощ за разглеждания период са на стойност </w:t>
      </w:r>
      <w:r w:rsidRPr="004E3A34">
        <w:rPr>
          <w:bCs/>
          <w:lang w:val="ru-RU"/>
        </w:rPr>
        <w:t>3</w:t>
      </w:r>
      <w:r>
        <w:rPr>
          <w:bCs/>
        </w:rPr>
        <w:t> </w:t>
      </w:r>
      <w:r w:rsidRPr="004E3A34">
        <w:rPr>
          <w:bCs/>
          <w:lang w:val="ru-RU"/>
        </w:rPr>
        <w:t>822</w:t>
      </w:r>
      <w:r w:rsidRPr="00547175">
        <w:rPr>
          <w:bCs/>
          <w:lang w:val="ru-RU"/>
        </w:rPr>
        <w:t>.</w:t>
      </w:r>
      <w:r w:rsidRPr="004E3A34">
        <w:rPr>
          <w:bCs/>
          <w:lang w:val="ru-RU"/>
        </w:rPr>
        <w:t>5</w:t>
      </w:r>
      <w:r w:rsidRPr="00C1276D">
        <w:rPr>
          <w:bCs/>
        </w:rPr>
        <w:t xml:space="preserve"> млн. лв. (включват предоставените трансфери към бенефициенти по Оперативните програми (ОП) на ЕС - програмен период 2014 – 2020 г. и програмен период 2021 – 2027 г., ПТСВГ за периода 2014 – 2020 г. и програмен период </w:t>
      </w:r>
      <w:r w:rsidRPr="00C1276D">
        <w:rPr>
          <w:bCs/>
        </w:rPr>
        <w:lastRenderedPageBreak/>
        <w:t>2021 – 2027 г., Националния план за възстановяване и устойчивост (НПВУ), ФМ на ЕИП 2014–2021 г., НФМ 2014–2021 г. и ШБПС, авансово плащане по Социалния план за климата, както и възстановени трансфери от бенефициенти</w:t>
      </w:r>
      <w:r w:rsidRPr="00547175">
        <w:rPr>
          <w:bCs/>
          <w:lang w:val="ru-RU"/>
        </w:rPr>
        <w:t xml:space="preserve"> </w:t>
      </w:r>
      <w:r>
        <w:rPr>
          <w:bCs/>
          <w:lang w:val="ru-RU"/>
        </w:rPr>
        <w:t>–</w:t>
      </w:r>
      <w:r w:rsidRPr="00547175">
        <w:rPr>
          <w:bCs/>
          <w:lang w:val="ru-RU"/>
        </w:rPr>
        <w:t xml:space="preserve"> </w:t>
      </w:r>
      <w:r w:rsidRPr="00C1276D">
        <w:rPr>
          <w:bCs/>
        </w:rPr>
        <w:t>бюджетни организации за неусвоени суми по приключили проекти, за недопустими разходи или други надплащания. В консолидираната отчетност на НФ са отразени и трансфери (нето) към бенефициенти – бюджетни организации, които са за сметка на средства, предоставени от държавите-партньори по ПТСВГ.</w:t>
      </w:r>
    </w:p>
    <w:p w:rsidR="009013FC" w:rsidRPr="004E3A34" w:rsidRDefault="009013FC" w:rsidP="009013FC">
      <w:pPr>
        <w:ind w:firstLine="686"/>
        <w:jc w:val="both"/>
        <w:rPr>
          <w:bCs/>
          <w:color w:val="0070C0"/>
          <w:lang w:val="ru-RU"/>
        </w:rPr>
      </w:pPr>
      <w:r w:rsidRPr="00FC0F2A">
        <w:rPr>
          <w:bCs/>
        </w:rPr>
        <w:t xml:space="preserve">Във връзка с изпълнение на програмите и проектите по програмен период 2014 – 2020 г., 2021 – 2027 г., ФМ на ЕИП и НФМ, НПВУ и ШБПС по сметките на НФ са получени трансфери от централния бюджет на стойност </w:t>
      </w:r>
      <w:r w:rsidRPr="004E3A34">
        <w:rPr>
          <w:bCs/>
          <w:lang w:val="ru-RU"/>
        </w:rPr>
        <w:t>75</w:t>
      </w:r>
      <w:r w:rsidRPr="00FC0F2A">
        <w:rPr>
          <w:bCs/>
        </w:rPr>
        <w:t>7</w:t>
      </w:r>
      <w:r>
        <w:rPr>
          <w:bCs/>
        </w:rPr>
        <w:t>,</w:t>
      </w:r>
      <w:r w:rsidRPr="004E3A34">
        <w:rPr>
          <w:bCs/>
          <w:lang w:val="ru-RU"/>
        </w:rPr>
        <w:t>5</w:t>
      </w:r>
      <w:r w:rsidRPr="00FC0F2A">
        <w:rPr>
          <w:bCs/>
        </w:rPr>
        <w:t xml:space="preserve"> млн. лева.</w:t>
      </w:r>
      <w:r w:rsidRPr="004E3A34">
        <w:rPr>
          <w:bCs/>
          <w:lang w:val="ru-RU"/>
        </w:rPr>
        <w:t xml:space="preserve"> </w:t>
      </w:r>
      <w:r w:rsidRPr="00FC0F2A">
        <w:t xml:space="preserve"> С актуализиране на годишните разчети на сметката за средства от Европейския съюз на Националния фонд за 2025 г. </w:t>
      </w:r>
      <w:r>
        <w:t xml:space="preserve">е променен </w:t>
      </w:r>
      <w:r w:rsidRPr="00FD249C">
        <w:t xml:space="preserve">разчетът на трансферите с централния бюджет </w:t>
      </w:r>
      <w:r>
        <w:t xml:space="preserve">като е </w:t>
      </w:r>
      <w:r w:rsidRPr="00FC0F2A">
        <w:t>отразена очаквана</w:t>
      </w:r>
      <w:r>
        <w:t>та</w:t>
      </w:r>
      <w:r w:rsidRPr="00FC0F2A">
        <w:t xml:space="preserve"> сума </w:t>
      </w:r>
      <w:r>
        <w:t>на</w:t>
      </w:r>
      <w:r w:rsidRPr="00FC0F2A">
        <w:t xml:space="preserve"> неусвоени</w:t>
      </w:r>
      <w:r>
        <w:t>те</w:t>
      </w:r>
      <w:r w:rsidRPr="00FC0F2A">
        <w:t xml:space="preserve"> трансфери от централния бюджет, планирани </w:t>
      </w:r>
      <w:r w:rsidRPr="00B438A0">
        <w:t>за 2025 г.</w:t>
      </w:r>
      <w:r>
        <w:t>,</w:t>
      </w:r>
      <w:r w:rsidRPr="00B438A0">
        <w:t xml:space="preserve"> и възстановяване на неусвоени</w:t>
      </w:r>
      <w:r>
        <w:t>те</w:t>
      </w:r>
      <w:r w:rsidRPr="00B438A0">
        <w:t xml:space="preserve"> трансфери от минали години</w:t>
      </w:r>
      <w:r>
        <w:t xml:space="preserve"> в размер на 2 000 000 хил. лева</w:t>
      </w:r>
      <w:r w:rsidRPr="00B438A0">
        <w:t>.</w:t>
      </w:r>
    </w:p>
    <w:p w:rsidR="009013FC" w:rsidRPr="001253B7" w:rsidRDefault="009013FC" w:rsidP="009013FC">
      <w:pPr>
        <w:ind w:firstLine="686"/>
        <w:jc w:val="both"/>
        <w:rPr>
          <w:bCs/>
        </w:rPr>
      </w:pPr>
      <w:r w:rsidRPr="001253B7">
        <w:rPr>
          <w:bCs/>
        </w:rPr>
        <w:t>Общата сума от други приходи (корективи за касови постъпления, отчетени за дължими суми от бенефициенти), отчетени по сметката за средства от ЕС на НФ, са в размер на 0</w:t>
      </w:r>
      <w:r>
        <w:rPr>
          <w:bCs/>
        </w:rPr>
        <w:t>,</w:t>
      </w:r>
      <w:r w:rsidRPr="001253B7">
        <w:rPr>
          <w:bCs/>
        </w:rPr>
        <w:t>4 млн.</w:t>
      </w:r>
      <w:r>
        <w:rPr>
          <w:bCs/>
        </w:rPr>
        <w:t> </w:t>
      </w:r>
      <w:r w:rsidRPr="001253B7">
        <w:rPr>
          <w:bCs/>
        </w:rPr>
        <w:t>лева.</w:t>
      </w:r>
    </w:p>
    <w:p w:rsidR="009013FC" w:rsidRPr="00D8473E" w:rsidRDefault="009013FC" w:rsidP="009013FC">
      <w:pPr>
        <w:spacing w:before="120"/>
        <w:ind w:firstLine="686"/>
        <w:jc w:val="both"/>
        <w:rPr>
          <w:b/>
          <w:bCs/>
        </w:rPr>
      </w:pPr>
      <w:r w:rsidRPr="00D8473E">
        <w:rPr>
          <w:b/>
          <w:bCs/>
        </w:rPr>
        <w:t>Структурни и Кохезионен фондове (СКФ) 2007 – 2013 г.</w:t>
      </w:r>
    </w:p>
    <w:p w:rsidR="009013FC" w:rsidRPr="00D8473E" w:rsidRDefault="009013FC" w:rsidP="009013FC">
      <w:pPr>
        <w:spacing w:before="120"/>
        <w:ind w:firstLine="686"/>
        <w:jc w:val="both"/>
      </w:pPr>
      <w:r w:rsidRPr="00D8473E">
        <w:rPr>
          <w:bCs/>
        </w:rPr>
        <w:t>През отчетния период са отчетени (нето) възстановени суми от бенефициенти на стойност на 14</w:t>
      </w:r>
      <w:r>
        <w:rPr>
          <w:bCs/>
        </w:rPr>
        <w:t>,</w:t>
      </w:r>
      <w:r w:rsidRPr="00D8473E">
        <w:rPr>
          <w:bCs/>
        </w:rPr>
        <w:t>5 млн. л</w:t>
      </w:r>
      <w:r>
        <w:rPr>
          <w:bCs/>
        </w:rPr>
        <w:t>е</w:t>
      </w:r>
      <w:r w:rsidRPr="00D8473E">
        <w:rPr>
          <w:bCs/>
        </w:rPr>
        <w:t>в</w:t>
      </w:r>
      <w:r>
        <w:rPr>
          <w:bCs/>
        </w:rPr>
        <w:t>а</w:t>
      </w:r>
      <w:r w:rsidRPr="00D8473E">
        <w:rPr>
          <w:bCs/>
        </w:rPr>
        <w:t>.</w:t>
      </w:r>
    </w:p>
    <w:p w:rsidR="009013FC" w:rsidRPr="00923B3B" w:rsidRDefault="009013FC" w:rsidP="009013FC">
      <w:pPr>
        <w:spacing w:before="120"/>
        <w:ind w:firstLine="686"/>
        <w:jc w:val="both"/>
        <w:rPr>
          <w:b/>
          <w:bCs/>
        </w:rPr>
      </w:pPr>
      <w:r w:rsidRPr="00F5126E">
        <w:rPr>
          <w:bCs/>
          <w:color w:val="0070C0"/>
        </w:rPr>
        <w:t xml:space="preserve"> </w:t>
      </w:r>
      <w:r w:rsidRPr="00923B3B">
        <w:rPr>
          <w:b/>
          <w:bCs/>
        </w:rPr>
        <w:t>Европейски фонд за регионално развитие, Европейски социален фонд (включително Инициативата за младежка заетост), Кохезионния фонд и ФЕПНЛ на Европейския съюз за финансова рамка 2014 – 2020 г.</w:t>
      </w:r>
    </w:p>
    <w:p w:rsidR="009013FC" w:rsidRPr="00923B3B" w:rsidRDefault="009013FC" w:rsidP="009013FC">
      <w:pPr>
        <w:spacing w:before="120"/>
        <w:ind w:left="720"/>
        <w:jc w:val="both"/>
        <w:rPr>
          <w:bCs/>
        </w:rPr>
      </w:pPr>
      <w:r w:rsidRPr="00923B3B">
        <w:rPr>
          <w:bCs/>
        </w:rPr>
        <w:t>През отчетния период получени</w:t>
      </w:r>
      <w:r>
        <w:rPr>
          <w:bCs/>
        </w:rPr>
        <w:t>те</w:t>
      </w:r>
      <w:r w:rsidRPr="00923B3B">
        <w:rPr>
          <w:bCs/>
        </w:rPr>
        <w:t xml:space="preserve"> средства от ЕК са в размер на 0</w:t>
      </w:r>
      <w:r>
        <w:rPr>
          <w:bCs/>
        </w:rPr>
        <w:t>,</w:t>
      </w:r>
      <w:r w:rsidRPr="00923B3B">
        <w:rPr>
          <w:bCs/>
        </w:rPr>
        <w:t>002 млн. лева.</w:t>
      </w:r>
    </w:p>
    <w:p w:rsidR="009013FC" w:rsidRPr="00923B3B" w:rsidRDefault="009013FC" w:rsidP="009013FC">
      <w:pPr>
        <w:jc w:val="both"/>
        <w:rPr>
          <w:bCs/>
        </w:rPr>
      </w:pPr>
      <w:r w:rsidRPr="00923B3B">
        <w:rPr>
          <w:bCs/>
        </w:rPr>
        <w:t xml:space="preserve"> </w:t>
      </w:r>
      <w:r>
        <w:rPr>
          <w:bCs/>
        </w:rPr>
        <w:tab/>
      </w:r>
      <w:r w:rsidRPr="00923B3B">
        <w:rPr>
          <w:bCs/>
        </w:rPr>
        <w:t>Направените разходи по Оперативни програми и трансферите към бюджетни организации и операции с активи за периода са на стойност 28</w:t>
      </w:r>
      <w:r>
        <w:rPr>
          <w:bCs/>
        </w:rPr>
        <w:t>,</w:t>
      </w:r>
      <w:r w:rsidRPr="00923B3B">
        <w:rPr>
          <w:bCs/>
        </w:rPr>
        <w:t>7 млн. лв.</w:t>
      </w:r>
      <w:r w:rsidRPr="004E3A34">
        <w:rPr>
          <w:bCs/>
          <w:lang w:val="ru-RU"/>
        </w:rPr>
        <w:t>, а възстановените суми</w:t>
      </w:r>
      <w:r w:rsidRPr="00923B3B">
        <w:rPr>
          <w:bCs/>
        </w:rPr>
        <w:t xml:space="preserve"> са в размер на 3</w:t>
      </w:r>
      <w:r>
        <w:rPr>
          <w:bCs/>
        </w:rPr>
        <w:t>,</w:t>
      </w:r>
      <w:r w:rsidRPr="00923B3B">
        <w:rPr>
          <w:bCs/>
        </w:rPr>
        <w:t>3 млн. л</w:t>
      </w:r>
      <w:r>
        <w:rPr>
          <w:bCs/>
        </w:rPr>
        <w:t>е</w:t>
      </w:r>
      <w:r w:rsidRPr="00923B3B">
        <w:rPr>
          <w:bCs/>
        </w:rPr>
        <w:t>в</w:t>
      </w:r>
      <w:r>
        <w:rPr>
          <w:bCs/>
        </w:rPr>
        <w:t>а</w:t>
      </w:r>
      <w:r w:rsidRPr="00923B3B">
        <w:rPr>
          <w:bCs/>
        </w:rPr>
        <w:t>.</w:t>
      </w:r>
    </w:p>
    <w:p w:rsidR="009013FC" w:rsidRPr="00923B3B" w:rsidRDefault="009013FC" w:rsidP="009013FC">
      <w:pPr>
        <w:jc w:val="both"/>
      </w:pPr>
      <w:r w:rsidRPr="00923B3B">
        <w:t>Възстановеното авансово финансиране по реда на ДДС6/2011 г. е в размер на 5</w:t>
      </w:r>
      <w:r>
        <w:t>,</w:t>
      </w:r>
      <w:r w:rsidRPr="00923B3B">
        <w:t>0 млн. лева.</w:t>
      </w:r>
    </w:p>
    <w:p w:rsidR="009013FC" w:rsidRPr="00923B3B" w:rsidRDefault="009013FC" w:rsidP="009013FC">
      <w:pPr>
        <w:jc w:val="both"/>
        <w:rPr>
          <w:bCs/>
        </w:rPr>
      </w:pPr>
      <w:r w:rsidRPr="00923B3B">
        <w:rPr>
          <w:bCs/>
        </w:rPr>
        <w:t>Изплатените средства от оперативните програми за мерките за минимизиране на отрицателните последици от епидемичното разпространение на COVD-19 през отчетния период са в размер на 0</w:t>
      </w:r>
      <w:r>
        <w:rPr>
          <w:bCs/>
        </w:rPr>
        <w:t>,</w:t>
      </w:r>
      <w:r w:rsidRPr="00923B3B">
        <w:rPr>
          <w:bCs/>
        </w:rPr>
        <w:t>1 млн. лева.</w:t>
      </w:r>
    </w:p>
    <w:p w:rsidR="009013FC" w:rsidRPr="00721560" w:rsidRDefault="009013FC" w:rsidP="009013FC">
      <w:pPr>
        <w:spacing w:before="120"/>
        <w:ind w:firstLine="686"/>
        <w:jc w:val="both"/>
        <w:rPr>
          <w:b/>
          <w:bCs/>
        </w:rPr>
      </w:pPr>
      <w:r w:rsidRPr="00721560">
        <w:rPr>
          <w:b/>
          <w:bCs/>
        </w:rPr>
        <w:t>Европейския социален фонд+, Европейския фонд за регионално развитие (включително Фонда за справедлив преход) и Кохезионния фонд за програмен период 2021-2027 г.</w:t>
      </w:r>
    </w:p>
    <w:p w:rsidR="009013FC" w:rsidRPr="00721560" w:rsidRDefault="009013FC" w:rsidP="009013FC">
      <w:pPr>
        <w:spacing w:before="120"/>
        <w:ind w:firstLine="686"/>
        <w:jc w:val="both"/>
        <w:rPr>
          <w:bCs/>
        </w:rPr>
      </w:pPr>
      <w:r w:rsidRPr="00721560">
        <w:rPr>
          <w:bCs/>
        </w:rPr>
        <w:t>Получените средства (нето) от ЕК за периода са в размер на 1</w:t>
      </w:r>
      <w:r>
        <w:rPr>
          <w:bCs/>
        </w:rPr>
        <w:t> </w:t>
      </w:r>
      <w:r w:rsidRPr="00721560">
        <w:rPr>
          <w:bCs/>
        </w:rPr>
        <w:t>288</w:t>
      </w:r>
      <w:r>
        <w:rPr>
          <w:bCs/>
        </w:rPr>
        <w:t>,</w:t>
      </w:r>
      <w:r w:rsidRPr="00721560">
        <w:rPr>
          <w:bCs/>
        </w:rPr>
        <w:t>8 млн. лв.</w:t>
      </w:r>
      <w:r w:rsidRPr="004E3A34">
        <w:rPr>
          <w:bCs/>
          <w:lang w:val="ru-RU"/>
        </w:rPr>
        <w:t xml:space="preserve"> </w:t>
      </w:r>
      <w:r w:rsidRPr="00721560">
        <w:rPr>
          <w:bCs/>
        </w:rPr>
        <w:t>и са разпределени както следва:</w:t>
      </w:r>
    </w:p>
    <w:p w:rsidR="009013FC" w:rsidRPr="00397599" w:rsidRDefault="009013FC" w:rsidP="009013FC">
      <w:pPr>
        <w:numPr>
          <w:ilvl w:val="0"/>
          <w:numId w:val="10"/>
        </w:numPr>
        <w:tabs>
          <w:tab w:val="clear" w:pos="1101"/>
          <w:tab w:val="num" w:pos="786"/>
        </w:tabs>
        <w:ind w:left="786"/>
        <w:jc w:val="both"/>
        <w:rPr>
          <w:bCs/>
        </w:rPr>
      </w:pPr>
      <w:r w:rsidRPr="00721560">
        <w:rPr>
          <w:bCs/>
        </w:rPr>
        <w:t xml:space="preserve">Програма „Развитие </w:t>
      </w:r>
      <w:r w:rsidRPr="00397599">
        <w:rPr>
          <w:bCs/>
        </w:rPr>
        <w:t>на човешките ресурси” 2021-2027 г. – 413</w:t>
      </w:r>
      <w:r>
        <w:rPr>
          <w:bCs/>
        </w:rPr>
        <w:t>,</w:t>
      </w:r>
      <w:r w:rsidRPr="00397599">
        <w:rPr>
          <w:bCs/>
        </w:rPr>
        <w:t xml:space="preserve">2 млн. лв.;  </w:t>
      </w:r>
    </w:p>
    <w:p w:rsidR="009013FC" w:rsidRPr="00397599" w:rsidRDefault="009013FC" w:rsidP="009013FC">
      <w:pPr>
        <w:numPr>
          <w:ilvl w:val="0"/>
          <w:numId w:val="10"/>
        </w:numPr>
        <w:tabs>
          <w:tab w:val="clear" w:pos="1101"/>
          <w:tab w:val="num" w:pos="786"/>
        </w:tabs>
        <w:ind w:left="786"/>
        <w:jc w:val="both"/>
        <w:rPr>
          <w:bCs/>
        </w:rPr>
      </w:pPr>
      <w:r w:rsidRPr="00397599">
        <w:rPr>
          <w:bCs/>
        </w:rPr>
        <w:t>Програма „Храни и основно материално подпомагане” 2021-2027 г. – 7</w:t>
      </w:r>
      <w:r>
        <w:rPr>
          <w:bCs/>
        </w:rPr>
        <w:t>4,9</w:t>
      </w:r>
      <w:r w:rsidRPr="00397599">
        <w:rPr>
          <w:bCs/>
        </w:rPr>
        <w:t xml:space="preserve"> млн. лв.;</w:t>
      </w:r>
    </w:p>
    <w:p w:rsidR="009013FC" w:rsidRPr="00397599" w:rsidRDefault="009013FC" w:rsidP="009013FC">
      <w:pPr>
        <w:numPr>
          <w:ilvl w:val="0"/>
          <w:numId w:val="10"/>
        </w:numPr>
        <w:tabs>
          <w:tab w:val="clear" w:pos="1101"/>
          <w:tab w:val="num" w:pos="786"/>
        </w:tabs>
        <w:ind w:left="786"/>
        <w:jc w:val="both"/>
        <w:rPr>
          <w:bCs/>
        </w:rPr>
      </w:pPr>
      <w:r w:rsidRPr="00397599">
        <w:rPr>
          <w:bCs/>
        </w:rPr>
        <w:t>Програма „Образование” 2021-2027 г. – 94</w:t>
      </w:r>
      <w:r>
        <w:rPr>
          <w:bCs/>
        </w:rPr>
        <w:t>,</w:t>
      </w:r>
      <w:r w:rsidRPr="00397599">
        <w:rPr>
          <w:bCs/>
        </w:rPr>
        <w:t>3 млн. лв.;</w:t>
      </w:r>
    </w:p>
    <w:p w:rsidR="009013FC" w:rsidRPr="007417AF" w:rsidRDefault="009013FC" w:rsidP="009013FC">
      <w:pPr>
        <w:numPr>
          <w:ilvl w:val="0"/>
          <w:numId w:val="10"/>
        </w:numPr>
        <w:tabs>
          <w:tab w:val="clear" w:pos="1101"/>
          <w:tab w:val="num" w:pos="786"/>
        </w:tabs>
        <w:ind w:left="786"/>
        <w:jc w:val="both"/>
        <w:rPr>
          <w:bCs/>
        </w:rPr>
      </w:pPr>
      <w:r w:rsidRPr="007417AF">
        <w:rPr>
          <w:bCs/>
        </w:rPr>
        <w:t>Програма „Околна среда“ 2021-2027 г. – 131</w:t>
      </w:r>
      <w:r>
        <w:rPr>
          <w:bCs/>
        </w:rPr>
        <w:t>,</w:t>
      </w:r>
      <w:r w:rsidRPr="007417AF">
        <w:rPr>
          <w:bCs/>
        </w:rPr>
        <w:t>8 млн. лв.;</w:t>
      </w:r>
    </w:p>
    <w:p w:rsidR="009013FC" w:rsidRPr="007417AF" w:rsidRDefault="009013FC" w:rsidP="009013FC">
      <w:pPr>
        <w:numPr>
          <w:ilvl w:val="0"/>
          <w:numId w:val="10"/>
        </w:numPr>
        <w:tabs>
          <w:tab w:val="clear" w:pos="1101"/>
          <w:tab w:val="num" w:pos="786"/>
        </w:tabs>
        <w:ind w:left="786"/>
        <w:jc w:val="both"/>
        <w:rPr>
          <w:bCs/>
        </w:rPr>
      </w:pPr>
      <w:r w:rsidRPr="007417AF">
        <w:rPr>
          <w:bCs/>
        </w:rPr>
        <w:t>Програма „Техническа помощ“ – 21</w:t>
      </w:r>
      <w:r>
        <w:rPr>
          <w:bCs/>
        </w:rPr>
        <w:t>,3</w:t>
      </w:r>
      <w:r w:rsidRPr="007417AF">
        <w:rPr>
          <w:bCs/>
        </w:rPr>
        <w:t xml:space="preserve"> млн. лв.;</w:t>
      </w:r>
    </w:p>
    <w:p w:rsidR="009013FC" w:rsidRPr="007417AF" w:rsidRDefault="009013FC" w:rsidP="009013FC">
      <w:pPr>
        <w:numPr>
          <w:ilvl w:val="0"/>
          <w:numId w:val="10"/>
        </w:numPr>
        <w:tabs>
          <w:tab w:val="clear" w:pos="1101"/>
          <w:tab w:val="num" w:pos="786"/>
        </w:tabs>
        <w:ind w:left="786"/>
        <w:jc w:val="both"/>
        <w:rPr>
          <w:bCs/>
        </w:rPr>
      </w:pPr>
      <w:r w:rsidRPr="007417AF">
        <w:rPr>
          <w:bCs/>
        </w:rPr>
        <w:t>Програма „Конкурентоспособност и иновации в предприятията“ 2021 2027 г. – 159</w:t>
      </w:r>
      <w:r>
        <w:rPr>
          <w:bCs/>
        </w:rPr>
        <w:t>,</w:t>
      </w:r>
      <w:r w:rsidRPr="007417AF">
        <w:rPr>
          <w:bCs/>
        </w:rPr>
        <w:t>7 млн.</w:t>
      </w:r>
      <w:r>
        <w:rPr>
          <w:bCs/>
        </w:rPr>
        <w:t> </w:t>
      </w:r>
      <w:r w:rsidRPr="007417AF">
        <w:rPr>
          <w:bCs/>
        </w:rPr>
        <w:t>лв.;</w:t>
      </w:r>
    </w:p>
    <w:p w:rsidR="009013FC" w:rsidRPr="00F0455C" w:rsidRDefault="009013FC" w:rsidP="009013FC">
      <w:pPr>
        <w:numPr>
          <w:ilvl w:val="0"/>
          <w:numId w:val="10"/>
        </w:numPr>
        <w:tabs>
          <w:tab w:val="clear" w:pos="1101"/>
          <w:tab w:val="num" w:pos="786"/>
        </w:tabs>
        <w:ind w:left="786"/>
        <w:jc w:val="both"/>
        <w:rPr>
          <w:bCs/>
        </w:rPr>
      </w:pPr>
      <w:r w:rsidRPr="00F0455C">
        <w:rPr>
          <w:bCs/>
        </w:rPr>
        <w:t>Програма „Развитие на регионите“ 2021 2027 г. – 20</w:t>
      </w:r>
      <w:r>
        <w:rPr>
          <w:bCs/>
        </w:rPr>
        <w:t>,</w:t>
      </w:r>
      <w:r w:rsidRPr="00F0455C">
        <w:rPr>
          <w:bCs/>
        </w:rPr>
        <w:t>6 млн. лв.;</w:t>
      </w:r>
    </w:p>
    <w:p w:rsidR="009013FC" w:rsidRPr="00F0455C" w:rsidRDefault="009013FC" w:rsidP="009013FC">
      <w:pPr>
        <w:numPr>
          <w:ilvl w:val="0"/>
          <w:numId w:val="10"/>
        </w:numPr>
        <w:tabs>
          <w:tab w:val="clear" w:pos="1101"/>
          <w:tab w:val="num" w:pos="786"/>
        </w:tabs>
        <w:ind w:left="786"/>
        <w:jc w:val="both"/>
        <w:rPr>
          <w:bCs/>
        </w:rPr>
      </w:pPr>
      <w:r w:rsidRPr="00F0455C">
        <w:rPr>
          <w:bCs/>
        </w:rPr>
        <w:t>Програма „Научни изследвания, иновации и дигитализация за интелигентна трансформация“ 2021 2027 г. – 80</w:t>
      </w:r>
      <w:r>
        <w:rPr>
          <w:bCs/>
        </w:rPr>
        <w:t>,3</w:t>
      </w:r>
      <w:r w:rsidRPr="00F0455C">
        <w:rPr>
          <w:bCs/>
        </w:rPr>
        <w:t xml:space="preserve"> млн. лв.; </w:t>
      </w:r>
    </w:p>
    <w:p w:rsidR="009013FC" w:rsidRPr="00DF2952" w:rsidRDefault="009013FC" w:rsidP="009013FC">
      <w:pPr>
        <w:numPr>
          <w:ilvl w:val="0"/>
          <w:numId w:val="10"/>
        </w:numPr>
        <w:tabs>
          <w:tab w:val="clear" w:pos="1101"/>
          <w:tab w:val="num" w:pos="786"/>
        </w:tabs>
        <w:ind w:left="786"/>
        <w:jc w:val="both"/>
        <w:rPr>
          <w:bCs/>
        </w:rPr>
      </w:pPr>
      <w:r w:rsidRPr="00DF2952">
        <w:rPr>
          <w:bCs/>
        </w:rPr>
        <w:t>Програма „Транспортна свързаност“ – 267</w:t>
      </w:r>
      <w:r>
        <w:rPr>
          <w:bCs/>
        </w:rPr>
        <w:t>,</w:t>
      </w:r>
      <w:r w:rsidRPr="00DF2952">
        <w:rPr>
          <w:bCs/>
        </w:rPr>
        <w:t>8 млн. лв. и</w:t>
      </w:r>
    </w:p>
    <w:p w:rsidR="009013FC" w:rsidRPr="00DF2952" w:rsidRDefault="009013FC" w:rsidP="009013FC">
      <w:pPr>
        <w:numPr>
          <w:ilvl w:val="0"/>
          <w:numId w:val="10"/>
        </w:numPr>
        <w:tabs>
          <w:tab w:val="clear" w:pos="1101"/>
          <w:tab w:val="num" w:pos="786"/>
        </w:tabs>
        <w:ind w:left="786"/>
        <w:jc w:val="both"/>
        <w:rPr>
          <w:bCs/>
        </w:rPr>
      </w:pPr>
      <w:r w:rsidRPr="00DF2952">
        <w:rPr>
          <w:bCs/>
        </w:rPr>
        <w:t>Фонд за справедлив преход – 24</w:t>
      </w:r>
      <w:r>
        <w:rPr>
          <w:bCs/>
        </w:rPr>
        <w:t>,</w:t>
      </w:r>
      <w:r w:rsidRPr="00DF2952">
        <w:rPr>
          <w:bCs/>
        </w:rPr>
        <w:t>9 млн. л</w:t>
      </w:r>
      <w:r>
        <w:rPr>
          <w:bCs/>
        </w:rPr>
        <w:t>е</w:t>
      </w:r>
      <w:r w:rsidRPr="00DF2952">
        <w:rPr>
          <w:bCs/>
        </w:rPr>
        <w:t>в</w:t>
      </w:r>
      <w:r>
        <w:rPr>
          <w:bCs/>
        </w:rPr>
        <w:t>а</w:t>
      </w:r>
      <w:r w:rsidRPr="00DF2952">
        <w:rPr>
          <w:bCs/>
        </w:rPr>
        <w:t>.</w:t>
      </w:r>
    </w:p>
    <w:p w:rsidR="009013FC" w:rsidRPr="00503599" w:rsidRDefault="009013FC" w:rsidP="009013FC">
      <w:pPr>
        <w:spacing w:before="120"/>
        <w:ind w:firstLine="426"/>
        <w:jc w:val="both"/>
        <w:rPr>
          <w:bCs/>
        </w:rPr>
      </w:pPr>
      <w:r w:rsidRPr="00503599">
        <w:rPr>
          <w:bCs/>
        </w:rPr>
        <w:t>Направените разходи (нето) за периода са в размер на 2</w:t>
      </w:r>
      <w:r>
        <w:rPr>
          <w:bCs/>
        </w:rPr>
        <w:t> </w:t>
      </w:r>
      <w:r w:rsidRPr="00503599">
        <w:rPr>
          <w:bCs/>
        </w:rPr>
        <w:t>316</w:t>
      </w:r>
      <w:r>
        <w:rPr>
          <w:bCs/>
        </w:rPr>
        <w:t>,</w:t>
      </w:r>
      <w:r w:rsidRPr="00503599">
        <w:rPr>
          <w:bCs/>
        </w:rPr>
        <w:t>3 млн. лв. и са разпределени както следва:</w:t>
      </w:r>
    </w:p>
    <w:p w:rsidR="009013FC" w:rsidRPr="00503599" w:rsidRDefault="009013FC" w:rsidP="009013FC">
      <w:pPr>
        <w:numPr>
          <w:ilvl w:val="0"/>
          <w:numId w:val="10"/>
        </w:numPr>
        <w:tabs>
          <w:tab w:val="clear" w:pos="1101"/>
          <w:tab w:val="num" w:pos="786"/>
        </w:tabs>
        <w:ind w:left="786"/>
        <w:jc w:val="both"/>
        <w:rPr>
          <w:bCs/>
        </w:rPr>
      </w:pPr>
      <w:r w:rsidRPr="00503599">
        <w:rPr>
          <w:bCs/>
        </w:rPr>
        <w:t xml:space="preserve">Програма „Развитие на човешките ресурси” 2021-2027 г. – </w:t>
      </w:r>
      <w:r w:rsidRPr="004E3A34">
        <w:rPr>
          <w:bCs/>
          <w:lang w:val="ru-RU"/>
        </w:rPr>
        <w:t>67</w:t>
      </w:r>
      <w:r w:rsidRPr="00503599">
        <w:rPr>
          <w:bCs/>
        </w:rPr>
        <w:t>4</w:t>
      </w:r>
      <w:r>
        <w:rPr>
          <w:bCs/>
        </w:rPr>
        <w:t>,</w:t>
      </w:r>
      <w:r w:rsidRPr="00503599">
        <w:rPr>
          <w:bCs/>
        </w:rPr>
        <w:t xml:space="preserve">4 млн. лв.;  </w:t>
      </w:r>
    </w:p>
    <w:p w:rsidR="009013FC" w:rsidRPr="00503599" w:rsidRDefault="009013FC" w:rsidP="009013FC">
      <w:pPr>
        <w:numPr>
          <w:ilvl w:val="0"/>
          <w:numId w:val="10"/>
        </w:numPr>
        <w:tabs>
          <w:tab w:val="clear" w:pos="1101"/>
          <w:tab w:val="num" w:pos="786"/>
        </w:tabs>
        <w:ind w:left="786"/>
        <w:jc w:val="both"/>
        <w:rPr>
          <w:bCs/>
        </w:rPr>
      </w:pPr>
      <w:r w:rsidRPr="00503599">
        <w:rPr>
          <w:bCs/>
        </w:rPr>
        <w:t xml:space="preserve">Програма „Храни и основно материално подпомагане” 2021-2027 г. – </w:t>
      </w:r>
      <w:r w:rsidRPr="004E3A34">
        <w:rPr>
          <w:bCs/>
          <w:lang w:val="ru-RU"/>
        </w:rPr>
        <w:t>94</w:t>
      </w:r>
      <w:r>
        <w:rPr>
          <w:bCs/>
          <w:lang w:val="ru-RU"/>
        </w:rPr>
        <w:t>,</w:t>
      </w:r>
      <w:r w:rsidRPr="004E3A34">
        <w:rPr>
          <w:bCs/>
          <w:lang w:val="ru-RU"/>
        </w:rPr>
        <w:t>5</w:t>
      </w:r>
      <w:r w:rsidRPr="00503599">
        <w:rPr>
          <w:bCs/>
        </w:rPr>
        <w:t xml:space="preserve"> млн. лв.;</w:t>
      </w:r>
    </w:p>
    <w:p w:rsidR="009013FC" w:rsidRPr="00503599" w:rsidRDefault="009013FC" w:rsidP="009013FC">
      <w:pPr>
        <w:numPr>
          <w:ilvl w:val="0"/>
          <w:numId w:val="10"/>
        </w:numPr>
        <w:tabs>
          <w:tab w:val="clear" w:pos="1101"/>
          <w:tab w:val="num" w:pos="786"/>
        </w:tabs>
        <w:ind w:left="786"/>
        <w:jc w:val="both"/>
        <w:rPr>
          <w:bCs/>
        </w:rPr>
      </w:pPr>
      <w:r w:rsidRPr="00503599">
        <w:rPr>
          <w:bCs/>
        </w:rPr>
        <w:lastRenderedPageBreak/>
        <w:t>Програма „Образование” 2021-2027 г. – 1</w:t>
      </w:r>
      <w:r w:rsidRPr="004E3A34">
        <w:rPr>
          <w:bCs/>
          <w:lang w:val="ru-RU"/>
        </w:rPr>
        <w:t>79</w:t>
      </w:r>
      <w:r>
        <w:rPr>
          <w:bCs/>
          <w:lang w:val="ru-RU"/>
        </w:rPr>
        <w:t>,</w:t>
      </w:r>
      <w:r w:rsidRPr="004E3A34">
        <w:rPr>
          <w:bCs/>
          <w:lang w:val="ru-RU"/>
        </w:rPr>
        <w:t>9</w:t>
      </w:r>
      <w:r w:rsidRPr="00503599">
        <w:rPr>
          <w:bCs/>
        </w:rPr>
        <w:t xml:space="preserve"> млн. лв.;</w:t>
      </w:r>
    </w:p>
    <w:p w:rsidR="009013FC" w:rsidRPr="00503599" w:rsidRDefault="009013FC" w:rsidP="009013FC">
      <w:pPr>
        <w:numPr>
          <w:ilvl w:val="0"/>
          <w:numId w:val="10"/>
        </w:numPr>
        <w:tabs>
          <w:tab w:val="clear" w:pos="1101"/>
          <w:tab w:val="num" w:pos="786"/>
        </w:tabs>
        <w:ind w:left="786"/>
        <w:jc w:val="both"/>
        <w:rPr>
          <w:bCs/>
        </w:rPr>
      </w:pPr>
      <w:r w:rsidRPr="00503599">
        <w:rPr>
          <w:bCs/>
        </w:rPr>
        <w:t xml:space="preserve">Програма „Околна среда“ 2021-2027 г. – </w:t>
      </w:r>
      <w:r w:rsidRPr="004E3A34">
        <w:rPr>
          <w:bCs/>
          <w:lang w:val="ru-RU"/>
        </w:rPr>
        <w:t>301</w:t>
      </w:r>
      <w:r>
        <w:rPr>
          <w:bCs/>
          <w:lang w:val="ru-RU"/>
        </w:rPr>
        <w:t>,</w:t>
      </w:r>
      <w:r w:rsidRPr="00503599">
        <w:rPr>
          <w:bCs/>
        </w:rPr>
        <w:t>0 млн. лв.;</w:t>
      </w:r>
    </w:p>
    <w:p w:rsidR="009013FC" w:rsidRPr="00503599" w:rsidRDefault="009013FC" w:rsidP="009013FC">
      <w:pPr>
        <w:numPr>
          <w:ilvl w:val="0"/>
          <w:numId w:val="10"/>
        </w:numPr>
        <w:tabs>
          <w:tab w:val="clear" w:pos="1101"/>
          <w:tab w:val="num" w:pos="786"/>
        </w:tabs>
        <w:ind w:left="786"/>
        <w:jc w:val="both"/>
        <w:rPr>
          <w:bCs/>
        </w:rPr>
      </w:pPr>
      <w:r w:rsidRPr="00503599">
        <w:rPr>
          <w:bCs/>
        </w:rPr>
        <w:t xml:space="preserve">Програма „Техническа помощ“ – </w:t>
      </w:r>
      <w:r w:rsidRPr="004E3A34">
        <w:rPr>
          <w:bCs/>
          <w:lang w:val="ru-RU"/>
        </w:rPr>
        <w:t>29</w:t>
      </w:r>
      <w:r>
        <w:rPr>
          <w:bCs/>
          <w:lang w:val="ru-RU"/>
        </w:rPr>
        <w:t>,</w:t>
      </w:r>
      <w:r w:rsidRPr="004E3A34">
        <w:rPr>
          <w:bCs/>
          <w:lang w:val="ru-RU"/>
        </w:rPr>
        <w:t>2</w:t>
      </w:r>
      <w:r w:rsidRPr="00503599">
        <w:rPr>
          <w:bCs/>
        </w:rPr>
        <w:t xml:space="preserve"> млн. лв.;</w:t>
      </w:r>
    </w:p>
    <w:p w:rsidR="009013FC" w:rsidRPr="00503599" w:rsidRDefault="009013FC" w:rsidP="009013FC">
      <w:pPr>
        <w:numPr>
          <w:ilvl w:val="0"/>
          <w:numId w:val="10"/>
        </w:numPr>
        <w:tabs>
          <w:tab w:val="clear" w:pos="1101"/>
          <w:tab w:val="num" w:pos="786"/>
        </w:tabs>
        <w:ind w:left="786"/>
        <w:jc w:val="both"/>
        <w:rPr>
          <w:bCs/>
        </w:rPr>
      </w:pPr>
      <w:r w:rsidRPr="00503599">
        <w:rPr>
          <w:bCs/>
        </w:rPr>
        <w:t xml:space="preserve">Програма „Конкурентоспособност и иновации в предприятията“ 2021 2027 г. – </w:t>
      </w:r>
      <w:r w:rsidRPr="004E3A34">
        <w:rPr>
          <w:bCs/>
          <w:lang w:val="ru-RU"/>
        </w:rPr>
        <w:t>146</w:t>
      </w:r>
      <w:r>
        <w:rPr>
          <w:bCs/>
          <w:lang w:val="ru-RU"/>
        </w:rPr>
        <w:t>,</w:t>
      </w:r>
      <w:r w:rsidRPr="004E3A34">
        <w:rPr>
          <w:bCs/>
          <w:lang w:val="ru-RU"/>
        </w:rPr>
        <w:t>7</w:t>
      </w:r>
      <w:r w:rsidRPr="00503599">
        <w:rPr>
          <w:bCs/>
        </w:rPr>
        <w:t xml:space="preserve"> млн.</w:t>
      </w:r>
      <w:r>
        <w:rPr>
          <w:bCs/>
        </w:rPr>
        <w:t> </w:t>
      </w:r>
      <w:r w:rsidRPr="00503599">
        <w:rPr>
          <w:bCs/>
        </w:rPr>
        <w:t>лв.;</w:t>
      </w:r>
    </w:p>
    <w:p w:rsidR="009013FC" w:rsidRPr="00503599" w:rsidRDefault="009013FC" w:rsidP="009013FC">
      <w:pPr>
        <w:numPr>
          <w:ilvl w:val="0"/>
          <w:numId w:val="10"/>
        </w:numPr>
        <w:tabs>
          <w:tab w:val="clear" w:pos="1101"/>
          <w:tab w:val="num" w:pos="786"/>
        </w:tabs>
        <w:ind w:left="786"/>
        <w:jc w:val="both"/>
        <w:rPr>
          <w:bCs/>
        </w:rPr>
      </w:pPr>
      <w:r w:rsidRPr="00503599">
        <w:rPr>
          <w:bCs/>
        </w:rPr>
        <w:t xml:space="preserve">Програма „Развитие на регионите“ 2021 2027 г. – </w:t>
      </w:r>
      <w:r w:rsidRPr="004E3A34">
        <w:rPr>
          <w:bCs/>
          <w:lang w:val="ru-RU"/>
        </w:rPr>
        <w:t>156</w:t>
      </w:r>
      <w:r>
        <w:rPr>
          <w:bCs/>
          <w:lang w:val="ru-RU"/>
        </w:rPr>
        <w:t>,</w:t>
      </w:r>
      <w:r w:rsidRPr="00503599">
        <w:rPr>
          <w:bCs/>
        </w:rPr>
        <w:t>5 млн. лв.;</w:t>
      </w:r>
    </w:p>
    <w:p w:rsidR="009013FC" w:rsidRPr="00503599" w:rsidRDefault="009013FC" w:rsidP="009013FC">
      <w:pPr>
        <w:numPr>
          <w:ilvl w:val="0"/>
          <w:numId w:val="10"/>
        </w:numPr>
        <w:tabs>
          <w:tab w:val="clear" w:pos="1101"/>
          <w:tab w:val="num" w:pos="786"/>
        </w:tabs>
        <w:ind w:left="786"/>
        <w:jc w:val="both"/>
        <w:rPr>
          <w:bCs/>
        </w:rPr>
      </w:pPr>
      <w:r w:rsidRPr="00503599">
        <w:rPr>
          <w:bCs/>
        </w:rPr>
        <w:t xml:space="preserve">Програма „Научни изследвания, иновации и дигитализация за интелигентна трансформация“ 2021 2027 г. – </w:t>
      </w:r>
      <w:r w:rsidRPr="004E3A34">
        <w:rPr>
          <w:bCs/>
          <w:lang w:val="ru-RU"/>
        </w:rPr>
        <w:t>172</w:t>
      </w:r>
      <w:r>
        <w:rPr>
          <w:bCs/>
          <w:lang w:val="ru-RU"/>
        </w:rPr>
        <w:t>,</w:t>
      </w:r>
      <w:r w:rsidRPr="004E3A34">
        <w:rPr>
          <w:bCs/>
          <w:lang w:val="ru-RU"/>
        </w:rPr>
        <w:t>5</w:t>
      </w:r>
      <w:r w:rsidRPr="00503599">
        <w:rPr>
          <w:bCs/>
        </w:rPr>
        <w:t xml:space="preserve"> млн. лв.;</w:t>
      </w:r>
    </w:p>
    <w:p w:rsidR="009013FC" w:rsidRPr="00503599" w:rsidRDefault="009013FC" w:rsidP="009013FC">
      <w:pPr>
        <w:numPr>
          <w:ilvl w:val="0"/>
          <w:numId w:val="10"/>
        </w:numPr>
        <w:tabs>
          <w:tab w:val="clear" w:pos="1101"/>
          <w:tab w:val="num" w:pos="786"/>
        </w:tabs>
        <w:ind w:left="786"/>
        <w:jc w:val="both"/>
        <w:rPr>
          <w:bCs/>
        </w:rPr>
      </w:pPr>
      <w:r w:rsidRPr="00503599">
        <w:rPr>
          <w:bCs/>
        </w:rPr>
        <w:t xml:space="preserve">Програма „Транспортна свързаност“ – </w:t>
      </w:r>
      <w:r w:rsidRPr="004E3A34">
        <w:rPr>
          <w:bCs/>
          <w:lang w:val="ru-RU"/>
        </w:rPr>
        <w:t>483</w:t>
      </w:r>
      <w:r>
        <w:rPr>
          <w:bCs/>
          <w:lang w:val="ru-RU"/>
        </w:rPr>
        <w:t>,</w:t>
      </w:r>
      <w:r w:rsidRPr="004E3A34">
        <w:rPr>
          <w:bCs/>
          <w:lang w:val="ru-RU"/>
        </w:rPr>
        <w:t>2</w:t>
      </w:r>
      <w:r w:rsidRPr="00503599">
        <w:rPr>
          <w:bCs/>
        </w:rPr>
        <w:t xml:space="preserve"> млн. лв. и</w:t>
      </w:r>
    </w:p>
    <w:p w:rsidR="009013FC" w:rsidRPr="00503599" w:rsidRDefault="009013FC" w:rsidP="009013FC">
      <w:pPr>
        <w:numPr>
          <w:ilvl w:val="0"/>
          <w:numId w:val="10"/>
        </w:numPr>
        <w:tabs>
          <w:tab w:val="clear" w:pos="1101"/>
          <w:tab w:val="num" w:pos="786"/>
        </w:tabs>
        <w:ind w:left="786"/>
        <w:jc w:val="both"/>
        <w:rPr>
          <w:bCs/>
        </w:rPr>
      </w:pPr>
      <w:r w:rsidRPr="00503599">
        <w:rPr>
          <w:bCs/>
        </w:rPr>
        <w:t>Фонд за справедлив преход – 7</w:t>
      </w:r>
      <w:r w:rsidRPr="004E3A34">
        <w:rPr>
          <w:bCs/>
          <w:lang w:val="ru-RU"/>
        </w:rPr>
        <w:t>8</w:t>
      </w:r>
      <w:r>
        <w:rPr>
          <w:bCs/>
          <w:lang w:val="ru-RU"/>
        </w:rPr>
        <w:t>,</w:t>
      </w:r>
      <w:r w:rsidRPr="004E3A34">
        <w:rPr>
          <w:bCs/>
          <w:lang w:val="ru-RU"/>
        </w:rPr>
        <w:t>4</w:t>
      </w:r>
      <w:r w:rsidRPr="00503599">
        <w:rPr>
          <w:bCs/>
        </w:rPr>
        <w:t xml:space="preserve"> млн. л</w:t>
      </w:r>
      <w:r>
        <w:rPr>
          <w:bCs/>
        </w:rPr>
        <w:t>е</w:t>
      </w:r>
      <w:r w:rsidRPr="00503599">
        <w:rPr>
          <w:bCs/>
        </w:rPr>
        <w:t>в</w:t>
      </w:r>
      <w:r>
        <w:rPr>
          <w:bCs/>
        </w:rPr>
        <w:t>а</w:t>
      </w:r>
      <w:r w:rsidRPr="00503599">
        <w:rPr>
          <w:bCs/>
        </w:rPr>
        <w:t>.</w:t>
      </w:r>
    </w:p>
    <w:p w:rsidR="009013FC" w:rsidRPr="005D04FA" w:rsidRDefault="009013FC" w:rsidP="009013FC">
      <w:pPr>
        <w:spacing w:before="120"/>
        <w:ind w:firstLine="426"/>
        <w:jc w:val="both"/>
        <w:rPr>
          <w:bCs/>
        </w:rPr>
      </w:pPr>
      <w:r w:rsidRPr="005D04FA">
        <w:t>Извършените разходи по авансово финансиране по реда на ДДС6/2011 г. са в размер на 6</w:t>
      </w:r>
      <w:r>
        <w:t>,</w:t>
      </w:r>
      <w:r w:rsidRPr="005D04FA">
        <w:t>0 млн. лв</w:t>
      </w:r>
      <w:r>
        <w:t>.</w:t>
      </w:r>
      <w:r w:rsidRPr="005D04FA">
        <w:t>, а възстановените средства са в размер на 8</w:t>
      </w:r>
      <w:r>
        <w:t>,</w:t>
      </w:r>
      <w:r w:rsidRPr="005D04FA">
        <w:t>2 млн. лева.</w:t>
      </w:r>
    </w:p>
    <w:p w:rsidR="009013FC" w:rsidRPr="005D04FA" w:rsidRDefault="009013FC" w:rsidP="009013FC">
      <w:pPr>
        <w:spacing w:before="120"/>
        <w:ind w:firstLine="686"/>
        <w:jc w:val="both"/>
        <w:rPr>
          <w:b/>
          <w:bCs/>
        </w:rPr>
      </w:pPr>
      <w:r w:rsidRPr="005D04FA">
        <w:rPr>
          <w:b/>
          <w:bCs/>
        </w:rPr>
        <w:t>Национален план за възстановяване и устойчивост (НПВУ)</w:t>
      </w:r>
    </w:p>
    <w:p w:rsidR="009013FC" w:rsidRPr="00192240" w:rsidRDefault="009013FC" w:rsidP="009013FC">
      <w:pPr>
        <w:spacing w:before="120"/>
        <w:ind w:firstLine="686"/>
        <w:jc w:val="both"/>
        <w:rPr>
          <w:bCs/>
        </w:rPr>
      </w:pPr>
      <w:r w:rsidRPr="00192240">
        <w:rPr>
          <w:bCs/>
        </w:rPr>
        <w:t>През отчетния период чрез НПВУ бяха извършени разходи и трансфери (нето)</w:t>
      </w:r>
      <w:r w:rsidRPr="004E3A34">
        <w:rPr>
          <w:bCs/>
          <w:lang w:val="ru-RU"/>
        </w:rPr>
        <w:t xml:space="preserve"> </w:t>
      </w:r>
      <w:r w:rsidRPr="00192240">
        <w:rPr>
          <w:bCs/>
        </w:rPr>
        <w:t>в размер на 2</w:t>
      </w:r>
      <w:r>
        <w:rPr>
          <w:bCs/>
        </w:rPr>
        <w:t> </w:t>
      </w:r>
      <w:r w:rsidRPr="00192240">
        <w:rPr>
          <w:bCs/>
        </w:rPr>
        <w:t>94</w:t>
      </w:r>
      <w:r>
        <w:rPr>
          <w:bCs/>
        </w:rPr>
        <w:t>5,</w:t>
      </w:r>
      <w:r w:rsidRPr="00192240">
        <w:rPr>
          <w:bCs/>
        </w:rPr>
        <w:t>2 млн. лева.</w:t>
      </w:r>
    </w:p>
    <w:p w:rsidR="009013FC" w:rsidRPr="00192240" w:rsidRDefault="009013FC" w:rsidP="009013FC">
      <w:pPr>
        <w:ind w:firstLine="686"/>
        <w:jc w:val="both"/>
        <w:rPr>
          <w:bCs/>
        </w:rPr>
      </w:pPr>
      <w:r w:rsidRPr="00192240">
        <w:rPr>
          <w:bCs/>
        </w:rPr>
        <w:t>Получените средства по МВУ от второ и трето искания за плащане са в размер на 3</w:t>
      </w:r>
      <w:r>
        <w:rPr>
          <w:bCs/>
        </w:rPr>
        <w:t> </w:t>
      </w:r>
      <w:r w:rsidRPr="00192240">
        <w:rPr>
          <w:bCs/>
        </w:rPr>
        <w:t>724</w:t>
      </w:r>
      <w:r>
        <w:rPr>
          <w:bCs/>
        </w:rPr>
        <w:t>,</w:t>
      </w:r>
      <w:r w:rsidRPr="00192240">
        <w:rPr>
          <w:bCs/>
        </w:rPr>
        <w:t>5 млн. лева.</w:t>
      </w:r>
    </w:p>
    <w:p w:rsidR="009013FC" w:rsidRPr="00C95649" w:rsidRDefault="009013FC" w:rsidP="009013FC">
      <w:pPr>
        <w:spacing w:before="120"/>
        <w:ind w:firstLine="686"/>
        <w:jc w:val="both"/>
        <w:rPr>
          <w:b/>
          <w:bCs/>
        </w:rPr>
      </w:pPr>
      <w:r w:rsidRPr="00F5126E">
        <w:rPr>
          <w:bCs/>
          <w:color w:val="0070C0"/>
        </w:rPr>
        <w:tab/>
      </w:r>
      <w:r w:rsidRPr="00C95649">
        <w:rPr>
          <w:b/>
          <w:bCs/>
        </w:rPr>
        <w:t>Двустранни програми за трансгранично сътрудничество по външните граници на Европейския съюз 2014 – 2020 г. и 2021 – 2027 г.</w:t>
      </w:r>
    </w:p>
    <w:p w:rsidR="009013FC" w:rsidRPr="00C95649" w:rsidRDefault="009013FC" w:rsidP="009013FC">
      <w:pPr>
        <w:spacing w:before="120"/>
        <w:ind w:firstLine="686"/>
        <w:jc w:val="both"/>
        <w:rPr>
          <w:bCs/>
        </w:rPr>
      </w:pPr>
      <w:r w:rsidRPr="00C95649">
        <w:rPr>
          <w:bCs/>
        </w:rPr>
        <w:t>Получените средства към 31.12.2025 г. са на стойност 4</w:t>
      </w:r>
      <w:r>
        <w:rPr>
          <w:bCs/>
        </w:rPr>
        <w:t>,</w:t>
      </w:r>
      <w:r w:rsidRPr="00C95649">
        <w:rPr>
          <w:bCs/>
        </w:rPr>
        <w:t>0 млн. лв., представляващи постъпили средства от ЕК и средства за съфинансиране от страните-партньори, както</w:t>
      </w:r>
      <w:r>
        <w:rPr>
          <w:bCs/>
        </w:rPr>
        <w:t xml:space="preserve"> и</w:t>
      </w:r>
      <w:r w:rsidRPr="00C95649">
        <w:rPr>
          <w:bCs/>
        </w:rPr>
        <w:t xml:space="preserve"> разпределени към администратори в чужбина за сметка на средствата, получени от страната-партньор.</w:t>
      </w:r>
    </w:p>
    <w:p w:rsidR="009013FC" w:rsidRPr="00C95649" w:rsidRDefault="009013FC" w:rsidP="009013FC">
      <w:pPr>
        <w:ind w:firstLine="686"/>
        <w:jc w:val="both"/>
        <w:rPr>
          <w:b/>
          <w:bCs/>
        </w:rPr>
      </w:pPr>
      <w:r w:rsidRPr="00C95649">
        <w:rPr>
          <w:bCs/>
        </w:rPr>
        <w:t>Сумата на разходите и трансферите (нето) към бюджетни организации в страната, които са направени през същия период по двустранните програми са на обща стойност 19</w:t>
      </w:r>
      <w:r>
        <w:rPr>
          <w:bCs/>
        </w:rPr>
        <w:t>,</w:t>
      </w:r>
      <w:r w:rsidRPr="00C95649">
        <w:rPr>
          <w:bCs/>
        </w:rPr>
        <w:t xml:space="preserve">4 млн. лв., включително за плащания към бенефициенти в страната, извършени за сметка на полученото финансиране от страната-партньор по тези програми. </w:t>
      </w:r>
    </w:p>
    <w:p w:rsidR="009013FC" w:rsidRPr="0042266A" w:rsidRDefault="009013FC" w:rsidP="009013FC">
      <w:pPr>
        <w:spacing w:before="120"/>
        <w:ind w:firstLine="686"/>
        <w:jc w:val="both"/>
        <w:rPr>
          <w:b/>
          <w:bCs/>
        </w:rPr>
      </w:pPr>
      <w:r w:rsidRPr="0042266A">
        <w:rPr>
          <w:b/>
          <w:bCs/>
        </w:rPr>
        <w:t>Финансов механизъм на Европейското икономическо пространство и Норвежки финансов механизъм за периода 2014-2021 г.</w:t>
      </w:r>
    </w:p>
    <w:p w:rsidR="009013FC" w:rsidRPr="0042266A" w:rsidRDefault="009013FC" w:rsidP="009013FC">
      <w:pPr>
        <w:spacing w:before="120"/>
        <w:ind w:firstLine="686"/>
        <w:jc w:val="both"/>
        <w:rPr>
          <w:b/>
          <w:bCs/>
        </w:rPr>
      </w:pPr>
      <w:r w:rsidRPr="0042266A">
        <w:rPr>
          <w:bCs/>
        </w:rPr>
        <w:t>Получените средства към 31.12.2025 г. са в размер на 7</w:t>
      </w:r>
      <w:r>
        <w:rPr>
          <w:bCs/>
        </w:rPr>
        <w:t>,</w:t>
      </w:r>
      <w:r w:rsidRPr="0042266A">
        <w:rPr>
          <w:bCs/>
        </w:rPr>
        <w:t>4 млн. л</w:t>
      </w:r>
      <w:r>
        <w:rPr>
          <w:bCs/>
        </w:rPr>
        <w:t>е</w:t>
      </w:r>
      <w:r w:rsidRPr="0042266A">
        <w:rPr>
          <w:bCs/>
        </w:rPr>
        <w:t>в</w:t>
      </w:r>
      <w:r>
        <w:rPr>
          <w:bCs/>
        </w:rPr>
        <w:t>а</w:t>
      </w:r>
      <w:r w:rsidRPr="0042266A">
        <w:rPr>
          <w:bCs/>
        </w:rPr>
        <w:t>.</w:t>
      </w:r>
    </w:p>
    <w:p w:rsidR="009013FC" w:rsidRPr="0042266A" w:rsidRDefault="009013FC" w:rsidP="009013FC">
      <w:pPr>
        <w:spacing w:before="120"/>
        <w:ind w:firstLine="686"/>
        <w:jc w:val="both"/>
        <w:rPr>
          <w:b/>
          <w:bCs/>
        </w:rPr>
      </w:pPr>
      <w:r w:rsidRPr="0042266A">
        <w:rPr>
          <w:bCs/>
        </w:rPr>
        <w:t>Сумата на разходите и трансферите (нето) за периода са на обща стойност 23</w:t>
      </w:r>
      <w:r>
        <w:rPr>
          <w:bCs/>
        </w:rPr>
        <w:t>,</w:t>
      </w:r>
      <w:r w:rsidRPr="0042266A">
        <w:rPr>
          <w:bCs/>
        </w:rPr>
        <w:t>9 млн. лева. В тази сума влизат и 4</w:t>
      </w:r>
      <w:r>
        <w:rPr>
          <w:bCs/>
        </w:rPr>
        <w:t>,</w:t>
      </w:r>
      <w:r w:rsidRPr="0042266A">
        <w:rPr>
          <w:bCs/>
        </w:rPr>
        <w:t>7 млн. лв</w:t>
      </w:r>
      <w:r>
        <w:rPr>
          <w:bCs/>
        </w:rPr>
        <w:t>.</w:t>
      </w:r>
      <w:r w:rsidRPr="0042266A">
        <w:rPr>
          <w:bCs/>
        </w:rPr>
        <w:t xml:space="preserve"> разходи, отпуснати като безлихвени средства на </w:t>
      </w:r>
      <w:r>
        <w:rPr>
          <w:bCs/>
        </w:rPr>
        <w:t>М</w:t>
      </w:r>
      <w:r w:rsidRPr="0042266A">
        <w:rPr>
          <w:bCs/>
        </w:rPr>
        <w:t>инистерство</w:t>
      </w:r>
      <w:r>
        <w:rPr>
          <w:bCs/>
        </w:rPr>
        <w:t>то</w:t>
      </w:r>
      <w:r w:rsidRPr="0042266A">
        <w:rPr>
          <w:bCs/>
        </w:rPr>
        <w:t xml:space="preserve"> на правосъдието от сметката за средства от ЕС на НФ.</w:t>
      </w:r>
    </w:p>
    <w:p w:rsidR="009013FC" w:rsidRPr="001F5D39" w:rsidRDefault="009013FC" w:rsidP="009013FC">
      <w:pPr>
        <w:spacing w:before="120"/>
        <w:ind w:firstLine="686"/>
        <w:jc w:val="both"/>
        <w:rPr>
          <w:b/>
          <w:bCs/>
        </w:rPr>
      </w:pPr>
      <w:r w:rsidRPr="001F5D39">
        <w:rPr>
          <w:b/>
          <w:bCs/>
        </w:rPr>
        <w:t>Швейцарско-българската програма за сътрудничество (ШБПС)</w:t>
      </w:r>
    </w:p>
    <w:p w:rsidR="009013FC" w:rsidRPr="001F5D39" w:rsidRDefault="009013FC" w:rsidP="009013FC">
      <w:pPr>
        <w:spacing w:before="120"/>
        <w:ind w:firstLine="686"/>
        <w:jc w:val="both"/>
        <w:rPr>
          <w:bCs/>
        </w:rPr>
      </w:pPr>
      <w:r w:rsidRPr="001F5D39">
        <w:rPr>
          <w:bCs/>
        </w:rPr>
        <w:t>Получените средства към 31.12.2025 г. са в размер на 0</w:t>
      </w:r>
      <w:r>
        <w:rPr>
          <w:bCs/>
        </w:rPr>
        <w:t>,</w:t>
      </w:r>
      <w:r w:rsidRPr="001F5D39">
        <w:rPr>
          <w:bCs/>
        </w:rPr>
        <w:t>6 млн. л</w:t>
      </w:r>
      <w:r>
        <w:rPr>
          <w:bCs/>
        </w:rPr>
        <w:t>е</w:t>
      </w:r>
      <w:r w:rsidRPr="001F5D39">
        <w:rPr>
          <w:bCs/>
        </w:rPr>
        <w:t>в</w:t>
      </w:r>
      <w:r>
        <w:rPr>
          <w:bCs/>
        </w:rPr>
        <w:t>а</w:t>
      </w:r>
      <w:r w:rsidRPr="001F5D39">
        <w:rPr>
          <w:bCs/>
        </w:rPr>
        <w:t>.</w:t>
      </w:r>
    </w:p>
    <w:p w:rsidR="009013FC" w:rsidRDefault="009013FC" w:rsidP="009013FC">
      <w:pPr>
        <w:spacing w:before="120"/>
        <w:ind w:firstLine="686"/>
        <w:jc w:val="both"/>
        <w:rPr>
          <w:bCs/>
        </w:rPr>
      </w:pPr>
      <w:r w:rsidRPr="0042266A">
        <w:rPr>
          <w:bCs/>
        </w:rPr>
        <w:t xml:space="preserve">Сумата на разходите и трансферите (нето) за периода </w:t>
      </w:r>
      <w:r>
        <w:rPr>
          <w:bCs/>
        </w:rPr>
        <w:t>е</w:t>
      </w:r>
      <w:r w:rsidRPr="0042266A">
        <w:rPr>
          <w:bCs/>
        </w:rPr>
        <w:t xml:space="preserve"> на обща стойност </w:t>
      </w:r>
      <w:r>
        <w:rPr>
          <w:bCs/>
        </w:rPr>
        <w:t>1,4</w:t>
      </w:r>
      <w:r w:rsidRPr="0042266A">
        <w:rPr>
          <w:bCs/>
        </w:rPr>
        <w:t xml:space="preserve"> млн. лева.</w:t>
      </w:r>
    </w:p>
    <w:p w:rsidR="009013FC" w:rsidRPr="005D04FA" w:rsidRDefault="009013FC" w:rsidP="009013FC">
      <w:pPr>
        <w:spacing w:before="120"/>
        <w:ind w:firstLine="686"/>
        <w:jc w:val="both"/>
        <w:rPr>
          <w:b/>
          <w:bCs/>
        </w:rPr>
      </w:pPr>
      <w:r w:rsidRPr="005D04FA">
        <w:rPr>
          <w:b/>
          <w:bCs/>
        </w:rPr>
        <w:t xml:space="preserve">Национален план за </w:t>
      </w:r>
      <w:r>
        <w:rPr>
          <w:b/>
          <w:bCs/>
        </w:rPr>
        <w:t>климата на България</w:t>
      </w:r>
      <w:r w:rsidRPr="005D04FA">
        <w:rPr>
          <w:b/>
          <w:bCs/>
        </w:rPr>
        <w:t xml:space="preserve"> </w:t>
      </w:r>
    </w:p>
    <w:p w:rsidR="009013FC" w:rsidRPr="00F5126E" w:rsidRDefault="009013FC" w:rsidP="009013FC">
      <w:pPr>
        <w:spacing w:before="120"/>
        <w:ind w:firstLine="686"/>
        <w:jc w:val="both"/>
        <w:rPr>
          <w:b/>
          <w:bCs/>
          <w:color w:val="0070C0"/>
        </w:rPr>
      </w:pPr>
      <w:r w:rsidRPr="00192240">
        <w:rPr>
          <w:bCs/>
        </w:rPr>
        <w:t xml:space="preserve">През отчетния период </w:t>
      </w:r>
      <w:r>
        <w:rPr>
          <w:bCs/>
        </w:rPr>
        <w:t xml:space="preserve">беше извършено предварително плащане по Националния план за климата </w:t>
      </w:r>
      <w:r w:rsidRPr="00192240">
        <w:rPr>
          <w:bCs/>
        </w:rPr>
        <w:t xml:space="preserve">размер на </w:t>
      </w:r>
      <w:r>
        <w:rPr>
          <w:bCs/>
        </w:rPr>
        <w:t>278,5</w:t>
      </w:r>
      <w:r w:rsidRPr="00192240">
        <w:rPr>
          <w:bCs/>
        </w:rPr>
        <w:t xml:space="preserve"> млн. лв</w:t>
      </w:r>
      <w:r>
        <w:rPr>
          <w:bCs/>
        </w:rPr>
        <w:t>., представляващи аванс за 23 влака, които ще бъдат финансирани от Социалния фонд за климата.</w:t>
      </w:r>
    </w:p>
    <w:p w:rsidR="009013FC" w:rsidRPr="003E2AFF" w:rsidRDefault="009013FC" w:rsidP="009013FC">
      <w:pPr>
        <w:spacing w:before="120"/>
        <w:ind w:firstLine="686"/>
        <w:jc w:val="both"/>
        <w:rPr>
          <w:b/>
          <w:bCs/>
        </w:rPr>
      </w:pPr>
      <w:r w:rsidRPr="003E2AFF">
        <w:rPr>
          <w:b/>
          <w:bCs/>
        </w:rPr>
        <w:t xml:space="preserve">Програма САПАРД </w:t>
      </w:r>
    </w:p>
    <w:p w:rsidR="009013FC" w:rsidRPr="003E2AFF" w:rsidRDefault="009013FC" w:rsidP="009013FC">
      <w:pPr>
        <w:pStyle w:val="Header"/>
        <w:tabs>
          <w:tab w:val="clear" w:pos="4153"/>
          <w:tab w:val="clear" w:pos="8306"/>
        </w:tabs>
        <w:ind w:right="-13" w:firstLine="567"/>
        <w:jc w:val="both"/>
        <w:rPr>
          <w:bCs/>
        </w:rPr>
      </w:pPr>
      <w:r w:rsidRPr="004E3A34">
        <w:rPr>
          <w:bCs/>
          <w:lang w:val="ru-RU"/>
        </w:rPr>
        <w:t xml:space="preserve">  </w:t>
      </w:r>
      <w:r w:rsidRPr="003E2AFF">
        <w:rPr>
          <w:bCs/>
        </w:rPr>
        <w:t>През периода са извършени възстановявания от бенефициенти по дългове на стойност</w:t>
      </w:r>
      <w:r>
        <w:rPr>
          <w:bCs/>
        </w:rPr>
        <w:t xml:space="preserve"> 0,</w:t>
      </w:r>
      <w:r w:rsidRPr="004E3A34">
        <w:rPr>
          <w:bCs/>
          <w:lang w:val="ru-RU"/>
        </w:rPr>
        <w:t>0</w:t>
      </w:r>
      <w:r w:rsidRPr="003E2AFF">
        <w:rPr>
          <w:bCs/>
        </w:rPr>
        <w:t>3 млн. лева.</w:t>
      </w:r>
    </w:p>
    <w:p w:rsidR="00F86B8F" w:rsidRPr="00BC364F" w:rsidRDefault="00F86B8F" w:rsidP="00BC364F">
      <w:pPr>
        <w:pStyle w:val="Heading1"/>
        <w:numPr>
          <w:ilvl w:val="0"/>
          <w:numId w:val="8"/>
        </w:numPr>
        <w:spacing w:before="360"/>
        <w:ind w:right="-108"/>
        <w:jc w:val="both"/>
        <w:rPr>
          <w:sz w:val="24"/>
        </w:rPr>
      </w:pPr>
      <w:r w:rsidRPr="00AE4C21">
        <w:rPr>
          <w:sz w:val="24"/>
        </w:rPr>
        <w:lastRenderedPageBreak/>
        <w:t xml:space="preserve">Бюджети на социално и здравноосигурителните </w:t>
      </w:r>
      <w:r w:rsidR="00BC364F" w:rsidRPr="00BC364F">
        <w:rPr>
          <w:sz w:val="24"/>
        </w:rPr>
        <w:t>фондове, общинските и други автономни бюджети</w:t>
      </w:r>
    </w:p>
    <w:p w:rsidR="00F86B8F" w:rsidRPr="00AE4C21" w:rsidRDefault="00F86B8F" w:rsidP="00F86B8F">
      <w:pPr>
        <w:pStyle w:val="Heading1"/>
        <w:numPr>
          <w:ilvl w:val="1"/>
          <w:numId w:val="8"/>
        </w:numPr>
        <w:spacing w:before="240"/>
        <w:ind w:left="788" w:right="-108" w:hanging="431"/>
        <w:jc w:val="both"/>
        <w:rPr>
          <w:sz w:val="24"/>
        </w:rPr>
      </w:pPr>
      <w:r w:rsidRPr="00AE4C21">
        <w:rPr>
          <w:sz w:val="24"/>
        </w:rPr>
        <w:t>Социално и здравноосигурителни фондове</w:t>
      </w:r>
    </w:p>
    <w:p w:rsidR="00F86B8F" w:rsidRPr="00AE4C21" w:rsidRDefault="00F86B8F" w:rsidP="00F86B8F">
      <w:pPr>
        <w:numPr>
          <w:ilvl w:val="1"/>
          <w:numId w:val="5"/>
        </w:numPr>
        <w:spacing w:before="240" w:line="276" w:lineRule="auto"/>
        <w:ind w:left="992" w:hanging="357"/>
        <w:jc w:val="both"/>
        <w:rPr>
          <w:b/>
          <w:bCs/>
        </w:rPr>
      </w:pPr>
      <w:r w:rsidRPr="00AE4C21">
        <w:rPr>
          <w:b/>
        </w:rPr>
        <w:t>Държавно обществено осигуряване</w:t>
      </w:r>
    </w:p>
    <w:p w:rsidR="002466EF" w:rsidRPr="005A3C89" w:rsidRDefault="002466EF" w:rsidP="002466EF">
      <w:pPr>
        <w:ind w:firstLine="567"/>
        <w:jc w:val="both"/>
        <w:rPr>
          <w:rFonts w:eastAsiaTheme="minorHAnsi"/>
        </w:rPr>
      </w:pPr>
      <w:r w:rsidRPr="005A3C89">
        <w:t xml:space="preserve">Общата сума на </w:t>
      </w:r>
      <w:r w:rsidRPr="005A3C89">
        <w:rPr>
          <w:b/>
        </w:rPr>
        <w:t>приходите, помощите и даренията</w:t>
      </w:r>
      <w:r w:rsidRPr="005A3C89">
        <w:t xml:space="preserve"> по бюджета на Държавното обществено осигуряване (ДОО) към 3</w:t>
      </w:r>
      <w:r w:rsidRPr="005A3C89">
        <w:rPr>
          <w:lang w:val="en-US"/>
        </w:rPr>
        <w:t>1</w:t>
      </w:r>
      <w:r w:rsidRPr="005A3C89">
        <w:t>.</w:t>
      </w:r>
      <w:r w:rsidRPr="005A3C89">
        <w:rPr>
          <w:lang w:val="en-US"/>
        </w:rPr>
        <w:t>12</w:t>
      </w:r>
      <w:r w:rsidRPr="005A3C89">
        <w:t xml:space="preserve">.2025 г. възлиза на </w:t>
      </w:r>
      <w:r w:rsidRPr="005A3C89">
        <w:rPr>
          <w:lang w:val="ru-RU"/>
        </w:rPr>
        <w:t>1</w:t>
      </w:r>
      <w:r w:rsidRPr="005A3C89">
        <w:rPr>
          <w:lang w:val="en-US"/>
        </w:rPr>
        <w:t>5</w:t>
      </w:r>
      <w:r w:rsidRPr="005A3C89">
        <w:rPr>
          <w:lang w:val="ru-RU"/>
        </w:rPr>
        <w:t xml:space="preserve"> </w:t>
      </w:r>
      <w:r w:rsidRPr="005A3C89">
        <w:rPr>
          <w:lang w:val="en-US"/>
        </w:rPr>
        <w:t>157</w:t>
      </w:r>
      <w:r w:rsidRPr="005A3C89">
        <w:t>,</w:t>
      </w:r>
      <w:r w:rsidRPr="005A3C89">
        <w:rPr>
          <w:lang w:val="en-US"/>
        </w:rPr>
        <w:t>2</w:t>
      </w:r>
      <w:r w:rsidRPr="005A3C89">
        <w:t xml:space="preserve"> млн. лв. Съпоставени с 2024 г., приходите по бюджета на ДОО нарастват с</w:t>
      </w:r>
      <w:r w:rsidRPr="005A3C89">
        <w:rPr>
          <w:lang w:val="ru-RU"/>
        </w:rPr>
        <w:t xml:space="preserve"> </w:t>
      </w:r>
      <w:r w:rsidRPr="005A3C89">
        <w:rPr>
          <w:lang w:val="en-US"/>
        </w:rPr>
        <w:t>2</w:t>
      </w:r>
      <w:r w:rsidRPr="005A3C89">
        <w:rPr>
          <w:lang w:val="ru-RU"/>
        </w:rPr>
        <w:t xml:space="preserve"> </w:t>
      </w:r>
      <w:r w:rsidRPr="005A3C89">
        <w:rPr>
          <w:lang w:val="en-US"/>
        </w:rPr>
        <w:t>057</w:t>
      </w:r>
      <w:r w:rsidRPr="005A3C89">
        <w:rPr>
          <w:lang w:val="ru-RU"/>
        </w:rPr>
        <w:t>,</w:t>
      </w:r>
      <w:r w:rsidRPr="005A3C89">
        <w:rPr>
          <w:lang w:val="en-US"/>
        </w:rPr>
        <w:t>9</w:t>
      </w:r>
      <w:r w:rsidRPr="005A3C89">
        <w:t xml:space="preserve"> млн. лв. (15,</w:t>
      </w:r>
      <w:r w:rsidRPr="005A3C89">
        <w:rPr>
          <w:lang w:val="en-US"/>
        </w:rPr>
        <w:t>7</w:t>
      </w:r>
      <w:r w:rsidRPr="005A3C89">
        <w:t xml:space="preserve"> %). Постъпилите средства представляват </w:t>
      </w:r>
      <w:r w:rsidRPr="005A3C89">
        <w:rPr>
          <w:lang w:val="en-US"/>
        </w:rPr>
        <w:t>99</w:t>
      </w:r>
      <w:r w:rsidRPr="005A3C89">
        <w:t>,</w:t>
      </w:r>
      <w:r w:rsidRPr="005A3C89">
        <w:rPr>
          <w:lang w:val="en-US"/>
        </w:rPr>
        <w:t>6</w:t>
      </w:r>
      <w:r w:rsidRPr="005A3C89">
        <w:t xml:space="preserve"> % </w:t>
      </w:r>
      <w:r w:rsidR="00A77A58">
        <w:t>от</w:t>
      </w:r>
      <w:r w:rsidRPr="005A3C89">
        <w:t xml:space="preserve"> разчетените в Закона за бюджета на Държавното обществено осигуряване за 2025 г. (ЗБДОО за  2025 г.). Най-голям е делът на приходите от осигурителни вноски (98,</w:t>
      </w:r>
      <w:r w:rsidRPr="005A3C89">
        <w:rPr>
          <w:lang w:val="en-US"/>
        </w:rPr>
        <w:t>1</w:t>
      </w:r>
      <w:r w:rsidRPr="005A3C89">
        <w:t xml:space="preserve"> % от общите приходи), като за отчетния период те са в размер на 1</w:t>
      </w:r>
      <w:r w:rsidRPr="005A3C89">
        <w:rPr>
          <w:lang w:val="en-US"/>
        </w:rPr>
        <w:t>4</w:t>
      </w:r>
      <w:r w:rsidRPr="005A3C89">
        <w:t> 8</w:t>
      </w:r>
      <w:r w:rsidRPr="005A3C89">
        <w:rPr>
          <w:lang w:val="en-US"/>
        </w:rPr>
        <w:t>70</w:t>
      </w:r>
      <w:r w:rsidRPr="005A3C89">
        <w:t>,</w:t>
      </w:r>
      <w:r w:rsidRPr="005A3C89">
        <w:rPr>
          <w:lang w:val="en-US"/>
        </w:rPr>
        <w:t>5</w:t>
      </w:r>
      <w:r w:rsidRPr="005A3C89">
        <w:t xml:space="preserve"> млн. лв. Приходите от осигурителни вноски към 3</w:t>
      </w:r>
      <w:r w:rsidRPr="005A3C89">
        <w:rPr>
          <w:lang w:val="en-US"/>
        </w:rPr>
        <w:t>1</w:t>
      </w:r>
      <w:r w:rsidRPr="005A3C89">
        <w:t>.</w:t>
      </w:r>
      <w:r w:rsidRPr="005A3C89">
        <w:rPr>
          <w:lang w:val="en-US"/>
        </w:rPr>
        <w:t>12</w:t>
      </w:r>
      <w:r w:rsidRPr="005A3C89">
        <w:t xml:space="preserve">.2025 г. са </w:t>
      </w:r>
      <w:r w:rsidRPr="005A3C89">
        <w:rPr>
          <w:lang w:val="en-US"/>
        </w:rPr>
        <w:t>98</w:t>
      </w:r>
      <w:r w:rsidRPr="005A3C89">
        <w:t>,</w:t>
      </w:r>
      <w:r w:rsidRPr="005A3C89">
        <w:rPr>
          <w:lang w:val="en-US"/>
        </w:rPr>
        <w:t>6</w:t>
      </w:r>
      <w:r w:rsidRPr="005A3C89">
        <w:t xml:space="preserve"> % от разчетите към ЗБДОО за 2025</w:t>
      </w:r>
      <w:r w:rsidR="006C6503">
        <w:t> </w:t>
      </w:r>
      <w:r w:rsidRPr="005A3C89">
        <w:t>г.</w:t>
      </w:r>
    </w:p>
    <w:p w:rsidR="002466EF" w:rsidRPr="005A3C89" w:rsidRDefault="002466EF" w:rsidP="002466EF">
      <w:pPr>
        <w:ind w:firstLine="567"/>
        <w:jc w:val="both"/>
        <w:rPr>
          <w:bCs/>
        </w:rPr>
      </w:pPr>
      <w:r w:rsidRPr="005A3C89">
        <w:rPr>
          <w:bCs/>
        </w:rPr>
        <w:t xml:space="preserve">Отчетените неданъчни приходи към края 2025 г. по бюджета на ДОО възлизат на </w:t>
      </w:r>
      <w:r w:rsidRPr="005A3C89">
        <w:rPr>
          <w:bCs/>
          <w:lang w:val="en-US"/>
        </w:rPr>
        <w:t>286</w:t>
      </w:r>
      <w:r w:rsidRPr="005A3C89">
        <w:rPr>
          <w:bCs/>
        </w:rPr>
        <w:t>,</w:t>
      </w:r>
      <w:r w:rsidRPr="005A3C89">
        <w:rPr>
          <w:bCs/>
          <w:lang w:val="en-US"/>
        </w:rPr>
        <w:t>3</w:t>
      </w:r>
      <w:r w:rsidR="00D70FDE">
        <w:rPr>
          <w:bCs/>
        </w:rPr>
        <w:t> </w:t>
      </w:r>
      <w:r w:rsidRPr="005A3C89">
        <w:rPr>
          <w:bCs/>
        </w:rPr>
        <w:t xml:space="preserve">млн. лв., в т.ч. </w:t>
      </w:r>
      <w:r w:rsidRPr="005A3C89">
        <w:rPr>
          <w:bCs/>
          <w:lang w:val="en-US"/>
        </w:rPr>
        <w:t>266</w:t>
      </w:r>
      <w:r w:rsidRPr="005A3C89">
        <w:rPr>
          <w:bCs/>
        </w:rPr>
        <w:t>,</w:t>
      </w:r>
      <w:r w:rsidRPr="005A3C89">
        <w:rPr>
          <w:bCs/>
          <w:lang w:val="en-US"/>
        </w:rPr>
        <w:t>3</w:t>
      </w:r>
      <w:r w:rsidRPr="005A3C89">
        <w:rPr>
          <w:bCs/>
        </w:rPr>
        <w:t xml:space="preserve"> млн. лв. постъпили средства по чл. 4б, чл. 4в и чл. 69б от Кодекса за социално осигуряване (КСО)</w:t>
      </w:r>
      <w:r w:rsidRPr="005A3C89">
        <w:t>.</w:t>
      </w:r>
      <w:r w:rsidRPr="005A3C89">
        <w:rPr>
          <w:bCs/>
        </w:rPr>
        <w:t xml:space="preserve"> </w:t>
      </w:r>
    </w:p>
    <w:p w:rsidR="002466EF" w:rsidRPr="005A3C89" w:rsidRDefault="002466EF" w:rsidP="002466EF">
      <w:pPr>
        <w:ind w:firstLine="567"/>
        <w:jc w:val="both"/>
        <w:rPr>
          <w:bCs/>
        </w:rPr>
      </w:pPr>
      <w:r w:rsidRPr="005A3C89">
        <w:rPr>
          <w:bCs/>
        </w:rPr>
        <w:t xml:space="preserve">Получените трансфери от централния бюджет (вкл. за поети осигурителни вноски) за периода са </w:t>
      </w:r>
      <w:r w:rsidRPr="005A3C89">
        <w:rPr>
          <w:bCs/>
          <w:lang w:val="en-US"/>
        </w:rPr>
        <w:t>12</w:t>
      </w:r>
      <w:r w:rsidRPr="005A3C89">
        <w:rPr>
          <w:bCs/>
        </w:rPr>
        <w:t> </w:t>
      </w:r>
      <w:r w:rsidRPr="005A3C89">
        <w:rPr>
          <w:bCs/>
          <w:lang w:val="en-US"/>
        </w:rPr>
        <w:t>196</w:t>
      </w:r>
      <w:r w:rsidRPr="005A3C89">
        <w:rPr>
          <w:bCs/>
        </w:rPr>
        <w:t>,</w:t>
      </w:r>
      <w:r w:rsidRPr="005A3C89">
        <w:rPr>
          <w:bCs/>
          <w:lang w:val="en-US"/>
        </w:rPr>
        <w:t>0</w:t>
      </w:r>
      <w:r w:rsidRPr="005A3C89">
        <w:rPr>
          <w:bCs/>
        </w:rPr>
        <w:t xml:space="preserve"> млн. лв.</w:t>
      </w:r>
    </w:p>
    <w:p w:rsidR="002466EF" w:rsidRPr="009F3E97" w:rsidRDefault="002466EF" w:rsidP="002466EF">
      <w:pPr>
        <w:tabs>
          <w:tab w:val="num" w:pos="1499"/>
          <w:tab w:val="num" w:pos="2148"/>
        </w:tabs>
        <w:ind w:firstLine="567"/>
        <w:jc w:val="both"/>
        <w:rPr>
          <w:bCs/>
        </w:rPr>
      </w:pPr>
      <w:r w:rsidRPr="00793F3D">
        <w:rPr>
          <w:bCs/>
        </w:rPr>
        <w:t xml:space="preserve">Размерът на извършените </w:t>
      </w:r>
      <w:r w:rsidRPr="00793F3D">
        <w:rPr>
          <w:b/>
          <w:bCs/>
        </w:rPr>
        <w:t xml:space="preserve">разходи </w:t>
      </w:r>
      <w:r w:rsidRPr="00793F3D">
        <w:rPr>
          <w:bCs/>
        </w:rPr>
        <w:t xml:space="preserve">през 2025 г. по бюджета на ДОО е 27 283,2 млн. лв. Спрямо предходната година общо разходите по бюджета на ДОО са с 2 668,2 млн. лв. (10,8 %) повече. Изразходваните средства представляват 99,6 % от разчетените със ЗБДОО 2025 г. разходи. От структурна гледна точка най-голям относителен дял в общите разходи заемат разходите за пенсии, обезщетения и помощи, изплащани на основание КСО – общо 27 083,8 млн. лв. или 99,3 % от общия размер на разходите за отчетния </w:t>
      </w:r>
      <w:r w:rsidRPr="009F3E97">
        <w:rPr>
          <w:bCs/>
        </w:rPr>
        <w:t xml:space="preserve">период. </w:t>
      </w:r>
    </w:p>
    <w:p w:rsidR="002466EF" w:rsidRPr="009F3E97" w:rsidRDefault="002466EF" w:rsidP="002466EF">
      <w:pPr>
        <w:tabs>
          <w:tab w:val="num" w:pos="1499"/>
          <w:tab w:val="num" w:pos="2148"/>
        </w:tabs>
        <w:ind w:firstLine="567"/>
        <w:jc w:val="both"/>
        <w:rPr>
          <w:bCs/>
        </w:rPr>
      </w:pPr>
      <w:r w:rsidRPr="009F3E97">
        <w:rPr>
          <w:bCs/>
        </w:rPr>
        <w:t xml:space="preserve">Отчетените разходи за </w:t>
      </w:r>
      <w:r w:rsidRPr="009F3E97">
        <w:rPr>
          <w:b/>
          <w:bCs/>
          <w:i/>
        </w:rPr>
        <w:t>пенсии</w:t>
      </w:r>
      <w:r w:rsidRPr="009F3E97">
        <w:rPr>
          <w:bCs/>
        </w:rPr>
        <w:t xml:space="preserve"> по бюджета на ДОО към 31.12.2025 г. възлизат на 24 125,7 млн. лв., което е с 2 459,0 млн. лв. повече спрямо 2024 г. и представляват 100,1 % </w:t>
      </w:r>
      <w:r w:rsidR="006A02AE">
        <w:rPr>
          <w:bCs/>
        </w:rPr>
        <w:t>спрямо</w:t>
      </w:r>
      <w:r w:rsidRPr="009F3E97">
        <w:rPr>
          <w:bCs/>
        </w:rPr>
        <w:t xml:space="preserve"> разчета за годината. Основните причини за това са изплащането през първото полугодие на 2025</w:t>
      </w:r>
      <w:r w:rsidR="00D70FDE">
        <w:rPr>
          <w:bCs/>
        </w:rPr>
        <w:t> </w:t>
      </w:r>
      <w:r w:rsidRPr="009F3E97">
        <w:rPr>
          <w:bCs/>
        </w:rPr>
        <w:t xml:space="preserve"> г. на осъвременените пенсии с 11 % от 1 юли 2024 г., както и осъвременяването на пенсиите от 1 юли 2025 г. с 8,6 %.</w:t>
      </w:r>
    </w:p>
    <w:p w:rsidR="002466EF" w:rsidRPr="0016301F" w:rsidRDefault="002466EF" w:rsidP="002466EF">
      <w:pPr>
        <w:tabs>
          <w:tab w:val="num" w:pos="1499"/>
          <w:tab w:val="num" w:pos="2148"/>
        </w:tabs>
        <w:ind w:firstLine="567"/>
        <w:jc w:val="both"/>
      </w:pPr>
      <w:r w:rsidRPr="00A36699">
        <w:t xml:space="preserve">Отчетените разходи за </w:t>
      </w:r>
      <w:r w:rsidRPr="00A36699">
        <w:rPr>
          <w:b/>
          <w:i/>
        </w:rPr>
        <w:t>краткосрочни обезщетения и помощи по КСО</w:t>
      </w:r>
      <w:r w:rsidRPr="00A36699">
        <w:t xml:space="preserve"> са в размер </w:t>
      </w:r>
      <w:r w:rsidRPr="0016301F">
        <w:t>на 2</w:t>
      </w:r>
      <w:r w:rsidRPr="0016301F">
        <w:rPr>
          <w:lang w:val="en-US"/>
        </w:rPr>
        <w:t> </w:t>
      </w:r>
      <w:r w:rsidRPr="0016301F">
        <w:t>958,0 млн. лева. Спрямо същия период на миналата година изплатените обезщетения по КСО са с 202,9 млн. лв. (7,4 %) повече. Спрямо разчета в ЗБДОО за 2025 г. изпълнението е 96,2 %.</w:t>
      </w:r>
    </w:p>
    <w:p w:rsidR="002466EF" w:rsidRPr="0016301F" w:rsidRDefault="002466EF" w:rsidP="002466EF">
      <w:pPr>
        <w:numPr>
          <w:ilvl w:val="1"/>
          <w:numId w:val="5"/>
        </w:numPr>
        <w:tabs>
          <w:tab w:val="num" w:pos="709"/>
          <w:tab w:val="left" w:pos="851"/>
          <w:tab w:val="left" w:pos="1134"/>
        </w:tabs>
        <w:spacing w:before="240" w:line="276" w:lineRule="auto"/>
        <w:ind w:left="709" w:hanging="357"/>
        <w:jc w:val="both"/>
        <w:rPr>
          <w:b/>
          <w:bCs/>
        </w:rPr>
      </w:pPr>
      <w:r w:rsidRPr="0016301F">
        <w:rPr>
          <w:b/>
          <w:bCs/>
        </w:rPr>
        <w:t>Национална здравноосигурителна каса</w:t>
      </w:r>
    </w:p>
    <w:p w:rsidR="002466EF" w:rsidRPr="00AB0E8F" w:rsidRDefault="002466EF" w:rsidP="002466EF">
      <w:pPr>
        <w:ind w:firstLine="567"/>
        <w:jc w:val="both"/>
      </w:pPr>
      <w:r w:rsidRPr="0016301F">
        <w:t xml:space="preserve">Общият размер на събраните </w:t>
      </w:r>
      <w:r w:rsidRPr="0016301F">
        <w:rPr>
          <w:b/>
        </w:rPr>
        <w:t>приходи, помощи и дарения</w:t>
      </w:r>
      <w:r w:rsidRPr="0016301F">
        <w:t xml:space="preserve"> по бюджета на НЗОК за 2025 г. възлиза на 5 732,6 млн. лв., което е с 694,3 млн. лв.  (13,8 %) повече в сравнение с предходната година. Постъпилите средства представляват 99,3 % от предвидените в Закона за бюджета на Националната здравноосигурителна каса за 2025 г. (ЗБНЗОК за 2025 г.) приходи. Постъпленията от здравноосигурителни вноски са в размер на 5 698,0 млн. лв., което е 99,2 % от предвидените в ЗБНЗОК за 2025 г. и с 691,1 млн. лв. повече спрямо 2024 г. Събраните неданъчни приходи към 31.12.2025 г. са 34,6 млн. лв., като </w:t>
      </w:r>
      <w:r w:rsidRPr="00AB0E8F">
        <w:t xml:space="preserve">основната част от тях са приходи от глоби, санкции и наказателни лихви. </w:t>
      </w:r>
    </w:p>
    <w:p w:rsidR="002466EF" w:rsidRPr="00153F5F" w:rsidRDefault="002466EF" w:rsidP="002466EF">
      <w:pPr>
        <w:ind w:firstLine="567"/>
        <w:jc w:val="both"/>
        <w:rPr>
          <w:lang w:val="ru-RU"/>
        </w:rPr>
      </w:pPr>
      <w:r w:rsidRPr="00AB0E8F">
        <w:t>Полученият трансфер от МЗ за</w:t>
      </w:r>
      <w:r w:rsidRPr="00AB0E8F">
        <w:rPr>
          <w:szCs w:val="20"/>
        </w:rPr>
        <w:t xml:space="preserve"> финансиране на разходите </w:t>
      </w:r>
      <w:r w:rsidRPr="00AB0E8F">
        <w:t xml:space="preserve">за лекарствени продукти – ваксини и дейности по прилагането им по чл. 82, ал. 2, т. 3 от Закона за здравето; за дейности за здравно неосигурени лица, включващи: интензивно лечение; комплексно диспансерно (амбулаторно) наблюдение при пациенти с кожно-венерически и психиатрични заболявания; </w:t>
      </w:r>
      <w:r w:rsidRPr="00AB0E8F">
        <w:rPr>
          <w:szCs w:val="20"/>
        </w:rPr>
        <w:t xml:space="preserve">дейности по чл. 82, ал. 1, т. 2 от ЗЗ, за сумите по чл. 37, ал. 6 от Закона за здравното осигуряване (ЗЗО) и за медицински изделия, помощни средства, </w:t>
      </w:r>
      <w:r w:rsidRPr="00153F5F">
        <w:rPr>
          <w:szCs w:val="20"/>
        </w:rPr>
        <w:t>приспособления и съоръжения за хората с увреждания извън обхвата на задължителното здравно осигуряване</w:t>
      </w:r>
      <w:r w:rsidRPr="00153F5F">
        <w:t xml:space="preserve"> </w:t>
      </w:r>
      <w:r w:rsidRPr="00153F5F">
        <w:rPr>
          <w:szCs w:val="20"/>
        </w:rPr>
        <w:t>за отчетния период e в размер на 213,1</w:t>
      </w:r>
      <w:r w:rsidRPr="00153F5F">
        <w:t xml:space="preserve"> млн. лева.</w:t>
      </w:r>
    </w:p>
    <w:p w:rsidR="002466EF" w:rsidRPr="00153F5F" w:rsidRDefault="002466EF" w:rsidP="002466EF">
      <w:pPr>
        <w:ind w:firstLine="567"/>
        <w:jc w:val="both"/>
      </w:pPr>
      <w:r w:rsidRPr="00153F5F">
        <w:t xml:space="preserve">Получените трансфери от централния бюджет (вкл. за поети осигурителни вноски) за периода са 3 509,7 млн. лв. </w:t>
      </w:r>
    </w:p>
    <w:p w:rsidR="002466EF" w:rsidRPr="00153F5F" w:rsidRDefault="002466EF" w:rsidP="002466EF">
      <w:pPr>
        <w:ind w:firstLine="567"/>
        <w:jc w:val="both"/>
      </w:pPr>
      <w:r w:rsidRPr="00153F5F">
        <w:lastRenderedPageBreak/>
        <w:t xml:space="preserve">Отчетените </w:t>
      </w:r>
      <w:r w:rsidRPr="00153F5F">
        <w:rPr>
          <w:b/>
        </w:rPr>
        <w:t>разходи</w:t>
      </w:r>
      <w:r w:rsidRPr="00153F5F">
        <w:t xml:space="preserve"> към 31.12.2025 г. са в размер на 9 222,3 млн. лв. и нарастват с 1</w:t>
      </w:r>
      <w:r w:rsidR="006F2A14">
        <w:t> </w:t>
      </w:r>
      <w:r w:rsidRPr="00153F5F">
        <w:t>073,2</w:t>
      </w:r>
      <w:r w:rsidRPr="00153F5F">
        <w:rPr>
          <w:lang w:val="en-US"/>
        </w:rPr>
        <w:t> </w:t>
      </w:r>
      <w:r w:rsidRPr="00153F5F">
        <w:t xml:space="preserve">млн. лв. (13,2 %) спрямо </w:t>
      </w:r>
      <w:r w:rsidR="006F2CB5" w:rsidRPr="006F2CB5">
        <w:t>предходната</w:t>
      </w:r>
      <w:r w:rsidR="006F2CB5">
        <w:t xml:space="preserve"> </w:t>
      </w:r>
      <w:r w:rsidRPr="00153F5F">
        <w:t>година. Спрямо годишните разчети извършените разходи представляват 97,3 %.</w:t>
      </w:r>
    </w:p>
    <w:p w:rsidR="002466EF" w:rsidRPr="00153F5F" w:rsidRDefault="002466EF" w:rsidP="002466EF">
      <w:pPr>
        <w:ind w:firstLine="567"/>
        <w:jc w:val="both"/>
      </w:pPr>
      <w:r w:rsidRPr="00153F5F">
        <w:t>Най-голям относителен дял в общите разходи (96,3 %) заемат здравноосигурителните плащания, които възлизат на 8 876,9 млн. лева. В отделните направления на здравноосигурителни плащания изпълнението на бюджета за 2025 г. е следното:</w:t>
      </w:r>
    </w:p>
    <w:p w:rsidR="002466EF" w:rsidRPr="00D70391" w:rsidRDefault="002466EF" w:rsidP="002466EF">
      <w:pPr>
        <w:numPr>
          <w:ilvl w:val="0"/>
          <w:numId w:val="12"/>
        </w:numPr>
        <w:tabs>
          <w:tab w:val="num" w:pos="0"/>
          <w:tab w:val="left" w:pos="720"/>
          <w:tab w:val="left" w:pos="1134"/>
        </w:tabs>
        <w:spacing w:before="120" w:line="276" w:lineRule="auto"/>
        <w:ind w:hanging="6169"/>
        <w:jc w:val="both"/>
        <w:rPr>
          <w:bCs/>
        </w:rPr>
      </w:pPr>
      <w:r w:rsidRPr="00D70391">
        <w:rPr>
          <w:b/>
          <w:i/>
        </w:rPr>
        <w:t xml:space="preserve">първична </w:t>
      </w:r>
      <w:proofErr w:type="spellStart"/>
      <w:r w:rsidRPr="00D70391">
        <w:rPr>
          <w:b/>
          <w:i/>
        </w:rPr>
        <w:t>извънболнична</w:t>
      </w:r>
      <w:proofErr w:type="spellEnd"/>
      <w:r w:rsidRPr="00D70391">
        <w:rPr>
          <w:b/>
          <w:i/>
        </w:rPr>
        <w:t xml:space="preserve"> медицинска помощ</w:t>
      </w:r>
      <w:r w:rsidRPr="00D70391">
        <w:rPr>
          <w:i/>
        </w:rPr>
        <w:t xml:space="preserve"> –</w:t>
      </w:r>
      <w:r w:rsidRPr="00D70391">
        <w:t xml:space="preserve"> 646,3 млн. лева;</w:t>
      </w:r>
      <w:r w:rsidRPr="00D70391">
        <w:rPr>
          <w:bCs/>
        </w:rPr>
        <w:t xml:space="preserve"> </w:t>
      </w:r>
    </w:p>
    <w:p w:rsidR="002466EF" w:rsidRPr="00D70391" w:rsidRDefault="002466EF" w:rsidP="002466EF">
      <w:pPr>
        <w:numPr>
          <w:ilvl w:val="0"/>
          <w:numId w:val="12"/>
        </w:numPr>
        <w:tabs>
          <w:tab w:val="num" w:pos="0"/>
          <w:tab w:val="left" w:pos="720"/>
          <w:tab w:val="left" w:pos="1134"/>
        </w:tabs>
        <w:spacing w:line="276" w:lineRule="auto"/>
        <w:ind w:hanging="6169"/>
        <w:jc w:val="both"/>
        <w:rPr>
          <w:i/>
        </w:rPr>
      </w:pPr>
      <w:r w:rsidRPr="00D70391">
        <w:rPr>
          <w:b/>
          <w:i/>
        </w:rPr>
        <w:t xml:space="preserve">специализирана </w:t>
      </w:r>
      <w:proofErr w:type="spellStart"/>
      <w:r w:rsidRPr="00D70391">
        <w:rPr>
          <w:b/>
          <w:i/>
        </w:rPr>
        <w:t>извънболнична</w:t>
      </w:r>
      <w:proofErr w:type="spellEnd"/>
      <w:r w:rsidRPr="00D70391">
        <w:rPr>
          <w:b/>
          <w:i/>
        </w:rPr>
        <w:t xml:space="preserve"> медицинска помощ </w:t>
      </w:r>
      <w:r w:rsidRPr="00D70391">
        <w:t xml:space="preserve"> – 650,2 млн. лева;</w:t>
      </w:r>
    </w:p>
    <w:p w:rsidR="002466EF" w:rsidRPr="00D70391" w:rsidRDefault="002466EF" w:rsidP="002466EF">
      <w:pPr>
        <w:numPr>
          <w:ilvl w:val="0"/>
          <w:numId w:val="12"/>
        </w:numPr>
        <w:tabs>
          <w:tab w:val="num" w:pos="0"/>
          <w:tab w:val="left" w:pos="720"/>
          <w:tab w:val="left" w:pos="1134"/>
        </w:tabs>
        <w:spacing w:line="276" w:lineRule="auto"/>
        <w:ind w:hanging="6169"/>
        <w:jc w:val="both"/>
        <w:rPr>
          <w:b/>
        </w:rPr>
      </w:pPr>
      <w:r w:rsidRPr="00D70391">
        <w:rPr>
          <w:b/>
          <w:i/>
        </w:rPr>
        <w:t xml:space="preserve">дентална помощ </w:t>
      </w:r>
      <w:r w:rsidRPr="00D70391">
        <w:rPr>
          <w:b/>
        </w:rPr>
        <w:t xml:space="preserve">– </w:t>
      </w:r>
      <w:r w:rsidRPr="00D70391">
        <w:t>416,4 млн. лева;</w:t>
      </w:r>
    </w:p>
    <w:p w:rsidR="002466EF" w:rsidRPr="00D70391" w:rsidRDefault="002466EF" w:rsidP="002466EF">
      <w:pPr>
        <w:numPr>
          <w:ilvl w:val="0"/>
          <w:numId w:val="12"/>
        </w:numPr>
        <w:tabs>
          <w:tab w:val="num" w:pos="0"/>
          <w:tab w:val="left" w:pos="720"/>
          <w:tab w:val="left" w:pos="1134"/>
        </w:tabs>
        <w:spacing w:line="276" w:lineRule="auto"/>
        <w:ind w:hanging="6169"/>
        <w:jc w:val="both"/>
        <w:rPr>
          <w:b/>
          <w:i/>
        </w:rPr>
      </w:pPr>
      <w:r w:rsidRPr="00D70391">
        <w:rPr>
          <w:b/>
          <w:i/>
        </w:rPr>
        <w:t xml:space="preserve">медико-диагностична дейност </w:t>
      </w:r>
      <w:r w:rsidRPr="00D70391">
        <w:rPr>
          <w:b/>
        </w:rPr>
        <w:t xml:space="preserve">– </w:t>
      </w:r>
      <w:r w:rsidRPr="00D70391">
        <w:t>311,2 млн. лева;</w:t>
      </w:r>
      <w:r w:rsidRPr="00D70391">
        <w:rPr>
          <w:b/>
          <w:i/>
        </w:rPr>
        <w:t xml:space="preserve"> </w:t>
      </w:r>
    </w:p>
    <w:p w:rsidR="002466EF" w:rsidRPr="00D70391" w:rsidRDefault="002466EF" w:rsidP="002466EF">
      <w:pPr>
        <w:numPr>
          <w:ilvl w:val="0"/>
          <w:numId w:val="12"/>
        </w:numPr>
        <w:tabs>
          <w:tab w:val="num" w:pos="0"/>
          <w:tab w:val="left" w:pos="1134"/>
        </w:tabs>
        <w:spacing w:line="276" w:lineRule="auto"/>
        <w:ind w:left="1134" w:hanging="425"/>
        <w:jc w:val="both"/>
      </w:pPr>
      <w:r w:rsidRPr="00D70391">
        <w:rPr>
          <w:b/>
          <w:i/>
        </w:rPr>
        <w:t xml:space="preserve">лекарствени продукти, медицински изделия и диетични храни за домашно лечение на територията на страната  - </w:t>
      </w:r>
      <w:r w:rsidRPr="00B346FA">
        <w:t>1</w:t>
      </w:r>
      <w:r w:rsidRPr="00D70391">
        <w:t xml:space="preserve"> 253,4 млн. лв.</w:t>
      </w:r>
      <w:r w:rsidR="007077AD" w:rsidRPr="00D70391">
        <w:t>;</w:t>
      </w:r>
    </w:p>
    <w:p w:rsidR="002466EF" w:rsidRPr="00D70391" w:rsidRDefault="002466EF" w:rsidP="002466EF">
      <w:pPr>
        <w:numPr>
          <w:ilvl w:val="0"/>
          <w:numId w:val="12"/>
        </w:numPr>
        <w:tabs>
          <w:tab w:val="num" w:pos="0"/>
          <w:tab w:val="left" w:pos="1134"/>
          <w:tab w:val="num" w:pos="6096"/>
        </w:tabs>
        <w:spacing w:line="276" w:lineRule="auto"/>
        <w:ind w:left="1134" w:hanging="425"/>
        <w:jc w:val="both"/>
      </w:pPr>
      <w:r w:rsidRPr="00D70391">
        <w:rPr>
          <w:b/>
          <w:i/>
        </w:rPr>
        <w:t xml:space="preserve"> лекарствени продукти за лечение на злокачествени заболявания в условията на болнична медицинска помощ </w:t>
      </w:r>
      <w:r w:rsidRPr="00D70391">
        <w:t xml:space="preserve"> – 1 003,9 млн. лева;</w:t>
      </w:r>
    </w:p>
    <w:p w:rsidR="002466EF" w:rsidRPr="00C25B8B" w:rsidRDefault="002466EF" w:rsidP="002466EF">
      <w:pPr>
        <w:numPr>
          <w:ilvl w:val="0"/>
          <w:numId w:val="12"/>
        </w:numPr>
        <w:tabs>
          <w:tab w:val="num" w:pos="0"/>
          <w:tab w:val="left" w:pos="720"/>
          <w:tab w:val="num" w:pos="1134"/>
        </w:tabs>
        <w:spacing w:line="276" w:lineRule="auto"/>
        <w:ind w:left="1134" w:hanging="425"/>
        <w:jc w:val="both"/>
        <w:rPr>
          <w:color w:val="0070C0"/>
        </w:rPr>
      </w:pPr>
      <w:r w:rsidRPr="00D70391">
        <w:rPr>
          <w:b/>
          <w:i/>
        </w:rPr>
        <w:t>медицински изделия, прилагани в болничната  помощ –</w:t>
      </w:r>
      <w:r w:rsidRPr="00D70391">
        <w:t xml:space="preserve"> 214,0 млн. лева;</w:t>
      </w:r>
    </w:p>
    <w:p w:rsidR="002466EF" w:rsidRPr="00D70391" w:rsidRDefault="002466EF" w:rsidP="002466EF">
      <w:pPr>
        <w:numPr>
          <w:ilvl w:val="0"/>
          <w:numId w:val="12"/>
        </w:numPr>
        <w:tabs>
          <w:tab w:val="num" w:pos="0"/>
          <w:tab w:val="left" w:pos="720"/>
          <w:tab w:val="left" w:pos="1134"/>
        </w:tabs>
        <w:spacing w:line="276" w:lineRule="auto"/>
        <w:ind w:hanging="6169"/>
        <w:jc w:val="both"/>
      </w:pPr>
      <w:r w:rsidRPr="00D70391">
        <w:rPr>
          <w:b/>
          <w:i/>
        </w:rPr>
        <w:t>болнична медицинска помощ –</w:t>
      </w:r>
      <w:r w:rsidRPr="00D70391">
        <w:t xml:space="preserve"> 4 269,4 млн. лева.</w:t>
      </w:r>
      <w:r w:rsidRPr="00D70391">
        <w:tab/>
        <w:t xml:space="preserve"> </w:t>
      </w:r>
    </w:p>
    <w:p w:rsidR="002466EF" w:rsidRPr="00D70391" w:rsidRDefault="002466EF" w:rsidP="002466EF">
      <w:pPr>
        <w:numPr>
          <w:ilvl w:val="0"/>
          <w:numId w:val="12"/>
        </w:numPr>
        <w:tabs>
          <w:tab w:val="num" w:pos="0"/>
          <w:tab w:val="left" w:pos="720"/>
          <w:tab w:val="left" w:pos="1134"/>
        </w:tabs>
        <w:spacing w:line="276" w:lineRule="auto"/>
        <w:ind w:hanging="6169"/>
        <w:jc w:val="both"/>
      </w:pPr>
      <w:r w:rsidRPr="00D70391">
        <w:rPr>
          <w:b/>
          <w:i/>
        </w:rPr>
        <w:t xml:space="preserve">други здравноосигурителни плащания </w:t>
      </w:r>
      <w:r w:rsidRPr="00D70391">
        <w:t>– 112,1 млн. лева.</w:t>
      </w:r>
    </w:p>
    <w:p w:rsidR="002466EF" w:rsidRPr="00F80EBE" w:rsidRDefault="002466EF" w:rsidP="002466EF">
      <w:pPr>
        <w:spacing w:before="120"/>
        <w:ind w:firstLine="567"/>
        <w:jc w:val="both"/>
      </w:pPr>
      <w:r w:rsidRPr="00F11DA2">
        <w:t xml:space="preserve">Като здравноосигурителни плащания следва да се третират и преведените 219,7 млн. лв. трансфери по договори за извършване на медицински услуги към бюджетни организации, в структурата на които има лечебни заведения по чл. 5 от Закона за лечебните заведения. Заедно с преведените трансфери усвоените средства за </w:t>
      </w:r>
      <w:r w:rsidRPr="00F80EBE">
        <w:t>здравноосигурителни плащания възлизат на 9 096,6 млн. лв.</w:t>
      </w:r>
    </w:p>
    <w:p w:rsidR="002466EF" w:rsidRPr="00F80EBE" w:rsidRDefault="002466EF" w:rsidP="002466EF">
      <w:pPr>
        <w:ind w:firstLine="567"/>
        <w:jc w:val="both"/>
      </w:pPr>
      <w:r w:rsidRPr="00F80EBE">
        <w:t>За периода са отчетени плащания в размер на 220,6 млн. лв. за дейности за здравно неосигурени лица, лекарствени продукти, потребителска такса, медицински изделия за хората с увреждания и за лечение на лица до 18</w:t>
      </w:r>
      <w:r w:rsidRPr="00F80EBE">
        <w:rPr>
          <w:lang w:val="ru-RU"/>
        </w:rPr>
        <w:t>-</w:t>
      </w:r>
      <w:r w:rsidRPr="00F80EBE">
        <w:t>годишна възраст по чл.</w:t>
      </w:r>
      <w:r w:rsidRPr="00F80EBE">
        <w:rPr>
          <w:lang w:val="ru-RU"/>
        </w:rPr>
        <w:t xml:space="preserve"> </w:t>
      </w:r>
      <w:r w:rsidRPr="00F80EBE">
        <w:t>82, ал.</w:t>
      </w:r>
      <w:r w:rsidRPr="00F80EBE">
        <w:rPr>
          <w:lang w:val="ru-RU"/>
        </w:rPr>
        <w:t xml:space="preserve"> </w:t>
      </w:r>
      <w:r w:rsidRPr="00F80EBE">
        <w:t>1а, 3 и 6 от Закона за здравето и на лица над 18</w:t>
      </w:r>
      <w:r w:rsidRPr="00F80EBE">
        <w:rPr>
          <w:lang w:val="ru-RU"/>
        </w:rPr>
        <w:t>-</w:t>
      </w:r>
      <w:r w:rsidRPr="00F80EBE">
        <w:t>годишна възраст по чл.82, ал.1а и 6.</w:t>
      </w:r>
    </w:p>
    <w:p w:rsidR="002466EF" w:rsidRPr="00F80EBE" w:rsidRDefault="002466EF" w:rsidP="002466EF">
      <w:pPr>
        <w:ind w:firstLine="567"/>
        <w:jc w:val="both"/>
      </w:pPr>
      <w:r w:rsidRPr="00F80EBE">
        <w:t>През годината са отчетени 120,3 млн. лв. за административни разходи на институцията, които включват разходите за персонал, за текуща издръжка и лихвени плащания. Усвоените средства за административни разходи заемат 1,3 на сто в структурата на общите разходи за отчетния период. Отчетените капиталови разходи за периода възлизат на 4,5</w:t>
      </w:r>
      <w:r w:rsidRPr="00F80EBE">
        <w:rPr>
          <w:lang w:val="en-US"/>
        </w:rPr>
        <w:t> </w:t>
      </w:r>
      <w:r w:rsidRPr="00F80EBE">
        <w:t>млн. лева.</w:t>
      </w:r>
    </w:p>
    <w:p w:rsidR="003C218F" w:rsidRPr="00D96192" w:rsidRDefault="00CB29B4" w:rsidP="00457468">
      <w:pPr>
        <w:pStyle w:val="Heading1"/>
        <w:numPr>
          <w:ilvl w:val="1"/>
          <w:numId w:val="8"/>
        </w:numPr>
        <w:spacing w:before="240" w:after="120"/>
        <w:ind w:left="788" w:right="-108" w:hanging="431"/>
        <w:jc w:val="both"/>
        <w:rPr>
          <w:sz w:val="24"/>
        </w:rPr>
      </w:pPr>
      <w:r w:rsidRPr="00D96192">
        <w:rPr>
          <w:sz w:val="24"/>
        </w:rPr>
        <w:t>Общински бюджети</w:t>
      </w:r>
    </w:p>
    <w:p w:rsidR="00D96192" w:rsidRPr="005A4B1E" w:rsidRDefault="00D96192" w:rsidP="00D96192">
      <w:pPr>
        <w:numPr>
          <w:ilvl w:val="0"/>
          <w:numId w:val="20"/>
        </w:numPr>
        <w:tabs>
          <w:tab w:val="left" w:pos="851"/>
        </w:tabs>
        <w:spacing w:before="120" w:line="276" w:lineRule="auto"/>
        <w:ind w:left="533" w:firstLine="34"/>
        <w:jc w:val="both"/>
        <w:rPr>
          <w:b/>
        </w:rPr>
      </w:pPr>
      <w:r w:rsidRPr="005A4B1E">
        <w:rPr>
          <w:b/>
        </w:rPr>
        <w:t>Приходи</w:t>
      </w:r>
    </w:p>
    <w:p w:rsidR="00D96192" w:rsidRPr="00C25B8B" w:rsidRDefault="00D96192" w:rsidP="00D96192">
      <w:pPr>
        <w:tabs>
          <w:tab w:val="center" w:pos="4153"/>
          <w:tab w:val="right" w:pos="8306"/>
        </w:tabs>
        <w:ind w:firstLine="567"/>
        <w:jc w:val="both"/>
        <w:rPr>
          <w:color w:val="0070C0"/>
        </w:rPr>
      </w:pPr>
      <w:r w:rsidRPr="005A4B1E">
        <w:rPr>
          <w:b/>
        </w:rPr>
        <w:t>Приходите</w:t>
      </w:r>
      <w:r w:rsidRPr="005A4B1E">
        <w:t xml:space="preserve"> по бюджетите на общините към 31.12.2025 г. са в размер на 4</w:t>
      </w:r>
      <w:r w:rsidRPr="005A4B1E">
        <w:rPr>
          <w:lang w:val="ru-RU"/>
        </w:rPr>
        <w:t xml:space="preserve"> 159</w:t>
      </w:r>
      <w:r w:rsidRPr="005A4B1E">
        <w:t xml:space="preserve">,7 млн. лв., което представлява </w:t>
      </w:r>
      <w:r w:rsidRPr="005A4B1E">
        <w:rPr>
          <w:lang w:val="en-US"/>
        </w:rPr>
        <w:t>98</w:t>
      </w:r>
      <w:r w:rsidRPr="005A4B1E">
        <w:t xml:space="preserve">,1 % от разчетените към ЗДБРБ за 2025 г. постъпления в размер на </w:t>
      </w:r>
      <w:r w:rsidRPr="005A4B1E">
        <w:rPr>
          <w:bCs/>
        </w:rPr>
        <w:t xml:space="preserve">4 </w:t>
      </w:r>
      <w:r w:rsidRPr="005A4B1E">
        <w:rPr>
          <w:bCs/>
          <w:lang w:val="ru-RU"/>
        </w:rPr>
        <w:t>240</w:t>
      </w:r>
      <w:r w:rsidRPr="005A4B1E">
        <w:rPr>
          <w:bCs/>
        </w:rPr>
        <w:t>,4</w:t>
      </w:r>
      <w:r w:rsidRPr="005A4B1E">
        <w:t xml:space="preserve"> млн. лв. и с </w:t>
      </w:r>
      <w:r w:rsidRPr="005A4B1E">
        <w:rPr>
          <w:lang w:val="en-US"/>
        </w:rPr>
        <w:t>611</w:t>
      </w:r>
      <w:r w:rsidRPr="005A4B1E">
        <w:t>,0 млн. лв.</w:t>
      </w:r>
      <w:r w:rsidRPr="005A4B1E">
        <w:rPr>
          <w:lang w:val="ru-RU"/>
        </w:rPr>
        <w:t xml:space="preserve"> </w:t>
      </w:r>
      <w:r w:rsidRPr="005A4B1E">
        <w:t xml:space="preserve">или с 17,2 %  повече спрямо събраните за същия период на 2024 г. </w:t>
      </w:r>
      <w:r w:rsidRPr="005A4B1E">
        <w:rPr>
          <w:i/>
        </w:rPr>
        <w:t>Данъчните приходи</w:t>
      </w:r>
      <w:r w:rsidRPr="005A4B1E">
        <w:t xml:space="preserve"> по общинските бюджет</w:t>
      </w:r>
      <w:r w:rsidRPr="00FD2821">
        <w:t xml:space="preserve">и са в размер на 1 </w:t>
      </w:r>
      <w:r w:rsidRPr="00FD2821">
        <w:rPr>
          <w:lang w:val="en-US"/>
        </w:rPr>
        <w:t>805</w:t>
      </w:r>
      <w:r w:rsidRPr="00FD2821">
        <w:t xml:space="preserve">,4  млн. лв. или </w:t>
      </w:r>
      <w:r w:rsidRPr="00FD2821">
        <w:rPr>
          <w:lang w:val="en-US"/>
        </w:rPr>
        <w:t>106</w:t>
      </w:r>
      <w:r w:rsidRPr="00FD2821">
        <w:rPr>
          <w:lang w:val="ru-RU"/>
        </w:rPr>
        <w:t>,7</w:t>
      </w:r>
      <w:r w:rsidRPr="00FD2821">
        <w:t> %  спрямо годишните разчети към ЗДБРБ за 2025 г. и с 15,9 % (</w:t>
      </w:r>
      <w:r w:rsidRPr="00FD2821">
        <w:rPr>
          <w:lang w:val="en-US"/>
        </w:rPr>
        <w:t>248</w:t>
      </w:r>
      <w:r w:rsidRPr="00FD2821">
        <w:t xml:space="preserve">,3 млн. лв.) повече спрямо тези за </w:t>
      </w:r>
      <w:r w:rsidRPr="006221F2">
        <w:t xml:space="preserve">предходната година. </w:t>
      </w:r>
      <w:r w:rsidRPr="006221F2">
        <w:rPr>
          <w:i/>
        </w:rPr>
        <w:t>Неданъчните приходи и помощите</w:t>
      </w:r>
      <w:r w:rsidRPr="006221F2">
        <w:t xml:space="preserve"> възлизат на </w:t>
      </w:r>
      <w:r w:rsidRPr="006221F2">
        <w:rPr>
          <w:lang w:val="ru-RU"/>
        </w:rPr>
        <w:t>2 354</w:t>
      </w:r>
      <w:r w:rsidRPr="006221F2">
        <w:t xml:space="preserve">,3 млн. лв. или </w:t>
      </w:r>
      <w:r w:rsidRPr="006221F2">
        <w:rPr>
          <w:lang w:val="en-US"/>
        </w:rPr>
        <w:t>92</w:t>
      </w:r>
      <w:r w:rsidRPr="006221F2">
        <w:t>,4</w:t>
      </w:r>
      <w:r w:rsidR="00F8228B">
        <w:t> </w:t>
      </w:r>
      <w:r w:rsidRPr="006221F2">
        <w:t xml:space="preserve">% от разчетите и </w:t>
      </w:r>
      <w:r w:rsidRPr="006221F2">
        <w:rPr>
          <w:lang w:val="en-US"/>
        </w:rPr>
        <w:t>362</w:t>
      </w:r>
      <w:r w:rsidRPr="006221F2">
        <w:t xml:space="preserve">,7 млн. лв. повече спрямо предходната година. </w:t>
      </w:r>
      <w:r w:rsidRPr="00CE2A92">
        <w:t>От имуществени данъци в общинските бюджети към 31.12.2025 г. са постъпили 1 786,5 млн. лв., което представлява ръст от 16,1 % спрямо миналата година. С най-значителен дял в приходите от имуществени данъци е данъкът върху придобиването на имущество по дарения и възмезден начин – 44,2 %, данъкът върху превозните средства – 27,0 %,  следван от данъкът върху недвижимите имоти – 26,8 %, и туристическият данък – 2,0 %. Към 31.12.2025 г. по бюджетите на общините са постъпили 18,9 млн. лв. от патентен данък и данък върху таксиметров превоз на пътници.</w:t>
      </w:r>
    </w:p>
    <w:p w:rsidR="00D96192" w:rsidRPr="00C25B8B" w:rsidRDefault="00D96192" w:rsidP="00D96192">
      <w:pPr>
        <w:tabs>
          <w:tab w:val="center" w:pos="4153"/>
          <w:tab w:val="right" w:pos="8306"/>
        </w:tabs>
        <w:ind w:firstLine="567"/>
        <w:jc w:val="both"/>
        <w:rPr>
          <w:color w:val="0070C0"/>
        </w:rPr>
      </w:pPr>
      <w:r w:rsidRPr="006221F2">
        <w:t xml:space="preserve">Общият размер на </w:t>
      </w:r>
      <w:r w:rsidRPr="006221F2">
        <w:rPr>
          <w:i/>
        </w:rPr>
        <w:t>неданъчните приходи</w:t>
      </w:r>
      <w:r w:rsidRPr="006221F2">
        <w:t>, постъпили по местните бюджети към 31.12.2025</w:t>
      </w:r>
      <w:r w:rsidRPr="006221F2">
        <w:rPr>
          <w:lang w:val="en-US"/>
        </w:rPr>
        <w:t> </w:t>
      </w:r>
      <w:r w:rsidRPr="006221F2">
        <w:t xml:space="preserve">г., е </w:t>
      </w:r>
      <w:r w:rsidRPr="006221F2">
        <w:rPr>
          <w:lang w:val="en-US"/>
        </w:rPr>
        <w:t>2</w:t>
      </w:r>
      <w:r w:rsidRPr="006221F2">
        <w:t> </w:t>
      </w:r>
      <w:r w:rsidRPr="006221F2">
        <w:rPr>
          <w:lang w:val="en-US"/>
        </w:rPr>
        <w:t>316</w:t>
      </w:r>
      <w:r w:rsidRPr="006221F2">
        <w:t>,6 млн. лв. Най-голям относителен дял от неданъчните приходи в общинските бюджети заемат приходите от общински такси (</w:t>
      </w:r>
      <w:r w:rsidRPr="006221F2">
        <w:rPr>
          <w:lang w:val="ru-RU"/>
        </w:rPr>
        <w:t xml:space="preserve">1 </w:t>
      </w:r>
      <w:r w:rsidRPr="006221F2">
        <w:rPr>
          <w:lang w:val="en-US"/>
        </w:rPr>
        <w:t>256</w:t>
      </w:r>
      <w:r w:rsidRPr="006221F2">
        <w:t xml:space="preserve">,2 млн. лв.) или </w:t>
      </w:r>
      <w:r w:rsidRPr="006221F2">
        <w:rPr>
          <w:lang w:val="en-US"/>
        </w:rPr>
        <w:t>54</w:t>
      </w:r>
      <w:r w:rsidRPr="006221F2">
        <w:t>,2 %, следват приходите и доходите от собственост (</w:t>
      </w:r>
      <w:r w:rsidRPr="006221F2">
        <w:rPr>
          <w:lang w:val="en-US"/>
        </w:rPr>
        <w:t>472</w:t>
      </w:r>
      <w:r w:rsidRPr="006221F2">
        <w:t xml:space="preserve">,6 млн. лв.) – 20,4 %, постъпленията от продажба на нефинансови активи </w:t>
      </w:r>
      <w:r w:rsidRPr="00B40672">
        <w:lastRenderedPageBreak/>
        <w:t>(</w:t>
      </w:r>
      <w:r w:rsidRPr="00B40672">
        <w:rPr>
          <w:lang w:val="en-US"/>
        </w:rPr>
        <w:t>232</w:t>
      </w:r>
      <w:r w:rsidRPr="00B40672">
        <w:t>,3 млн. лв.) – 10,0 %, други неданъчни приходи (2</w:t>
      </w:r>
      <w:r w:rsidRPr="00B40672">
        <w:rPr>
          <w:lang w:val="en-US"/>
        </w:rPr>
        <w:t>25</w:t>
      </w:r>
      <w:r w:rsidRPr="00B40672">
        <w:t>,6</w:t>
      </w:r>
      <w:r w:rsidR="002A33F6">
        <w:t> </w:t>
      </w:r>
      <w:r w:rsidRPr="00B40672">
        <w:t>млн. лв.)</w:t>
      </w:r>
      <w:r w:rsidRPr="00B40672">
        <w:rPr>
          <w:lang w:val="en-US"/>
        </w:rPr>
        <w:t xml:space="preserve"> – 9,7 %,</w:t>
      </w:r>
      <w:r w:rsidRPr="00B40672">
        <w:t xml:space="preserve"> постъпленията от глоби, санкции и наказателни лихви (112,1 млн. лв.) – 4,8 % и приходите от концесии (</w:t>
      </w:r>
      <w:r w:rsidRPr="00B40672">
        <w:rPr>
          <w:lang w:val="en-US"/>
        </w:rPr>
        <w:t>78</w:t>
      </w:r>
      <w:r w:rsidRPr="00B40672">
        <w:t xml:space="preserve">,6 млн. лв.) – 3,4 %. Съпоставени с предходната 2024 г. постъпленията от неданъчни приходи са с </w:t>
      </w:r>
      <w:r w:rsidRPr="00B40672">
        <w:rPr>
          <w:lang w:val="en-US"/>
        </w:rPr>
        <w:t>358</w:t>
      </w:r>
      <w:r w:rsidRPr="00B40672">
        <w:t xml:space="preserve">,5 млн. лв. повече, като се наблюдава ръст във всички неданъчни приходи. </w:t>
      </w:r>
    </w:p>
    <w:p w:rsidR="00D96192" w:rsidRPr="00903F57" w:rsidRDefault="00D96192" w:rsidP="00D96192">
      <w:pPr>
        <w:tabs>
          <w:tab w:val="center" w:pos="4153"/>
          <w:tab w:val="right" w:pos="8306"/>
        </w:tabs>
        <w:ind w:firstLine="567"/>
        <w:jc w:val="both"/>
      </w:pPr>
      <w:r w:rsidRPr="00903F57">
        <w:t xml:space="preserve">Към 31.12.2025 г. по общинските бюджети са постъпили 37,7 млн. лв. </w:t>
      </w:r>
      <w:r w:rsidRPr="00903F57">
        <w:rPr>
          <w:i/>
        </w:rPr>
        <w:t>приходи от помощи и дарения</w:t>
      </w:r>
      <w:r w:rsidRPr="00903F57">
        <w:t xml:space="preserve">, които са с 4,2 млн. лв. повече спрямо размера им за същия период на </w:t>
      </w:r>
      <w:r w:rsidR="009B6FE6" w:rsidRPr="009B6FE6">
        <w:t xml:space="preserve">предходната </w:t>
      </w:r>
      <w:r w:rsidRPr="00903F57">
        <w:t>година.</w:t>
      </w:r>
    </w:p>
    <w:p w:rsidR="00D96192" w:rsidRPr="00903F57" w:rsidRDefault="00D96192" w:rsidP="00D96192">
      <w:pPr>
        <w:numPr>
          <w:ilvl w:val="0"/>
          <w:numId w:val="20"/>
        </w:numPr>
        <w:tabs>
          <w:tab w:val="left" w:pos="851"/>
        </w:tabs>
        <w:spacing w:before="120" w:line="276" w:lineRule="auto"/>
        <w:ind w:left="533" w:firstLine="34"/>
        <w:jc w:val="both"/>
        <w:rPr>
          <w:b/>
        </w:rPr>
      </w:pPr>
      <w:r w:rsidRPr="00903F57">
        <w:rPr>
          <w:b/>
        </w:rPr>
        <w:t>Разходи</w:t>
      </w:r>
    </w:p>
    <w:p w:rsidR="00D96192" w:rsidRPr="00C25B8B" w:rsidRDefault="00D96192" w:rsidP="00D96192">
      <w:pPr>
        <w:ind w:firstLine="533"/>
        <w:jc w:val="both"/>
        <w:rPr>
          <w:color w:val="0070C0"/>
        </w:rPr>
      </w:pPr>
      <w:r w:rsidRPr="00B036E5">
        <w:t xml:space="preserve">Към 31.12.2025 г. общините са отчели общо </w:t>
      </w:r>
      <w:r w:rsidRPr="00B036E5">
        <w:rPr>
          <w:b/>
        </w:rPr>
        <w:t>разходи</w:t>
      </w:r>
      <w:r w:rsidRPr="00B036E5">
        <w:t xml:space="preserve"> в размер на </w:t>
      </w:r>
      <w:r w:rsidRPr="00B036E5">
        <w:rPr>
          <w:lang w:val="ru-RU"/>
        </w:rPr>
        <w:t>1</w:t>
      </w:r>
      <w:r w:rsidRPr="00B036E5">
        <w:rPr>
          <w:lang w:val="en-US"/>
        </w:rPr>
        <w:t>6</w:t>
      </w:r>
      <w:r w:rsidRPr="00B036E5">
        <w:t> </w:t>
      </w:r>
      <w:r w:rsidRPr="00B036E5">
        <w:rPr>
          <w:lang w:val="en-US"/>
        </w:rPr>
        <w:t>354</w:t>
      </w:r>
      <w:r w:rsidRPr="00B036E5">
        <w:t>,</w:t>
      </w:r>
      <w:r w:rsidRPr="00B036E5">
        <w:rPr>
          <w:lang w:val="ru-RU"/>
        </w:rPr>
        <w:t xml:space="preserve">8 </w:t>
      </w:r>
      <w:r w:rsidRPr="00B036E5">
        <w:t xml:space="preserve">млн. лв., включително за сметка на предоставени допълнителни трансфери главно от държавния бюджет, и представляват </w:t>
      </w:r>
      <w:r w:rsidRPr="00B036E5">
        <w:rPr>
          <w:lang w:val="en-US"/>
        </w:rPr>
        <w:t>138</w:t>
      </w:r>
      <w:r w:rsidRPr="00B036E5">
        <w:t xml:space="preserve">,3 % спрямо разчетите </w:t>
      </w:r>
      <w:r w:rsidR="00BE183A">
        <w:t>към</w:t>
      </w:r>
      <w:r w:rsidRPr="00B036E5">
        <w:t xml:space="preserve"> ЗДБРБ за 2025 г. и</w:t>
      </w:r>
      <w:r w:rsidRPr="00B036E5">
        <w:rPr>
          <w:lang w:val="ru-RU"/>
        </w:rPr>
        <w:t xml:space="preserve"> </w:t>
      </w:r>
      <w:r w:rsidRPr="00B036E5">
        <w:t xml:space="preserve">с </w:t>
      </w:r>
      <w:r w:rsidRPr="00B036E5">
        <w:rPr>
          <w:lang w:val="ru-RU"/>
        </w:rPr>
        <w:t xml:space="preserve">11,1 % (1 </w:t>
      </w:r>
      <w:r w:rsidRPr="00B036E5">
        <w:rPr>
          <w:lang w:val="en-US"/>
        </w:rPr>
        <w:t>636</w:t>
      </w:r>
      <w:r w:rsidRPr="00B036E5">
        <w:rPr>
          <w:lang w:val="ru-RU"/>
        </w:rPr>
        <w:t xml:space="preserve">,2 </w:t>
      </w:r>
      <w:r w:rsidRPr="00B036E5">
        <w:t>млн. лв.</w:t>
      </w:r>
      <w:r w:rsidRPr="00B036E5">
        <w:rPr>
          <w:lang w:val="ru-RU"/>
        </w:rPr>
        <w:t>)</w:t>
      </w:r>
      <w:r w:rsidRPr="00B036E5">
        <w:t xml:space="preserve"> повече </w:t>
      </w:r>
      <w:r w:rsidR="00111AA9" w:rsidRPr="00111AA9">
        <w:t>спрямо</w:t>
      </w:r>
      <w:r w:rsidR="00111AA9">
        <w:t xml:space="preserve"> </w:t>
      </w:r>
      <w:r w:rsidRPr="00B036E5">
        <w:t>същия период на миналата година</w:t>
      </w:r>
      <w:r w:rsidRPr="00B036E5">
        <w:rPr>
          <w:lang w:val="ru-RU"/>
        </w:rPr>
        <w:t xml:space="preserve">. </w:t>
      </w:r>
      <w:r w:rsidRPr="00B036E5">
        <w:rPr>
          <w:i/>
        </w:rPr>
        <w:t>Нелихвените разходи</w:t>
      </w:r>
      <w:r w:rsidRPr="00B036E5">
        <w:t xml:space="preserve"> възлизат на </w:t>
      </w:r>
      <w:r w:rsidRPr="00B036E5">
        <w:rPr>
          <w:lang w:val="ru-RU" w:eastAsia="bg-BG"/>
        </w:rPr>
        <w:t>16</w:t>
      </w:r>
      <w:r w:rsidRPr="00B036E5">
        <w:rPr>
          <w:lang w:val="en-US" w:eastAsia="bg-BG"/>
        </w:rPr>
        <w:t> </w:t>
      </w:r>
      <w:r w:rsidRPr="00B036E5">
        <w:rPr>
          <w:lang w:val="ru-RU" w:eastAsia="bg-BG"/>
        </w:rPr>
        <w:t>302</w:t>
      </w:r>
      <w:r w:rsidRPr="00B036E5">
        <w:rPr>
          <w:lang w:eastAsia="bg-BG"/>
        </w:rPr>
        <w:t>,5</w:t>
      </w:r>
      <w:r w:rsidRPr="00B036E5">
        <w:rPr>
          <w:lang w:val="ru-RU" w:eastAsia="bg-BG"/>
        </w:rPr>
        <w:t xml:space="preserve"> </w:t>
      </w:r>
      <w:r w:rsidRPr="00B036E5">
        <w:t>млн. лв.</w:t>
      </w:r>
      <w:r w:rsidRPr="00B036E5">
        <w:rPr>
          <w:lang w:val="ru-RU"/>
        </w:rPr>
        <w:t xml:space="preserve"> С най-голям относителен дял са</w:t>
      </w:r>
      <w:r w:rsidRPr="00B036E5">
        <w:t xml:space="preserve"> разходите за персонал (</w:t>
      </w:r>
      <w:r w:rsidRPr="00B036E5">
        <w:rPr>
          <w:bCs/>
        </w:rPr>
        <w:t>заплати и възнаграждения, други възнаграждения и плащания за персонала и осигурителни вноски), които</w:t>
      </w:r>
      <w:r w:rsidRPr="00B036E5">
        <w:t xml:space="preserve"> са в размер на </w:t>
      </w:r>
      <w:r w:rsidRPr="00B036E5">
        <w:rPr>
          <w:lang w:val="ru-RU"/>
        </w:rPr>
        <w:t>9</w:t>
      </w:r>
      <w:r w:rsidRPr="00B036E5">
        <w:t> </w:t>
      </w:r>
      <w:r w:rsidRPr="00B036E5">
        <w:rPr>
          <w:lang w:val="ru-RU"/>
        </w:rPr>
        <w:t>370</w:t>
      </w:r>
      <w:r w:rsidRPr="00B036E5">
        <w:t>,</w:t>
      </w:r>
      <w:r w:rsidRPr="00B036E5">
        <w:rPr>
          <w:lang w:val="ru-RU"/>
        </w:rPr>
        <w:t>2</w:t>
      </w:r>
      <w:r w:rsidRPr="00B036E5">
        <w:rPr>
          <w:lang w:val="en-US"/>
        </w:rPr>
        <w:t> </w:t>
      </w:r>
      <w:r w:rsidRPr="00B036E5">
        <w:t xml:space="preserve">млн. лв. – </w:t>
      </w:r>
      <w:r w:rsidRPr="00B036E5">
        <w:rPr>
          <w:lang w:val="ru-RU"/>
        </w:rPr>
        <w:t>57</w:t>
      </w:r>
      <w:r w:rsidRPr="00B036E5">
        <w:t xml:space="preserve">,5 %, следвани от  разходите за издръжка </w:t>
      </w:r>
      <w:r w:rsidRPr="00B036E5">
        <w:rPr>
          <w:bCs/>
        </w:rPr>
        <w:t>(вкл. разходи за членски внос и участие в нетърговски организации и дейности, платени данъци, такси и административни санкции), които</w:t>
      </w:r>
      <w:r w:rsidRPr="00B036E5">
        <w:t xml:space="preserve"> са в размер </w:t>
      </w:r>
      <w:r w:rsidRPr="003B340C">
        <w:t>на</w:t>
      </w:r>
      <w:r w:rsidRPr="003B340C">
        <w:rPr>
          <w:lang w:val="ru-RU"/>
        </w:rPr>
        <w:t xml:space="preserve"> </w:t>
      </w:r>
      <w:r w:rsidRPr="003B340C">
        <w:rPr>
          <w:lang w:val="en-US"/>
        </w:rPr>
        <w:t>3</w:t>
      </w:r>
      <w:r w:rsidRPr="003B340C">
        <w:rPr>
          <w:lang w:val="ru-RU"/>
        </w:rPr>
        <w:t xml:space="preserve"> </w:t>
      </w:r>
      <w:r w:rsidRPr="003B340C">
        <w:rPr>
          <w:lang w:val="en-US"/>
        </w:rPr>
        <w:t>310</w:t>
      </w:r>
      <w:r w:rsidRPr="003B340C">
        <w:t>,8 млн. лв. – 20,3</w:t>
      </w:r>
      <w:r w:rsidRPr="003B340C">
        <w:rPr>
          <w:lang w:val="en-US"/>
        </w:rPr>
        <w:t> </w:t>
      </w:r>
      <w:r w:rsidRPr="003B340C">
        <w:t>%. Разходите за субсидии възлизат на</w:t>
      </w:r>
      <w:r w:rsidRPr="00C25B8B">
        <w:rPr>
          <w:color w:val="0070C0"/>
        </w:rPr>
        <w:t xml:space="preserve"> </w:t>
      </w:r>
      <w:r w:rsidRPr="003B340C">
        <w:rPr>
          <w:lang w:val="en-US"/>
        </w:rPr>
        <w:t>884</w:t>
      </w:r>
      <w:r w:rsidRPr="003B340C">
        <w:rPr>
          <w:lang w:val="ru-RU"/>
        </w:rPr>
        <w:t>,</w:t>
      </w:r>
      <w:r w:rsidRPr="003B340C">
        <w:t>8</w:t>
      </w:r>
      <w:r w:rsidRPr="003B340C">
        <w:rPr>
          <w:lang w:val="en-US"/>
        </w:rPr>
        <w:t> </w:t>
      </w:r>
      <w:r w:rsidRPr="003B340C">
        <w:t xml:space="preserve">млн. лв. </w:t>
      </w:r>
      <w:r w:rsidRPr="003B340C">
        <w:rPr>
          <w:lang w:eastAsia="bg-BG"/>
        </w:rPr>
        <w:t>В разходите за субсидии за нефинансови предприятия се отчитат предоставените от общините субсидии за вътрешноградски и междуселищни превози на транспортните фирми и дружества, които се планират в централния бюджет, както и тези, които се предоставят по решение на общинския съвет. Като разходи за субсидии за организации с нестопанска цел се отчитат отпусканите по решение на общинския съвет субсидии по реда на Закона за физкултурата и спорта за подпомагане дейността на спортните клубове в общините</w:t>
      </w:r>
      <w:r w:rsidRPr="003B340C">
        <w:rPr>
          <w:lang w:val="ru-RU" w:eastAsia="bg-BG"/>
        </w:rPr>
        <w:t xml:space="preserve"> (</w:t>
      </w:r>
      <w:r w:rsidRPr="003B340C">
        <w:rPr>
          <w:lang w:eastAsia="bg-BG"/>
        </w:rPr>
        <w:t>отчитат се в местните дейности</w:t>
      </w:r>
      <w:r w:rsidRPr="003B340C">
        <w:rPr>
          <w:lang w:val="ru-RU" w:eastAsia="bg-BG"/>
        </w:rPr>
        <w:t>)</w:t>
      </w:r>
      <w:r w:rsidRPr="003B340C">
        <w:rPr>
          <w:lang w:eastAsia="bg-BG"/>
        </w:rPr>
        <w:t>.</w:t>
      </w:r>
      <w:r w:rsidRPr="003B340C">
        <w:t xml:space="preserve"> </w:t>
      </w:r>
      <w:r w:rsidRPr="003B340C">
        <w:rPr>
          <w:bCs/>
        </w:rPr>
        <w:t>Социалните разходи (</w:t>
      </w:r>
      <w:r w:rsidRPr="003B340C">
        <w:t xml:space="preserve">текущи трансфери, обезщетения и помощи за домакинствата, </w:t>
      </w:r>
      <w:r w:rsidRPr="003B340C">
        <w:rPr>
          <w:bCs/>
        </w:rPr>
        <w:t>вкл. разходите за стипендии)</w:t>
      </w:r>
      <w:r w:rsidRPr="003B340C">
        <w:t xml:space="preserve"> са в размер на </w:t>
      </w:r>
      <w:r w:rsidRPr="003B340C">
        <w:rPr>
          <w:lang w:val="en-US"/>
        </w:rPr>
        <w:t>397</w:t>
      </w:r>
      <w:r w:rsidRPr="003B340C">
        <w:t>,4 млн. лева.</w:t>
      </w:r>
    </w:p>
    <w:p w:rsidR="00D96192" w:rsidRPr="003B340C" w:rsidRDefault="00D96192" w:rsidP="00D96192">
      <w:pPr>
        <w:tabs>
          <w:tab w:val="center" w:pos="4153"/>
          <w:tab w:val="right" w:pos="8306"/>
        </w:tabs>
        <w:ind w:firstLine="567"/>
        <w:jc w:val="both"/>
      </w:pPr>
      <w:r w:rsidRPr="003B340C">
        <w:t>Отчетените капиталови разходи са в размер на 2 338,0 млн. лв. и в сравнение с 2024 г. са по-малко със 77,8 млн. лв., което е в резултат от прилагане на разпоредбата на чл. 98 от Закона за публичните финанси през първото тримесечие на 2025 г. В общия размер на капиталовите разходи най-съществен дял – 51,6%, заемат разходите за</w:t>
      </w:r>
      <w:r w:rsidRPr="003B340C">
        <w:rPr>
          <w:lang w:eastAsia="bg-BG"/>
        </w:rPr>
        <w:t xml:space="preserve"> </w:t>
      </w:r>
      <w:r w:rsidRPr="003B340C">
        <w:t>основен ремонт – 1 205,5 млн. лв. и придобиване на ДМА – 45,2% дял или 1 056,2 млн. лв.</w:t>
      </w:r>
    </w:p>
    <w:p w:rsidR="00D96192" w:rsidRPr="00C25B8B" w:rsidRDefault="00D96192" w:rsidP="00D96192">
      <w:pPr>
        <w:tabs>
          <w:tab w:val="center" w:pos="4153"/>
          <w:tab w:val="right" w:pos="8306"/>
        </w:tabs>
        <w:ind w:firstLine="567"/>
        <w:jc w:val="both"/>
        <w:rPr>
          <w:color w:val="0070C0"/>
        </w:rPr>
      </w:pPr>
      <w:r w:rsidRPr="00EC6383">
        <w:rPr>
          <w:i/>
        </w:rPr>
        <w:t xml:space="preserve">Разходите за лихви </w:t>
      </w:r>
      <w:r w:rsidRPr="00EC6383">
        <w:t>към</w:t>
      </w:r>
      <w:r w:rsidRPr="00EC6383">
        <w:rPr>
          <w:i/>
        </w:rPr>
        <w:t xml:space="preserve"> </w:t>
      </w:r>
      <w:r w:rsidRPr="00EC6383">
        <w:t xml:space="preserve">31.12.2025 г. възлизат на </w:t>
      </w:r>
      <w:r w:rsidRPr="00EC6383">
        <w:rPr>
          <w:lang w:val="ru-RU"/>
        </w:rPr>
        <w:t>52</w:t>
      </w:r>
      <w:r w:rsidRPr="00EC6383">
        <w:t xml:space="preserve">,2 млн. лв. </w:t>
      </w:r>
      <w:r w:rsidR="00682617">
        <w:t>Към същия период на 202</w:t>
      </w:r>
      <w:r w:rsidR="00682617">
        <w:rPr>
          <w:lang w:val="ru-RU"/>
        </w:rPr>
        <w:t>4</w:t>
      </w:r>
      <w:r w:rsidR="00682617">
        <w:t xml:space="preserve"> г. те са били </w:t>
      </w:r>
      <w:r w:rsidR="00682617">
        <w:rPr>
          <w:lang w:val="ru-RU"/>
        </w:rPr>
        <w:t>53,0</w:t>
      </w:r>
      <w:r w:rsidR="00682617">
        <w:t xml:space="preserve"> млн. лв. или с 0,8 млн. лв. повече.</w:t>
      </w:r>
      <w:r w:rsidRPr="00EC6383">
        <w:rPr>
          <w:lang w:val="ru-RU"/>
        </w:rPr>
        <w:t xml:space="preserve"> </w:t>
      </w:r>
      <w:r w:rsidRPr="00CE2A92">
        <w:t xml:space="preserve">Лихвените плащания по заеми от </w:t>
      </w:r>
      <w:r w:rsidRPr="00EC6383">
        <w:t>чужбина</w:t>
      </w:r>
      <w:r w:rsidRPr="00CE2A92">
        <w:t xml:space="preserve"> за 2025 г. са в размер на 23,1 млн. лв. - с 4,0 млн. лв. повече в сравнение със същия период на миналата година, което се дължи на повечето получени през 2025 г. заеми от чужбина.</w:t>
      </w:r>
    </w:p>
    <w:p w:rsidR="00D96192" w:rsidRDefault="00D96192" w:rsidP="00D96192">
      <w:pPr>
        <w:widowControl w:val="0"/>
        <w:tabs>
          <w:tab w:val="center" w:pos="4153"/>
          <w:tab w:val="right" w:pos="8306"/>
        </w:tabs>
        <w:ind w:firstLine="567"/>
        <w:jc w:val="both"/>
      </w:pPr>
      <w:r w:rsidRPr="00CE2A92">
        <w:t>По облигационните заеми отчетените платени лихви от общините са 1,1 млн. лв. или с 0,5</w:t>
      </w:r>
      <w:r w:rsidR="00F8228B">
        <w:t> </w:t>
      </w:r>
      <w:r w:rsidRPr="00CE2A92">
        <w:t xml:space="preserve">млн. лв. по-малко спрямо същия период на предходната година. По заеми към местни лица от страната (заеми от банки, заеми от „ФЛАГ“ ЕАД и др. местни лица) отчетените от общините разходи за лихви са 23,7 млн. лв., като при тях е отчетено намаление от 5,0 млн. лв. спрямо същия период на 2024 г. (към 31.12.2024 г. са били 28,7 млн. лв.). Платените от общинските бюджети други лихви към местни лица (вкл. и законни лихви по </w:t>
      </w:r>
      <w:proofErr w:type="spellStart"/>
      <w:r w:rsidRPr="00CE2A92">
        <w:t>невъзстановени</w:t>
      </w:r>
      <w:proofErr w:type="spellEnd"/>
      <w:r w:rsidRPr="00CE2A92">
        <w:t xml:space="preserve"> в срок заеми в централния бюджет) са 4,3 млн. лв. От тях 0,9 млн. лв. са отчетените законни лихви, а 0,2 млн. лв. са по задължения, представляващи финансов лизинг и търговки кредити.</w:t>
      </w:r>
    </w:p>
    <w:p w:rsidR="00D96192" w:rsidRPr="00C25B8B" w:rsidRDefault="00D96192" w:rsidP="00D96192">
      <w:pPr>
        <w:widowControl w:val="0"/>
        <w:tabs>
          <w:tab w:val="center" w:pos="4153"/>
          <w:tab w:val="right" w:pos="8306"/>
        </w:tabs>
        <w:ind w:firstLine="567"/>
        <w:jc w:val="both"/>
        <w:rPr>
          <w:rFonts w:eastAsia="Calibri"/>
          <w:color w:val="0070C0"/>
          <w:sz w:val="8"/>
        </w:rPr>
      </w:pPr>
    </w:p>
    <w:p w:rsidR="00D96192" w:rsidRPr="002E0210" w:rsidRDefault="00D96192" w:rsidP="00D96192">
      <w:pPr>
        <w:numPr>
          <w:ilvl w:val="0"/>
          <w:numId w:val="20"/>
        </w:numPr>
        <w:tabs>
          <w:tab w:val="left" w:pos="851"/>
        </w:tabs>
        <w:spacing w:before="120" w:line="276" w:lineRule="auto"/>
        <w:ind w:left="533" w:firstLine="34"/>
        <w:jc w:val="both"/>
        <w:rPr>
          <w:b/>
        </w:rPr>
      </w:pPr>
      <w:r w:rsidRPr="002E0210">
        <w:rPr>
          <w:b/>
        </w:rPr>
        <w:t>Финансиране</w:t>
      </w:r>
    </w:p>
    <w:p w:rsidR="00D96192" w:rsidRPr="00C25B8B" w:rsidRDefault="00D96192" w:rsidP="00D96192">
      <w:pPr>
        <w:ind w:firstLine="708"/>
        <w:jc w:val="both"/>
        <w:rPr>
          <w:noProof/>
          <w:color w:val="0070C0"/>
        </w:rPr>
      </w:pPr>
      <w:r w:rsidRPr="002E0210">
        <w:rPr>
          <w:noProof/>
        </w:rPr>
        <w:t>Към 31.12.2025 г. по общинските бюджети, от договори с чуждестранни кредитори, са получени заемни средства, в размер на 173,7 млн. лв. Основно средствата са отчетени от Столична община (160,0 млн. лв.), като те са за финансиране на проекти за осигуряване на транспортна свързаност и достъпна среда, както и за разширяване на метрото. Средствата, в размер на 13,7 млн. лв., са отчетени от община Бургас и са предназначени за финансиране на проект по изграждане на Многопрофилна болница за активно лечение на детски болести – Бургас.</w:t>
      </w:r>
    </w:p>
    <w:p w:rsidR="00D96192" w:rsidRPr="002E0210" w:rsidRDefault="00D96192" w:rsidP="00D96192">
      <w:pPr>
        <w:pStyle w:val="BodyText"/>
        <w:ind w:firstLine="567"/>
        <w:rPr>
          <w:noProof/>
        </w:rPr>
      </w:pPr>
      <w:r w:rsidRPr="002E0210">
        <w:rPr>
          <w:noProof/>
        </w:rPr>
        <w:t xml:space="preserve">Изплатените главници от общинските бюджети по външните заеми от началото на годината до 31.12.2025 г. са в размер на 43,4 млн. лв. и основно са отчетени от Столична община  (37,7 млн. лв.). </w:t>
      </w:r>
    </w:p>
    <w:p w:rsidR="00D96192" w:rsidRPr="002E0210" w:rsidRDefault="00D96192" w:rsidP="00D96192">
      <w:pPr>
        <w:pStyle w:val="BodyText"/>
        <w:ind w:firstLine="567"/>
        <w:rPr>
          <w:noProof/>
        </w:rPr>
      </w:pPr>
      <w:r w:rsidRPr="002E0210">
        <w:rPr>
          <w:noProof/>
        </w:rPr>
        <w:t>За 2025 г. получените заемни средства от банки в страната, отчетени по общинските бюджети, са в размер на 191,2 млн. лв., а от други местни лица са 121,4 млн. лв. (в т.ч. 120,4</w:t>
      </w:r>
      <w:r w:rsidR="00160FBD">
        <w:rPr>
          <w:noProof/>
        </w:rPr>
        <w:t> </w:t>
      </w:r>
      <w:r w:rsidRPr="002E0210">
        <w:rPr>
          <w:noProof/>
        </w:rPr>
        <w:t xml:space="preserve">млн. </w:t>
      </w:r>
      <w:r w:rsidRPr="002E0210">
        <w:rPr>
          <w:noProof/>
        </w:rPr>
        <w:lastRenderedPageBreak/>
        <w:t xml:space="preserve">лв. от „ФЛАГ” ЕАД) или общо получените заемни средства от лица в страната са 312,6 млн. лв. Изплатените от общините главници по банкови заеми от страната са отчетени в размер на 110,0 млн. лв. Погасените главници  по заеми от др. лица от страната са 105,3 млн. лв., в т.ч. 88,8 млн. лв. към „ФЛАГ” ЕАД (останалите са по заеми към Фонд „Енергийна ефективност и възобновяеми източници“ и към други кредитори, вкл. и по договори за заеми по финансов инструмент, управляван от „Фонд Мениджър на финансови инструменти в България“ ЕАД). Общият размер на получените за периода заемни средства от от страната (312,6 млн. лв.) е по-голям от погасените заемни средства за същия период (215,3 млн. лв.), поради което нетният размер на операциите по тези заеми за 2025 г. е положителен (97,3 млн.лв.) млн. лв. За същия период на 2024 г. общините са обслужвали повече дълг към местни лица, отколкото е размера на получените заемни средства т.е. нетният размер за 2024 г. е отрицателен (-87,7 млн. лв.). </w:t>
      </w:r>
    </w:p>
    <w:p w:rsidR="00D96192" w:rsidRPr="002E0210" w:rsidRDefault="00E81822" w:rsidP="00D96192">
      <w:pPr>
        <w:pStyle w:val="BodyText"/>
        <w:ind w:firstLine="567"/>
        <w:rPr>
          <w:noProof/>
        </w:rPr>
      </w:pPr>
      <w:r>
        <w:rPr>
          <w:noProof/>
        </w:rPr>
        <w:t>О</w:t>
      </w:r>
      <w:r w:rsidRPr="002E0210">
        <w:rPr>
          <w:noProof/>
        </w:rPr>
        <w:t>тчетени</w:t>
      </w:r>
      <w:r>
        <w:rPr>
          <w:noProof/>
        </w:rPr>
        <w:t>те</w:t>
      </w:r>
      <w:r w:rsidRPr="002E0210">
        <w:rPr>
          <w:noProof/>
        </w:rPr>
        <w:t xml:space="preserve"> </w:t>
      </w:r>
      <w:r>
        <w:rPr>
          <w:noProof/>
        </w:rPr>
        <w:t>п</w:t>
      </w:r>
      <w:r w:rsidRPr="002E0210">
        <w:rPr>
          <w:noProof/>
        </w:rPr>
        <w:t>огашения за периода по емитирани през предходни периоди общински ценни книжа от 5 общини са в размер на 4,4 млн. лв</w:t>
      </w:r>
      <w:r w:rsidR="00D96192" w:rsidRPr="002E0210">
        <w:rPr>
          <w:noProof/>
        </w:rPr>
        <w:t xml:space="preserve">. </w:t>
      </w:r>
    </w:p>
    <w:p w:rsidR="00D96192" w:rsidRPr="002E0210" w:rsidRDefault="00D96192" w:rsidP="00D96192">
      <w:pPr>
        <w:pStyle w:val="BodyText"/>
        <w:ind w:firstLine="567"/>
        <w:rPr>
          <w:noProof/>
        </w:rPr>
      </w:pPr>
      <w:r w:rsidRPr="002E0210">
        <w:rPr>
          <w:noProof/>
        </w:rPr>
        <w:t xml:space="preserve">За отчетния период няма емитиран нов общински дълг. </w:t>
      </w:r>
    </w:p>
    <w:p w:rsidR="00D96192" w:rsidRPr="002E0210" w:rsidRDefault="00D96192" w:rsidP="00D96192">
      <w:pPr>
        <w:pStyle w:val="BodyText"/>
        <w:ind w:firstLine="567"/>
        <w:rPr>
          <w:noProof/>
        </w:rPr>
      </w:pPr>
      <w:r w:rsidRPr="002E0210">
        <w:rPr>
          <w:noProof/>
        </w:rPr>
        <w:t>Другото финансиране /нето/ по общинските бюджети към 31.12.2025 г. е 0,7 млн. лв., като в него е отчетен нетния размер на операциите (с РИОСВ)</w:t>
      </w:r>
      <w:r w:rsidR="00682617">
        <w:rPr>
          <w:noProof/>
          <w:lang w:val="en-US"/>
        </w:rPr>
        <w:t xml:space="preserve"> </w:t>
      </w:r>
      <w:r w:rsidRPr="002E0210">
        <w:rPr>
          <w:noProof/>
        </w:rPr>
        <w:t>по Закона за управление на отпадъците, на получените и възстановени по бюджетите чужди средства и т.н. Нетният размер за периода на задълженията и погашенията по финансов лизинг и търговски кредити, като форми на дълг, е в размер на 0,3 млн. лв. (5,3 млн. лв. задължения и 5,0 млн. лв. погашения).</w:t>
      </w:r>
    </w:p>
    <w:p w:rsidR="00D96192" w:rsidRPr="002E0210" w:rsidRDefault="00D96192" w:rsidP="00D96192">
      <w:pPr>
        <w:pStyle w:val="BodyText"/>
        <w:ind w:firstLine="567"/>
        <w:rPr>
          <w:noProof/>
        </w:rPr>
      </w:pPr>
      <w:r w:rsidRPr="002E0210">
        <w:rPr>
          <w:noProof/>
        </w:rPr>
        <w:t>Нетният размер на събраните средства и извършени плащания от общините за сметка на други бюджети, сметки и фондове е положителен и е в размер на 19,3 млн. лв.</w:t>
      </w:r>
    </w:p>
    <w:p w:rsidR="00D96192" w:rsidRPr="002E0210" w:rsidRDefault="00D96192" w:rsidP="00D96192">
      <w:pPr>
        <w:pStyle w:val="BodyText"/>
        <w:ind w:firstLine="567"/>
        <w:rPr>
          <w:noProof/>
        </w:rPr>
      </w:pPr>
      <w:r w:rsidRPr="002E0210">
        <w:rPr>
          <w:noProof/>
        </w:rPr>
        <w:t xml:space="preserve">Към 31.12.2025 г. отчетеният от общините нетен размер на операциите по придобиване на дялове, акции и съучастия е в размер на (-3,6) млн. лв. </w:t>
      </w:r>
    </w:p>
    <w:p w:rsidR="00D96192" w:rsidRPr="002E0210" w:rsidRDefault="000C7914" w:rsidP="00D96192">
      <w:pPr>
        <w:pStyle w:val="BodyText"/>
        <w:ind w:firstLine="567"/>
        <w:rPr>
          <w:noProof/>
        </w:rPr>
      </w:pPr>
      <w:r w:rsidRPr="000C7914">
        <w:rPr>
          <w:noProof/>
        </w:rPr>
        <w:t>По общинските бюджети са отчетени средства от приватизация на дялове, акции и участия в размер на 0,6 млн. лв</w:t>
      </w:r>
      <w:r w:rsidR="00D96192" w:rsidRPr="002E0210">
        <w:rPr>
          <w:noProof/>
        </w:rPr>
        <w:t>.</w:t>
      </w:r>
    </w:p>
    <w:p w:rsidR="00D96192" w:rsidRPr="002E0210" w:rsidRDefault="00D96192" w:rsidP="00D96192">
      <w:pPr>
        <w:pStyle w:val="BodyText"/>
        <w:ind w:firstLine="567"/>
        <w:rPr>
          <w:noProof/>
        </w:rPr>
      </w:pPr>
      <w:r w:rsidRPr="002E0210">
        <w:rPr>
          <w:noProof/>
        </w:rPr>
        <w:t xml:space="preserve">Предоставените средства под формата на възмездна финансова помощ за 2025 г. са (-14,3) млн. лв., а възстановените са 11,5 млн. лв. </w:t>
      </w:r>
    </w:p>
    <w:p w:rsidR="00D96192" w:rsidRPr="002E0210" w:rsidRDefault="00D96192" w:rsidP="00D96192">
      <w:pPr>
        <w:pStyle w:val="BodyText"/>
        <w:ind w:firstLine="567"/>
        <w:rPr>
          <w:noProof/>
        </w:rPr>
      </w:pPr>
      <w:r w:rsidRPr="002E0210">
        <w:rPr>
          <w:noProof/>
        </w:rPr>
        <w:t>Нетният размер на отчетените предоставени кредити е (-7,6) млн. лв.</w:t>
      </w:r>
    </w:p>
    <w:p w:rsidR="00D96192" w:rsidRPr="002E0210" w:rsidRDefault="00D96192" w:rsidP="00D96192">
      <w:pPr>
        <w:pStyle w:val="BodyText"/>
        <w:ind w:firstLine="567"/>
        <w:rPr>
          <w:noProof/>
        </w:rPr>
      </w:pPr>
      <w:r w:rsidRPr="002E0210">
        <w:rPr>
          <w:noProof/>
        </w:rPr>
        <w:t>Общините отчитат 1 922,8 млн. лв. бюджетен преходен остатък, а наличността към края на 2025 г. (по банкови сметки и каса) нараства и е в размер на 2 189,8 млн. лв. Преводите в процес на сетълмент са (-0,9) млн. лв.</w:t>
      </w:r>
    </w:p>
    <w:p w:rsidR="00D96192" w:rsidRPr="002E0210" w:rsidRDefault="00D96192" w:rsidP="00D96192">
      <w:pPr>
        <w:pStyle w:val="BodyText"/>
        <w:ind w:firstLine="567"/>
        <w:rPr>
          <w:noProof/>
        </w:rPr>
      </w:pPr>
      <w:r w:rsidRPr="002E0210">
        <w:rPr>
          <w:noProof/>
        </w:rPr>
        <w:t xml:space="preserve"> Част от наличността по общинските бюджети към 31.12.2025 г. е под формата на срочни депозити, които са отчетени в размер на 43,3 млн. лв., а 71,1 млн. лв. е левовата равностойност на остатъци по валутни сметки. Отчетената касова наличност (левова и валутна) 0,2 млн. лв. </w:t>
      </w:r>
      <w:r w:rsidRPr="002E0210">
        <w:rPr>
          <w:noProof/>
        </w:rPr>
        <w:tab/>
      </w:r>
    </w:p>
    <w:p w:rsidR="00D96192" w:rsidRPr="002E0210" w:rsidRDefault="00D96192" w:rsidP="00D96192">
      <w:pPr>
        <w:pStyle w:val="BodyText"/>
        <w:ind w:firstLine="567"/>
        <w:rPr>
          <w:noProof/>
        </w:rPr>
      </w:pPr>
      <w:r w:rsidRPr="002E0210">
        <w:rPr>
          <w:noProof/>
        </w:rPr>
        <w:t>Отчетената наличност в делегираните от държавата дейности е 1 051,2 млн. лв. (48 % от общата наличност), а в местните дейности е 1 138,6 млн. лв. (52</w:t>
      </w:r>
      <w:r w:rsidR="00682617">
        <w:rPr>
          <w:noProof/>
          <w:lang w:val="en-US"/>
        </w:rPr>
        <w:t xml:space="preserve"> </w:t>
      </w:r>
      <w:r w:rsidRPr="002E0210">
        <w:rPr>
          <w:noProof/>
        </w:rPr>
        <w:t xml:space="preserve">%). </w:t>
      </w:r>
    </w:p>
    <w:p w:rsidR="00682617" w:rsidRDefault="00682617" w:rsidP="00873DED">
      <w:pPr>
        <w:pStyle w:val="BodyText"/>
        <w:spacing w:before="120"/>
        <w:ind w:firstLine="567"/>
        <w:rPr>
          <w:noProof/>
        </w:rPr>
      </w:pPr>
      <w:r>
        <w:rPr>
          <w:noProof/>
        </w:rPr>
        <w:t xml:space="preserve">В държавните дейности наличността е формирана най-вече от получени от общините през </w:t>
      </w:r>
      <w:r w:rsidR="00DB06F7">
        <w:rPr>
          <w:noProof/>
        </w:rPr>
        <w:t xml:space="preserve">2025 </w:t>
      </w:r>
      <w:r>
        <w:rPr>
          <w:noProof/>
        </w:rPr>
        <w:t xml:space="preserve">година средства от субсидии (858,9 млн. лв.). Наличността от преходни остатъци (получени и неизразходвани средства за финансиране на държавните декйности) е 127,7 млн. лв. Формирани са и остатъци с източник средства, получени от други бюджети и сметки за средства от ЕС, от неизразходвани приходи  и др. средства. </w:t>
      </w:r>
    </w:p>
    <w:p w:rsidR="00D96192" w:rsidRPr="002E0210" w:rsidRDefault="00D96192" w:rsidP="00873DED">
      <w:pPr>
        <w:pStyle w:val="BodyText"/>
        <w:spacing w:before="120"/>
        <w:ind w:firstLine="567"/>
        <w:rPr>
          <w:noProof/>
          <w:color w:val="0070C0"/>
        </w:rPr>
      </w:pPr>
      <w:r w:rsidRPr="002E0210">
        <w:rPr>
          <w:noProof/>
        </w:rPr>
        <w:t>Най-голяма част (около 46</w:t>
      </w:r>
      <w:r w:rsidR="00682617">
        <w:rPr>
          <w:noProof/>
          <w:lang w:val="en-US"/>
        </w:rPr>
        <w:t xml:space="preserve"> </w:t>
      </w:r>
      <w:r w:rsidRPr="002E0210">
        <w:rPr>
          <w:noProof/>
        </w:rPr>
        <w:t xml:space="preserve">%) от наличността в местните дейности е формирана от средства, получени от общините през </w:t>
      </w:r>
      <w:r w:rsidR="00116E10" w:rsidRPr="00116E10">
        <w:rPr>
          <w:noProof/>
        </w:rPr>
        <w:t xml:space="preserve">2025 </w:t>
      </w:r>
      <w:r w:rsidRPr="002E0210">
        <w:rPr>
          <w:noProof/>
        </w:rPr>
        <w:t>година под формата на приходи и дарения, следвана от наличност с източник преходни остатъци и средства от субсидии, предоставени им през отчетената година.</w:t>
      </w:r>
    </w:p>
    <w:p w:rsidR="002C4D33" w:rsidRPr="00C25B8B" w:rsidRDefault="002C4D33" w:rsidP="00FD362E">
      <w:pPr>
        <w:pStyle w:val="BodyText"/>
        <w:spacing w:after="120"/>
        <w:ind w:firstLine="567"/>
        <w:rPr>
          <w:color w:val="0070C0"/>
          <w:sz w:val="18"/>
          <w:szCs w:val="12"/>
        </w:rPr>
      </w:pPr>
    </w:p>
    <w:p w:rsidR="00983F71" w:rsidRPr="00B45414" w:rsidRDefault="00983F71" w:rsidP="00983F71">
      <w:pPr>
        <w:pStyle w:val="Heading1"/>
        <w:numPr>
          <w:ilvl w:val="1"/>
          <w:numId w:val="8"/>
        </w:numPr>
        <w:spacing w:before="120"/>
        <w:ind w:left="788" w:right="-108" w:hanging="431"/>
        <w:jc w:val="both"/>
        <w:rPr>
          <w:sz w:val="24"/>
        </w:rPr>
      </w:pPr>
      <w:bookmarkStart w:id="104" w:name="_Toc109906108"/>
      <w:r w:rsidRPr="00B45414">
        <w:rPr>
          <w:sz w:val="24"/>
        </w:rPr>
        <w:t>Бюджети на Българската национална телевизия, Българското национално радио и Българската телеграфна агенция</w:t>
      </w:r>
      <w:bookmarkEnd w:id="104"/>
      <w:r w:rsidRPr="00B45414">
        <w:rPr>
          <w:sz w:val="24"/>
        </w:rPr>
        <w:t xml:space="preserve"> </w:t>
      </w:r>
    </w:p>
    <w:p w:rsidR="00560B35" w:rsidRPr="00C25B8B" w:rsidRDefault="00560B35" w:rsidP="00560B35">
      <w:pPr>
        <w:spacing w:before="240"/>
        <w:ind w:firstLine="567"/>
        <w:jc w:val="both"/>
        <w:rPr>
          <w:color w:val="0070C0"/>
        </w:rPr>
      </w:pPr>
      <w:r w:rsidRPr="00273205">
        <w:rPr>
          <w:b/>
        </w:rPr>
        <w:t xml:space="preserve">Приходите на Българската национална телевизия (БНТ) </w:t>
      </w:r>
      <w:r w:rsidRPr="00273205">
        <w:t xml:space="preserve">към 31.12.2025 г. са в размер </w:t>
      </w:r>
      <w:r w:rsidRPr="009C7889">
        <w:t xml:space="preserve">на 8,6 млн. лв., което представлява </w:t>
      </w:r>
      <w:r w:rsidRPr="009C7889">
        <w:rPr>
          <w:lang w:val="en-US"/>
        </w:rPr>
        <w:t>86</w:t>
      </w:r>
      <w:r w:rsidRPr="009C7889">
        <w:t>,3</w:t>
      </w:r>
      <w:r w:rsidRPr="009C7889">
        <w:rPr>
          <w:lang w:val="ru-RU"/>
        </w:rPr>
        <w:t xml:space="preserve"> </w:t>
      </w:r>
      <w:r w:rsidRPr="009C7889">
        <w:t xml:space="preserve">% изпълнение на заложените приходи в разчетите към ЗДБРБ за 2025 г. (10,0 млн. </w:t>
      </w:r>
      <w:r w:rsidRPr="00F90EC2">
        <w:t xml:space="preserve">лв.). </w:t>
      </w:r>
      <w:r w:rsidRPr="000E68B1">
        <w:t xml:space="preserve">Ниският процент изпълнение на приходите се дължи на отчетени по-ниски постъпления от реклама, които формират основния дял приходи по бюджета на </w:t>
      </w:r>
      <w:r w:rsidRPr="000E68B1">
        <w:lastRenderedPageBreak/>
        <w:t>обществената медия. Отчетените приходи са постъпления от продажба на услуги, стоки и продукция (реклама, технически услуги, продажба на програми, приходи от почивно дело), наеми на имущество и други неданъчни приходи, помощи и дарения от чужбина.</w:t>
      </w:r>
    </w:p>
    <w:p w:rsidR="00560B35" w:rsidRPr="00C25B8B" w:rsidRDefault="00560B35" w:rsidP="00560B35">
      <w:pPr>
        <w:pStyle w:val="Title"/>
        <w:ind w:firstLine="567"/>
        <w:jc w:val="both"/>
        <w:rPr>
          <w:b w:val="0"/>
          <w:color w:val="0070C0"/>
          <w:szCs w:val="24"/>
          <w:lang w:eastAsia="bg-BG"/>
        </w:rPr>
      </w:pPr>
      <w:r w:rsidRPr="00A862B9">
        <w:rPr>
          <w:b w:val="0"/>
          <w:szCs w:val="24"/>
          <w:lang w:eastAsia="bg-BG"/>
        </w:rPr>
        <w:t>Отчетените</w:t>
      </w:r>
      <w:r w:rsidRPr="0050503C">
        <w:rPr>
          <w:szCs w:val="24"/>
          <w:lang w:eastAsia="bg-BG"/>
        </w:rPr>
        <w:t xml:space="preserve"> разходи по бюджета на БНТ</w:t>
      </w:r>
      <w:r w:rsidRPr="009C7889">
        <w:rPr>
          <w:b w:val="0"/>
          <w:szCs w:val="24"/>
          <w:lang w:eastAsia="bg-BG"/>
        </w:rPr>
        <w:t xml:space="preserve"> са в размер на</w:t>
      </w:r>
      <w:r w:rsidRPr="009C7889">
        <w:rPr>
          <w:b w:val="0"/>
        </w:rPr>
        <w:t xml:space="preserve"> </w:t>
      </w:r>
      <w:r w:rsidRPr="009C7889">
        <w:rPr>
          <w:b w:val="0"/>
          <w:lang w:val="en-US"/>
        </w:rPr>
        <w:t>102</w:t>
      </w:r>
      <w:r w:rsidRPr="009C7889">
        <w:rPr>
          <w:b w:val="0"/>
        </w:rPr>
        <w:t xml:space="preserve">,2 млн. лв., което представлява </w:t>
      </w:r>
      <w:r w:rsidRPr="009C7889">
        <w:rPr>
          <w:b w:val="0"/>
          <w:lang w:val="en-US"/>
        </w:rPr>
        <w:t>97</w:t>
      </w:r>
      <w:r w:rsidRPr="009C7889">
        <w:rPr>
          <w:b w:val="0"/>
        </w:rPr>
        <w:t>,2 % от предвидените разходи в разчетите към ЗДБРБ за 2025 г. – 105,2 млн. лв.</w:t>
      </w:r>
      <w:r w:rsidRPr="009C7889">
        <w:rPr>
          <w:b w:val="0"/>
          <w:lang w:val="ru-RU"/>
        </w:rPr>
        <w:t xml:space="preserve"> </w:t>
      </w:r>
      <w:r w:rsidRPr="009C7889">
        <w:rPr>
          <w:b w:val="0"/>
          <w:szCs w:val="24"/>
          <w:lang w:eastAsia="bg-BG"/>
        </w:rPr>
        <w:t xml:space="preserve">Българската национална телевизия съставя, изпълнява, приключва и отчита бюджет, съгласно чл. 70, ал. 1 от Закона за радиото и телевизията (ЗРТ). За периода са отчетени </w:t>
      </w:r>
      <w:r w:rsidRPr="009C7889">
        <w:rPr>
          <w:b w:val="0"/>
          <w:szCs w:val="24"/>
          <w:lang w:val="en-US" w:eastAsia="bg-BG"/>
        </w:rPr>
        <w:t>93</w:t>
      </w:r>
      <w:r w:rsidRPr="009C7889">
        <w:rPr>
          <w:b w:val="0"/>
          <w:szCs w:val="24"/>
          <w:lang w:eastAsia="bg-BG"/>
        </w:rPr>
        <w:t>,1 млн. лв. текущи разходи и 9,</w:t>
      </w:r>
      <w:r w:rsidRPr="00F90EC2">
        <w:rPr>
          <w:b w:val="0"/>
          <w:szCs w:val="24"/>
          <w:lang w:eastAsia="bg-BG"/>
        </w:rPr>
        <w:t>1</w:t>
      </w:r>
      <w:r w:rsidRPr="00F90EC2">
        <w:rPr>
          <w:b w:val="0"/>
          <w:szCs w:val="24"/>
          <w:lang w:val="en-US" w:eastAsia="bg-BG"/>
        </w:rPr>
        <w:t> </w:t>
      </w:r>
      <w:r w:rsidRPr="00F90EC2">
        <w:rPr>
          <w:b w:val="0"/>
          <w:szCs w:val="24"/>
          <w:lang w:eastAsia="bg-BG"/>
        </w:rPr>
        <w:t xml:space="preserve">млн. лв. капиталови разходи. Общият размер на отчетените текущи разходи включва: </w:t>
      </w:r>
      <w:r w:rsidRPr="00F90EC2">
        <w:rPr>
          <w:b w:val="0"/>
          <w:szCs w:val="24"/>
          <w:lang w:val="en-US" w:eastAsia="bg-BG"/>
        </w:rPr>
        <w:t>52</w:t>
      </w:r>
      <w:r w:rsidRPr="00F90EC2">
        <w:rPr>
          <w:b w:val="0"/>
          <w:szCs w:val="24"/>
          <w:lang w:eastAsia="bg-BG"/>
        </w:rPr>
        <w:t>,8</w:t>
      </w:r>
      <w:r w:rsidRPr="00F90EC2">
        <w:rPr>
          <w:b w:val="0"/>
          <w:szCs w:val="24"/>
          <w:lang w:val="en-US" w:eastAsia="bg-BG"/>
        </w:rPr>
        <w:t> </w:t>
      </w:r>
      <w:r w:rsidRPr="00F90EC2">
        <w:rPr>
          <w:b w:val="0"/>
          <w:szCs w:val="24"/>
          <w:lang w:eastAsia="bg-BG"/>
        </w:rPr>
        <w:t xml:space="preserve">млн. лв. разходи за персонал и </w:t>
      </w:r>
      <w:r w:rsidRPr="00F90EC2">
        <w:rPr>
          <w:b w:val="0"/>
          <w:szCs w:val="24"/>
          <w:lang w:val="en-US" w:eastAsia="bg-BG"/>
        </w:rPr>
        <w:t>40</w:t>
      </w:r>
      <w:r w:rsidRPr="00F90EC2">
        <w:rPr>
          <w:b w:val="0"/>
          <w:szCs w:val="24"/>
          <w:lang w:eastAsia="bg-BG"/>
        </w:rPr>
        <w:t xml:space="preserve">,3 млн. лв. разходи за издръжка (вкл. разходи за членски внос, платени данъци, такси и административни санкции). Отчетените разходи за персонал заемат дял от </w:t>
      </w:r>
      <w:r w:rsidRPr="00F90EC2">
        <w:rPr>
          <w:b w:val="0"/>
          <w:szCs w:val="24"/>
          <w:lang w:val="en-US" w:eastAsia="bg-BG"/>
        </w:rPr>
        <w:t>51</w:t>
      </w:r>
      <w:r w:rsidRPr="00F90EC2">
        <w:rPr>
          <w:b w:val="0"/>
          <w:szCs w:val="24"/>
          <w:lang w:eastAsia="bg-BG"/>
        </w:rPr>
        <w:t>,7</w:t>
      </w:r>
      <w:r w:rsidRPr="00F90EC2">
        <w:rPr>
          <w:b w:val="0"/>
          <w:szCs w:val="24"/>
          <w:lang w:val="en-US" w:eastAsia="bg-BG"/>
        </w:rPr>
        <w:t> </w:t>
      </w:r>
      <w:r w:rsidRPr="00F90EC2">
        <w:rPr>
          <w:b w:val="0"/>
          <w:szCs w:val="24"/>
          <w:lang w:eastAsia="bg-BG"/>
        </w:rPr>
        <w:t>% в общия размер на разходите за периода.</w:t>
      </w:r>
    </w:p>
    <w:p w:rsidR="00560B35" w:rsidRPr="00F90EC2" w:rsidRDefault="00560B35" w:rsidP="00560B35">
      <w:pPr>
        <w:pStyle w:val="Title"/>
        <w:ind w:firstLine="567"/>
        <w:jc w:val="both"/>
      </w:pPr>
      <w:r w:rsidRPr="00F90EC2">
        <w:rPr>
          <w:b w:val="0"/>
          <w:szCs w:val="24"/>
          <w:lang w:eastAsia="bg-BG"/>
        </w:rPr>
        <w:t>За отчетния период средствата са усвоени за реализирането на основните цели и дейности на БНТ по подготовката, създаването и разпространението на телевизионни програми съгласно разпоредбите на Закона за радиото и телевизията.</w:t>
      </w:r>
      <w:r w:rsidRPr="00F90EC2">
        <w:t xml:space="preserve"> </w:t>
      </w:r>
    </w:p>
    <w:p w:rsidR="00560B35" w:rsidRDefault="00560B35" w:rsidP="00720E66">
      <w:pPr>
        <w:pStyle w:val="Title"/>
        <w:spacing w:after="120"/>
        <w:ind w:firstLine="567"/>
        <w:jc w:val="both"/>
        <w:rPr>
          <w:b w:val="0"/>
        </w:rPr>
      </w:pPr>
      <w:r w:rsidRPr="00F90EC2">
        <w:t xml:space="preserve">Бюджетни взаимоотношения на БНТ </w:t>
      </w:r>
      <w:r w:rsidRPr="00F90EC2">
        <w:rPr>
          <w:b w:val="0"/>
        </w:rPr>
        <w:t xml:space="preserve">с централния бюджет са 93,7 млн. лв. съгласно чл. 50, т. 2 от ЗДБРБ за 2025 г. За отчетния период е усвоена сума в размер на </w:t>
      </w:r>
      <w:r w:rsidRPr="00F90EC2">
        <w:rPr>
          <w:b w:val="0"/>
          <w:lang w:val="en-US"/>
        </w:rPr>
        <w:t>93</w:t>
      </w:r>
      <w:r w:rsidRPr="00F90EC2">
        <w:rPr>
          <w:b w:val="0"/>
          <w:lang w:val="ru-RU"/>
        </w:rPr>
        <w:t>,7</w:t>
      </w:r>
      <w:r w:rsidRPr="00F90EC2">
        <w:rPr>
          <w:b w:val="0"/>
        </w:rPr>
        <w:t xml:space="preserve"> млн. лв. или </w:t>
      </w:r>
      <w:r w:rsidRPr="00F90EC2">
        <w:rPr>
          <w:b w:val="0"/>
          <w:lang w:val="en-US"/>
        </w:rPr>
        <w:t>100</w:t>
      </w:r>
      <w:r w:rsidRPr="00F90EC2">
        <w:rPr>
          <w:b w:val="0"/>
          <w:lang w:val="ru-RU"/>
        </w:rPr>
        <w:t>,0</w:t>
      </w:r>
      <w:r w:rsidRPr="00F90EC2">
        <w:rPr>
          <w:b w:val="0"/>
        </w:rPr>
        <w:t> % от размера на определените със закона бюджетни взаимоотношения на БНТ с централния бюджет.</w:t>
      </w:r>
    </w:p>
    <w:p w:rsidR="00560B35" w:rsidRPr="00C25B8B" w:rsidRDefault="00560B35" w:rsidP="00720E66">
      <w:pPr>
        <w:pStyle w:val="Title"/>
        <w:ind w:firstLine="567"/>
        <w:jc w:val="both"/>
        <w:rPr>
          <w:b w:val="0"/>
          <w:color w:val="0070C0"/>
        </w:rPr>
      </w:pPr>
      <w:r w:rsidRPr="00F90EC2">
        <w:t>Приходите по бюджета на Българското национално радио (БНР)</w:t>
      </w:r>
      <w:r w:rsidRPr="00F90EC2">
        <w:rPr>
          <w:b w:val="0"/>
        </w:rPr>
        <w:t xml:space="preserve"> към 31.12.2025 г. са в размер на 2,2 млн. лв., което представлява </w:t>
      </w:r>
      <w:r w:rsidRPr="00F90EC2">
        <w:rPr>
          <w:b w:val="0"/>
          <w:lang w:val="en-US"/>
        </w:rPr>
        <w:t>122</w:t>
      </w:r>
      <w:r w:rsidRPr="00F90EC2">
        <w:rPr>
          <w:b w:val="0"/>
        </w:rPr>
        <w:t>,2</w:t>
      </w:r>
      <w:r w:rsidRPr="00F90EC2">
        <w:rPr>
          <w:b w:val="0"/>
          <w:lang w:val="ru-RU"/>
        </w:rPr>
        <w:t xml:space="preserve"> </w:t>
      </w:r>
      <w:r w:rsidRPr="00F90EC2">
        <w:rPr>
          <w:b w:val="0"/>
        </w:rPr>
        <w:t>% изпълнение на заложените приходи в разчетите към ЗДБРБ за 2025 г. (1,8 млн. лв.).</w:t>
      </w:r>
    </w:p>
    <w:p w:rsidR="00560B35" w:rsidRPr="00F90EC2" w:rsidRDefault="00560B35" w:rsidP="00560B35">
      <w:pPr>
        <w:pStyle w:val="Title"/>
        <w:ind w:firstLine="567"/>
        <w:jc w:val="both"/>
        <w:rPr>
          <w:b w:val="0"/>
        </w:rPr>
      </w:pPr>
      <w:r w:rsidRPr="00F90EC2">
        <w:rPr>
          <w:b w:val="0"/>
        </w:rPr>
        <w:t>Отчетените приходи са постъпления от продажба на услуги, стоки и продукция (реклама, спонсорство, технически услуги, съвместни продукции, приходи от концертна дейност), наеми на имущество и други неданъчни приходи.</w:t>
      </w:r>
    </w:p>
    <w:p w:rsidR="00560B35" w:rsidRPr="00077B18" w:rsidRDefault="00560B35" w:rsidP="00560B35">
      <w:pPr>
        <w:pStyle w:val="Title"/>
        <w:ind w:firstLine="567"/>
        <w:jc w:val="both"/>
        <w:rPr>
          <w:b w:val="0"/>
        </w:rPr>
      </w:pPr>
      <w:r w:rsidRPr="00077B18">
        <w:rPr>
          <w:b w:val="0"/>
        </w:rPr>
        <w:t xml:space="preserve">Изпълнението на </w:t>
      </w:r>
      <w:r w:rsidRPr="00077B18">
        <w:t>разходите</w:t>
      </w:r>
      <w:r w:rsidRPr="00077B18">
        <w:rPr>
          <w:b w:val="0"/>
        </w:rPr>
        <w:t xml:space="preserve"> </w:t>
      </w:r>
      <w:r w:rsidRPr="00E476A3">
        <w:t>по бюджета на БНР</w:t>
      </w:r>
      <w:r w:rsidRPr="00077B18">
        <w:rPr>
          <w:b w:val="0"/>
        </w:rPr>
        <w:t xml:space="preserve"> възлиза на </w:t>
      </w:r>
      <w:r w:rsidRPr="00077B18">
        <w:rPr>
          <w:b w:val="0"/>
          <w:lang w:val="en-US"/>
        </w:rPr>
        <w:t>68</w:t>
      </w:r>
      <w:r w:rsidRPr="00077B18">
        <w:rPr>
          <w:b w:val="0"/>
        </w:rPr>
        <w:t xml:space="preserve">,4 млн. лв., което представлява </w:t>
      </w:r>
      <w:r w:rsidRPr="00077B18">
        <w:rPr>
          <w:b w:val="0"/>
          <w:lang w:val="en-US"/>
        </w:rPr>
        <w:t>98</w:t>
      </w:r>
      <w:r w:rsidRPr="00077B18">
        <w:rPr>
          <w:b w:val="0"/>
        </w:rPr>
        <w:t>,5</w:t>
      </w:r>
      <w:r w:rsidRPr="00077B18">
        <w:rPr>
          <w:b w:val="0"/>
          <w:lang w:val="ru-RU"/>
        </w:rPr>
        <w:t xml:space="preserve"> </w:t>
      </w:r>
      <w:r w:rsidRPr="00077B18">
        <w:rPr>
          <w:b w:val="0"/>
        </w:rPr>
        <w:t>% от предвидените разходи в разчетите към ЗДБРБ за 2025 г. – 69,4 млн. лв.</w:t>
      </w:r>
      <w:r w:rsidRPr="00077B18">
        <w:rPr>
          <w:b w:val="0"/>
          <w:lang w:val="ru-RU"/>
        </w:rPr>
        <w:t xml:space="preserve"> </w:t>
      </w:r>
      <w:r w:rsidRPr="00077B18">
        <w:rPr>
          <w:b w:val="0"/>
        </w:rPr>
        <w:t xml:space="preserve">За периода са отчетени </w:t>
      </w:r>
      <w:r w:rsidRPr="00077B18">
        <w:rPr>
          <w:b w:val="0"/>
          <w:lang w:val="en-US"/>
        </w:rPr>
        <w:t>66</w:t>
      </w:r>
      <w:r w:rsidRPr="00077B18">
        <w:rPr>
          <w:b w:val="0"/>
        </w:rPr>
        <w:t xml:space="preserve">,0 млн. лв. текущи разходи и 2,4 млн. лв. капиталови разходи. Общият размер на отчетените текущи разходи включва: </w:t>
      </w:r>
      <w:r w:rsidRPr="00077B18">
        <w:rPr>
          <w:b w:val="0"/>
          <w:lang w:val="en-US"/>
        </w:rPr>
        <w:t>44</w:t>
      </w:r>
      <w:r w:rsidRPr="00077B18">
        <w:rPr>
          <w:b w:val="0"/>
        </w:rPr>
        <w:t xml:space="preserve">,4 млн. лв. разходи за персонал и </w:t>
      </w:r>
      <w:r w:rsidRPr="00077B18">
        <w:rPr>
          <w:b w:val="0"/>
          <w:lang w:val="en-US"/>
        </w:rPr>
        <w:t>21</w:t>
      </w:r>
      <w:r w:rsidRPr="00077B18">
        <w:rPr>
          <w:b w:val="0"/>
        </w:rPr>
        <w:t>,6 млн. лв. разходи за издръжка (вкл. разходи за членски внос, платени данъци, такси и административни санкции). Отчетените разходи за персонал представляват 64,9</w:t>
      </w:r>
      <w:r w:rsidRPr="00077B18">
        <w:rPr>
          <w:b w:val="0"/>
          <w:lang w:val="ru-RU"/>
        </w:rPr>
        <w:t xml:space="preserve"> </w:t>
      </w:r>
      <w:r w:rsidRPr="00077B18">
        <w:rPr>
          <w:b w:val="0"/>
        </w:rPr>
        <w:t>% от отчетените за периода разходи.</w:t>
      </w:r>
    </w:p>
    <w:p w:rsidR="00560B35" w:rsidRPr="00077B18" w:rsidRDefault="00560B35" w:rsidP="00560B35">
      <w:pPr>
        <w:ind w:firstLine="567"/>
        <w:jc w:val="both"/>
        <w:rPr>
          <w:b/>
        </w:rPr>
      </w:pPr>
      <w:r w:rsidRPr="00077B18">
        <w:t>За отчетния период средствата са усвоени за реализирането на основните цели и дейности на БНР по подготовката, създаването и разпространението на национални и регионални програми съгласно разпоредбите на Закона за радиото и телевизията.</w:t>
      </w:r>
    </w:p>
    <w:p w:rsidR="00560B35" w:rsidRDefault="00560B35" w:rsidP="004C1928">
      <w:pPr>
        <w:pStyle w:val="Title"/>
        <w:spacing w:after="240" w:line="276" w:lineRule="auto"/>
        <w:ind w:firstLine="567"/>
        <w:jc w:val="both"/>
        <w:rPr>
          <w:b w:val="0"/>
        </w:rPr>
      </w:pPr>
      <w:r w:rsidRPr="00077B18">
        <w:rPr>
          <w:szCs w:val="24"/>
        </w:rPr>
        <w:t>Бюджетни взаимоотношения</w:t>
      </w:r>
      <w:r w:rsidRPr="00077B18">
        <w:rPr>
          <w:b w:val="0"/>
          <w:szCs w:val="24"/>
        </w:rPr>
        <w:t xml:space="preserve"> </w:t>
      </w:r>
      <w:r w:rsidRPr="00077B18">
        <w:rPr>
          <w:szCs w:val="24"/>
        </w:rPr>
        <w:t>на БНР</w:t>
      </w:r>
      <w:r w:rsidRPr="00077B18">
        <w:rPr>
          <w:b w:val="0"/>
          <w:szCs w:val="24"/>
        </w:rPr>
        <w:t xml:space="preserve"> с централния бюджет са 66,1 млн. лв. съгласно чл. 50, т. 1 от ЗДБРБ за 2025 г. </w:t>
      </w:r>
      <w:r w:rsidRPr="00077B18">
        <w:rPr>
          <w:b w:val="0"/>
        </w:rPr>
        <w:t xml:space="preserve">За отчетния период е усвоена сума в размер на 66,1 млн. лв. или </w:t>
      </w:r>
      <w:r w:rsidRPr="00077B18">
        <w:rPr>
          <w:b w:val="0"/>
          <w:lang w:val="en-US"/>
        </w:rPr>
        <w:t>100</w:t>
      </w:r>
      <w:r w:rsidRPr="00077B18">
        <w:rPr>
          <w:b w:val="0"/>
        </w:rPr>
        <w:t>,0</w:t>
      </w:r>
      <w:r w:rsidRPr="00077B18">
        <w:rPr>
          <w:b w:val="0"/>
          <w:lang w:val="en-US"/>
        </w:rPr>
        <w:t> </w:t>
      </w:r>
      <w:r w:rsidRPr="00077B18">
        <w:rPr>
          <w:b w:val="0"/>
        </w:rPr>
        <w:t>% от размера на определените със закона бюджетни взаимоотношения на БНР с централния бюджет.</w:t>
      </w:r>
    </w:p>
    <w:p w:rsidR="00560B35" w:rsidRPr="00C25B8B" w:rsidRDefault="00560B35" w:rsidP="004C1928">
      <w:pPr>
        <w:pStyle w:val="Title"/>
        <w:ind w:firstLine="561"/>
        <w:jc w:val="both"/>
        <w:rPr>
          <w:b w:val="0"/>
          <w:color w:val="0070C0"/>
        </w:rPr>
      </w:pPr>
      <w:r w:rsidRPr="00077B18">
        <w:t xml:space="preserve">Приходите на Българската телеграфна агенция (БТА) </w:t>
      </w:r>
      <w:r w:rsidRPr="00077B18">
        <w:rPr>
          <w:b w:val="0"/>
        </w:rPr>
        <w:t>към 31.12.2025 г.</w:t>
      </w:r>
      <w:r w:rsidRPr="00077B18">
        <w:t xml:space="preserve"> </w:t>
      </w:r>
      <w:r w:rsidRPr="00077B18">
        <w:rPr>
          <w:b w:val="0"/>
        </w:rPr>
        <w:t>са в размер на 0,</w:t>
      </w:r>
      <w:r w:rsidRPr="00077B18">
        <w:rPr>
          <w:b w:val="0"/>
          <w:lang w:val="ru-RU"/>
        </w:rPr>
        <w:t>98</w:t>
      </w:r>
      <w:r w:rsidRPr="00077B18">
        <w:rPr>
          <w:b w:val="0"/>
        </w:rPr>
        <w:t xml:space="preserve"> млн. лв., при заложени в разчетите към ЗДБРБ за 2025</w:t>
      </w:r>
      <w:r w:rsidRPr="00077B18">
        <w:rPr>
          <w:b w:val="0"/>
          <w:lang w:val="en-US"/>
        </w:rPr>
        <w:t> </w:t>
      </w:r>
      <w:r w:rsidRPr="00077B18">
        <w:rPr>
          <w:b w:val="0"/>
        </w:rPr>
        <w:t>г. 0,6 млн. лева. Отчетените приходи са постъпления от продажба на услуги, стоки и продукция (реклама, технически услуги, продажба на продукция), наеми на имущество и др.</w:t>
      </w:r>
    </w:p>
    <w:p w:rsidR="00560B35" w:rsidRPr="00077B18" w:rsidRDefault="00560B35" w:rsidP="00560B35">
      <w:pPr>
        <w:pStyle w:val="Title"/>
        <w:ind w:firstLine="567"/>
        <w:jc w:val="both"/>
        <w:rPr>
          <w:b w:val="0"/>
        </w:rPr>
      </w:pPr>
      <w:r w:rsidRPr="00A862B9">
        <w:rPr>
          <w:b w:val="0"/>
        </w:rPr>
        <w:t>Отчетените</w:t>
      </w:r>
      <w:r w:rsidRPr="00077B18">
        <w:t xml:space="preserve"> разходи по бюджета на БТА </w:t>
      </w:r>
      <w:r w:rsidRPr="00077B18">
        <w:rPr>
          <w:b w:val="0"/>
        </w:rPr>
        <w:t>са в размер на</w:t>
      </w:r>
      <w:r w:rsidRPr="00077B18">
        <w:t xml:space="preserve"> </w:t>
      </w:r>
      <w:r w:rsidRPr="00077B18">
        <w:rPr>
          <w:b w:val="0"/>
        </w:rPr>
        <w:t>1</w:t>
      </w:r>
      <w:r w:rsidRPr="00077B18">
        <w:rPr>
          <w:b w:val="0"/>
          <w:lang w:val="en-US"/>
        </w:rPr>
        <w:t>6</w:t>
      </w:r>
      <w:r w:rsidRPr="00077B18">
        <w:rPr>
          <w:b w:val="0"/>
        </w:rPr>
        <w:t xml:space="preserve">,9 млн. лв., което представлява </w:t>
      </w:r>
      <w:r w:rsidRPr="00077B18">
        <w:rPr>
          <w:b w:val="0"/>
          <w:lang w:val="en-US"/>
        </w:rPr>
        <w:t>103</w:t>
      </w:r>
      <w:r w:rsidRPr="00077B18">
        <w:rPr>
          <w:b w:val="0"/>
          <w:lang w:val="ru-RU"/>
        </w:rPr>
        <w:t>,7</w:t>
      </w:r>
      <w:r w:rsidRPr="00077B18">
        <w:rPr>
          <w:b w:val="0"/>
        </w:rPr>
        <w:t xml:space="preserve"> % </w:t>
      </w:r>
      <w:r w:rsidR="00620ACB">
        <w:rPr>
          <w:b w:val="0"/>
        </w:rPr>
        <w:t>спрямо</w:t>
      </w:r>
      <w:r w:rsidRPr="00077B18">
        <w:rPr>
          <w:b w:val="0"/>
        </w:rPr>
        <w:t xml:space="preserve"> предвидените разходи в разчетите към ЗДБРБ за 2025 г. – 16,3 млн. лв.</w:t>
      </w:r>
    </w:p>
    <w:p w:rsidR="00560B35" w:rsidRPr="00077B18" w:rsidRDefault="00560B35" w:rsidP="00560B35">
      <w:pPr>
        <w:pStyle w:val="Title"/>
        <w:ind w:firstLine="567"/>
        <w:jc w:val="both"/>
        <w:rPr>
          <w:b w:val="0"/>
        </w:rPr>
      </w:pPr>
      <w:r w:rsidRPr="00077B18">
        <w:rPr>
          <w:b w:val="0"/>
        </w:rPr>
        <w:t xml:space="preserve">Българската телеграфна агенция съставя, изпълнява, приключва и отчита бюджет, съгласно чл. 19, ал. 1 от Закона за Българска телеграфна агенция (ЗБТА). </w:t>
      </w:r>
    </w:p>
    <w:p w:rsidR="00560B35" w:rsidRPr="00503195" w:rsidRDefault="00560B35" w:rsidP="00560B35">
      <w:pPr>
        <w:ind w:firstLine="567"/>
        <w:jc w:val="both"/>
        <w:rPr>
          <w:szCs w:val="20"/>
        </w:rPr>
      </w:pPr>
      <w:r w:rsidRPr="00503195">
        <w:t>За отчетния период средствата са усвоени за реализирането на основните цели и дейности на БТА като национален независим информационен институт на Република България, съгласно разпоредбите на Закона за Българска телеграфна агенция.</w:t>
      </w:r>
    </w:p>
    <w:p w:rsidR="00560B35" w:rsidRPr="00C25B8B" w:rsidRDefault="00560B35" w:rsidP="00560B35">
      <w:pPr>
        <w:pStyle w:val="Title"/>
        <w:ind w:firstLine="567"/>
        <w:jc w:val="both"/>
        <w:rPr>
          <w:b w:val="0"/>
          <w:color w:val="0070C0"/>
        </w:rPr>
      </w:pPr>
      <w:r w:rsidRPr="00503195">
        <w:rPr>
          <w:b w:val="0"/>
        </w:rPr>
        <w:t>За периода са отчетени 16,7 млн. лв. текущи разходи и 0,2 млн. лв. капиталови разходи. Общият размер на отчетените текущи разходи включва: 12,5 млн. лв. разходи за персонал и 4,2 млн. лв. разходи за издръжка (вкл. разходи за членски внос, платени данъци, такси и административни санкции). Отчетените разходи за персонал представляват 74,4 % от отчетените общо разходи.</w:t>
      </w:r>
    </w:p>
    <w:p w:rsidR="00560B35" w:rsidRPr="00C25B8B" w:rsidRDefault="00560B35" w:rsidP="00560B35">
      <w:pPr>
        <w:pStyle w:val="Title"/>
        <w:ind w:firstLine="567"/>
        <w:jc w:val="both"/>
        <w:rPr>
          <w:b w:val="0"/>
          <w:color w:val="0070C0"/>
        </w:rPr>
      </w:pPr>
      <w:r w:rsidRPr="00503195">
        <w:lastRenderedPageBreak/>
        <w:t xml:space="preserve"> Бюджетни взаимоотношения на БТА </w:t>
      </w:r>
      <w:r w:rsidRPr="00503195">
        <w:rPr>
          <w:b w:val="0"/>
        </w:rPr>
        <w:t xml:space="preserve">с централния бюджет са 15,7 млн. лв. съгласно чл. 50, т. 3 от ЗДБРБ за </w:t>
      </w:r>
      <w:r w:rsidRPr="00CB5C69">
        <w:rPr>
          <w:b w:val="0"/>
        </w:rPr>
        <w:t>2025 г.</w:t>
      </w:r>
      <w:r w:rsidRPr="00CB5C69">
        <w:t xml:space="preserve"> </w:t>
      </w:r>
      <w:r w:rsidRPr="00CB5C69">
        <w:rPr>
          <w:b w:val="0"/>
        </w:rPr>
        <w:t xml:space="preserve">За отчетния период сумата е усвоена в пълен размер. </w:t>
      </w:r>
    </w:p>
    <w:p w:rsidR="00753D5A" w:rsidRPr="00B87954" w:rsidRDefault="00746832" w:rsidP="00746832">
      <w:pPr>
        <w:pStyle w:val="Heading1"/>
        <w:numPr>
          <w:ilvl w:val="0"/>
          <w:numId w:val="8"/>
        </w:numPr>
        <w:spacing w:before="360"/>
        <w:ind w:right="-108"/>
        <w:jc w:val="both"/>
        <w:rPr>
          <w:sz w:val="24"/>
        </w:rPr>
      </w:pPr>
      <w:r w:rsidRPr="00B87954">
        <w:rPr>
          <w:sz w:val="24"/>
        </w:rPr>
        <w:t>Информация за разходите по програмите за компенсиране на разходите на потребителите на електрическа енергия</w:t>
      </w:r>
      <w:r w:rsidR="00753D5A" w:rsidRPr="00B87954">
        <w:rPr>
          <w:sz w:val="24"/>
        </w:rPr>
        <w:t xml:space="preserve"> </w:t>
      </w:r>
    </w:p>
    <w:p w:rsidR="00B87954" w:rsidRPr="00DE12AE" w:rsidRDefault="00B87954" w:rsidP="00B87954">
      <w:pPr>
        <w:spacing w:before="120"/>
        <w:jc w:val="both"/>
        <w:outlineLvl w:val="0"/>
      </w:pPr>
      <w:r w:rsidRPr="00DE12AE">
        <w:rPr>
          <w:b/>
          <w:color w:val="000000"/>
        </w:rPr>
        <w:t>Извършените разходи по</w:t>
      </w:r>
      <w:r w:rsidRPr="00DE12AE">
        <w:t xml:space="preserve"> Програма за компенсиране на разходите на небитови крайни клиенти за електрическа енергия за периода от 1 юли 2024 г. до 31 март 2025 г., одобрената с РМС № 546 от 2024 г. (актуализирана с РМС № 654 от 2024 г. и РМС № 30 от 2025 г. и изменена с РМС №</w:t>
      </w:r>
      <w:r>
        <w:t> </w:t>
      </w:r>
      <w:r w:rsidRPr="00DE12AE">
        <w:t xml:space="preserve">235 от 2025 г.) са в размер на </w:t>
      </w:r>
      <w:r w:rsidRPr="00DE12AE">
        <w:rPr>
          <w:b/>
          <w:color w:val="000000"/>
        </w:rPr>
        <w:t xml:space="preserve"> </w:t>
      </w:r>
      <w:r w:rsidRPr="00DE12AE">
        <w:t>593,0 млн. л</w:t>
      </w:r>
      <w:r>
        <w:t>е</w:t>
      </w:r>
      <w:r w:rsidRPr="00DE12AE">
        <w:t>в</w:t>
      </w:r>
      <w:r>
        <w:t>а</w:t>
      </w:r>
      <w:r w:rsidRPr="00DE12AE">
        <w:t xml:space="preserve">. </w:t>
      </w:r>
    </w:p>
    <w:p w:rsidR="00B87954" w:rsidRPr="00DE12AE" w:rsidRDefault="00B87954" w:rsidP="00B87954">
      <w:pPr>
        <w:tabs>
          <w:tab w:val="left" w:pos="709"/>
        </w:tabs>
        <w:contextualSpacing/>
        <w:jc w:val="both"/>
      </w:pPr>
      <w:r w:rsidRPr="00DE12AE">
        <w:t xml:space="preserve">Предоставените компенсации чрез крайния снабдител, покриващи част от разходите за електрическа енергия на битовите крайни клиенти за обекти, присъединени към електроразпределителна мрежа на ниво ниско напрежение и покриване на разходи извършени от крайните снабдители по чл. 94а, ал. 3, определени с решение на КЕВР са в размер на 169,3 млн. </w:t>
      </w:r>
      <w:r w:rsidR="00F047F5" w:rsidRPr="00DE12AE">
        <w:t>л</w:t>
      </w:r>
      <w:r w:rsidR="00F047F5">
        <w:t>е</w:t>
      </w:r>
      <w:r w:rsidR="00F047F5" w:rsidRPr="00DE12AE">
        <w:t>в</w:t>
      </w:r>
      <w:r w:rsidR="00F047F5">
        <w:t>а</w:t>
      </w:r>
      <w:r w:rsidRPr="00DE12AE">
        <w:t>.</w:t>
      </w:r>
    </w:p>
    <w:p w:rsidR="00753D5A" w:rsidRDefault="00B87954" w:rsidP="00B87954">
      <w:pPr>
        <w:tabs>
          <w:tab w:val="left" w:pos="0"/>
          <w:tab w:val="left" w:pos="1134"/>
        </w:tabs>
        <w:contextualSpacing/>
        <w:jc w:val="both"/>
        <w:rPr>
          <w:color w:val="0070C0"/>
        </w:rPr>
      </w:pPr>
      <w:r w:rsidRPr="00DE12AE">
        <w:rPr>
          <w:b/>
        </w:rPr>
        <w:t>Постъпленията</w:t>
      </w:r>
      <w:r w:rsidRPr="00DE12AE">
        <w:t xml:space="preserve"> към 31.12.2025 г.  във фонд „Сигурност на електроенергийната система“ от целеви вноски по § 2, ал. 1, 3, 4 и 5 от ЗР на Закона за събирането на приходи и извършването на разходи през 2025 г. до приемането на Закона за държавния бюджет на Република България за 2025 г., Закона за бюджета на държавното обществено осигуряване за 2025 г. и Закона за бюджета на Националната здравноосигурителна каса за 2025 г.</w:t>
      </w:r>
      <w:r>
        <w:t xml:space="preserve"> и § 3 от ПЗР на ЗДБРБ за 2024 г.</w:t>
      </w:r>
      <w:r w:rsidRPr="00DE12AE">
        <w:t xml:space="preserve">, предназначени за покриване на разходи по одобрени от МС програми за компенсиране високите цени на енергията са в размер на 624,9 млн. </w:t>
      </w:r>
      <w:r w:rsidR="00F047F5" w:rsidRPr="00DE12AE">
        <w:t>л</w:t>
      </w:r>
      <w:r w:rsidR="00F047F5">
        <w:t>е</w:t>
      </w:r>
      <w:r w:rsidR="00F047F5" w:rsidRPr="00DE12AE">
        <w:t>в</w:t>
      </w:r>
      <w:r w:rsidR="00F047F5">
        <w:t>а</w:t>
      </w:r>
      <w:r w:rsidR="00753D5A" w:rsidRPr="00C25B8B">
        <w:rPr>
          <w:color w:val="0070C0"/>
        </w:rPr>
        <w:t xml:space="preserve">.  </w:t>
      </w:r>
    </w:p>
    <w:p w:rsidR="00446778" w:rsidRPr="00323599" w:rsidRDefault="000B511A" w:rsidP="000B511A">
      <w:pPr>
        <w:pStyle w:val="Heading1"/>
        <w:numPr>
          <w:ilvl w:val="0"/>
          <w:numId w:val="8"/>
        </w:numPr>
        <w:spacing w:before="360"/>
        <w:ind w:right="-108"/>
        <w:jc w:val="both"/>
        <w:rPr>
          <w:sz w:val="24"/>
        </w:rPr>
      </w:pPr>
      <w:r w:rsidRPr="00323599">
        <w:rPr>
          <w:sz w:val="24"/>
        </w:rPr>
        <w:t>Информация за разходите за хуманитарна помощ, както и за справяне с последствията във връзка с военните действия в Украйна</w:t>
      </w:r>
    </w:p>
    <w:p w:rsidR="000B511A" w:rsidRPr="000B511A" w:rsidRDefault="00676BDC" w:rsidP="000B511A">
      <w:pPr>
        <w:spacing w:before="120"/>
        <w:jc w:val="both"/>
        <w:rPr>
          <w:color w:val="0070C0"/>
        </w:rPr>
      </w:pPr>
      <w:r w:rsidRPr="00323599">
        <w:t xml:space="preserve">Отчетените от ПРБ разходи към 31.12.2025 г. по бюджетите им за финансиране на дейности по оказване на незабавна хуманитарна помощ на живеещите в Украйна български граждани и българи с украинско гражданство, включително при необходимост от евакуация, за предоставяне на хуманитарна помощ за Украйна, както и за извършване на разходи за справяне с последствията от военните действия срещу Украйна за сметка на националния бюджет в размер на 12,96 млн. лв. Отчетените разходи за сметка на средства от Европейския съюз са 0,01 млн. лв. </w:t>
      </w:r>
    </w:p>
    <w:p w:rsidR="00001ABF" w:rsidRPr="00C25B8B" w:rsidRDefault="00001ABF" w:rsidP="007C1025">
      <w:pPr>
        <w:pStyle w:val="Title"/>
        <w:jc w:val="both"/>
        <w:rPr>
          <w:color w:val="0070C0"/>
        </w:rPr>
      </w:pPr>
    </w:p>
    <w:p w:rsidR="0050598A" w:rsidRPr="00676BDC" w:rsidRDefault="007C1025" w:rsidP="0050598A">
      <w:pPr>
        <w:pStyle w:val="Title"/>
        <w:jc w:val="both"/>
      </w:pPr>
      <w:r w:rsidRPr="00676BDC">
        <w:t xml:space="preserve">Министерство на финансите, </w:t>
      </w:r>
      <w:r w:rsidR="00DA595B">
        <w:t>февруари</w:t>
      </w:r>
      <w:r w:rsidR="00931C83" w:rsidRPr="00676BDC">
        <w:t xml:space="preserve"> </w:t>
      </w:r>
      <w:r w:rsidRPr="00676BDC">
        <w:t>202</w:t>
      </w:r>
      <w:r w:rsidR="00DA4054" w:rsidRPr="00676BDC">
        <w:rPr>
          <w:lang w:val="en-US"/>
        </w:rPr>
        <w:t>6</w:t>
      </w:r>
      <w:r w:rsidR="00716094" w:rsidRPr="00676BDC">
        <w:rPr>
          <w:lang w:val="ru-RU"/>
        </w:rPr>
        <w:t xml:space="preserve"> </w:t>
      </w:r>
      <w:r w:rsidRPr="00676BDC">
        <w:t>г.</w:t>
      </w:r>
      <w:r w:rsidR="00014355" w:rsidRPr="00676BDC">
        <w:tab/>
      </w:r>
      <w:r w:rsidR="00014355" w:rsidRPr="00676BDC">
        <w:tab/>
      </w:r>
      <w:r w:rsidR="00014355" w:rsidRPr="00676BDC">
        <w:tab/>
      </w:r>
    </w:p>
    <w:sectPr w:rsidR="0050598A" w:rsidRPr="00676BDC" w:rsidSect="00033525">
      <w:footerReference w:type="even" r:id="rId11"/>
      <w:footerReference w:type="default" r:id="rId12"/>
      <w:endnotePr>
        <w:numFmt w:val="decimal"/>
      </w:endnotePr>
      <w:type w:val="continuous"/>
      <w:pgSz w:w="11906" w:h="16838"/>
      <w:pgMar w:top="709" w:right="849" w:bottom="42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74E" w:rsidRDefault="00F5074E">
      <w:r>
        <w:separator/>
      </w:r>
    </w:p>
  </w:endnote>
  <w:endnote w:type="continuationSeparator" w:id="0">
    <w:p w:rsidR="00F5074E" w:rsidRDefault="00F5074E">
      <w:r>
        <w:continuationSeparator/>
      </w:r>
    </w:p>
  </w:endnote>
  <w:endnote w:type="continuationNotice" w:id="1">
    <w:p w:rsidR="00F5074E" w:rsidRDefault="00F50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74E" w:rsidRDefault="00F5074E"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074E" w:rsidRDefault="00F5074E" w:rsidP="00A7411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74E" w:rsidRDefault="00F5074E"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6CA9">
      <w:rPr>
        <w:rStyle w:val="PageNumber"/>
        <w:noProof/>
      </w:rPr>
      <w:t>21</w:t>
    </w:r>
    <w:r>
      <w:rPr>
        <w:rStyle w:val="PageNumber"/>
      </w:rPr>
      <w:fldChar w:fldCharType="end"/>
    </w:r>
  </w:p>
  <w:p w:rsidR="00F5074E" w:rsidRDefault="00F5074E" w:rsidP="00A7411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74E" w:rsidRDefault="00F5074E">
      <w:r>
        <w:separator/>
      </w:r>
    </w:p>
  </w:footnote>
  <w:footnote w:type="continuationSeparator" w:id="0">
    <w:p w:rsidR="00F5074E" w:rsidRDefault="00F5074E">
      <w:r>
        <w:continuationSeparator/>
      </w:r>
    </w:p>
  </w:footnote>
  <w:footnote w:type="continuationNotice" w:id="1">
    <w:p w:rsidR="00F5074E" w:rsidRDefault="00F5074E"/>
  </w:footnote>
  <w:footnote w:id="2">
    <w:p w:rsidR="00F5074E" w:rsidRPr="009D47D5" w:rsidRDefault="00F5074E">
      <w:pPr>
        <w:pStyle w:val="FootnoteText"/>
        <w:rPr>
          <w:sz w:val="18"/>
          <w:lang w:val="bg-BG"/>
        </w:rPr>
      </w:pPr>
      <w:r w:rsidRPr="009D47D5">
        <w:rPr>
          <w:rStyle w:val="FootnoteReference"/>
          <w:sz w:val="18"/>
          <w:lang w:val="bg-BG"/>
        </w:rPr>
        <w:footnoteRef/>
      </w:r>
      <w:r w:rsidRPr="009D47D5">
        <w:rPr>
          <w:sz w:val="18"/>
          <w:lang w:val="bg-BG"/>
        </w:rPr>
        <w:t xml:space="preserve"> Базисната инфлация включва услугите и неенергийните промишлени стоки.</w:t>
      </w:r>
    </w:p>
  </w:footnote>
  <w:footnote w:id="3">
    <w:p w:rsidR="00F5074E" w:rsidRPr="00AA0CEF" w:rsidRDefault="00F5074E" w:rsidP="00044584">
      <w:pPr>
        <w:pStyle w:val="FootnoteText"/>
        <w:rPr>
          <w:lang w:val="bg-BG"/>
        </w:rPr>
      </w:pPr>
      <w:r>
        <w:rPr>
          <w:rStyle w:val="FootnoteReference"/>
        </w:rPr>
        <w:footnoteRef/>
      </w:r>
      <w:r>
        <w:t xml:space="preserve"> </w:t>
      </w:r>
      <w:r w:rsidRPr="00173EB6">
        <w:rPr>
          <w:rFonts w:eastAsia="Calibri"/>
          <w:sz w:val="18"/>
          <w:szCs w:val="18"/>
          <w:lang w:val="ru-RU"/>
        </w:rPr>
        <w:t xml:space="preserve">През </w:t>
      </w:r>
      <w:r w:rsidRPr="000A6DB7">
        <w:rPr>
          <w:rFonts w:eastAsia="Calibri"/>
          <w:sz w:val="18"/>
          <w:szCs w:val="18"/>
          <w:lang w:val="bg-BG"/>
        </w:rPr>
        <w:t>месец</w:t>
      </w:r>
      <w:r w:rsidRPr="00173EB6">
        <w:rPr>
          <w:rFonts w:eastAsia="Calibri"/>
          <w:sz w:val="18"/>
          <w:szCs w:val="18"/>
          <w:lang w:val="ru-RU"/>
        </w:rPr>
        <w:t xml:space="preserve"> </w:t>
      </w:r>
      <w:r w:rsidRPr="003B3E0B">
        <w:rPr>
          <w:rFonts w:eastAsia="Calibri"/>
          <w:sz w:val="18"/>
          <w:szCs w:val="18"/>
          <w:lang w:val="ru-RU"/>
        </w:rPr>
        <w:t>февруари</w:t>
      </w:r>
      <w:r w:rsidRPr="00173EB6">
        <w:rPr>
          <w:rFonts w:eastAsia="Calibri"/>
          <w:sz w:val="18"/>
          <w:szCs w:val="18"/>
          <w:lang w:val="ru-RU"/>
        </w:rPr>
        <w:t xml:space="preserve"> 2024 г. в изпълнение на чл. 71, ал.1 от Постановление № 13 на Министерския съвет от 2024</w:t>
      </w:r>
      <w:r w:rsidRPr="00173EB6">
        <w:rPr>
          <w:rFonts w:eastAsia="Calibri"/>
          <w:sz w:val="18"/>
          <w:szCs w:val="18"/>
        </w:rPr>
        <w:t> </w:t>
      </w:r>
      <w:r w:rsidRPr="00173EB6">
        <w:rPr>
          <w:rFonts w:eastAsia="Calibri"/>
          <w:sz w:val="18"/>
          <w:szCs w:val="18"/>
          <w:lang w:val="ru-RU"/>
        </w:rPr>
        <w:t xml:space="preserve">г. от сметката за чужди средства по бюджета на Министерството на регионалното развитие и благоустройството бяха възстановени средства в общ размер на 1 200,0 млн. лв., които съгласно бюджетната методология се отчитат като възстановени </w:t>
      </w:r>
      <w:r w:rsidRPr="005D6890">
        <w:rPr>
          <w:rFonts w:eastAsia="Calibri"/>
          <w:sz w:val="18"/>
          <w:szCs w:val="18"/>
          <w:lang w:val="ru-RU"/>
        </w:rPr>
        <w:t xml:space="preserve">(отрицателни) </w:t>
      </w:r>
      <w:r w:rsidRPr="00173EB6">
        <w:rPr>
          <w:rFonts w:eastAsia="Calibri"/>
          <w:sz w:val="18"/>
          <w:szCs w:val="18"/>
          <w:lang w:val="ru-RU"/>
        </w:rPr>
        <w:t>разходи</w:t>
      </w:r>
      <w:r>
        <w:rPr>
          <w:rFonts w:eastAsia="Calibri"/>
          <w:sz w:val="18"/>
          <w:szCs w:val="18"/>
          <w:lang w:val="ru-RU"/>
        </w:rPr>
        <w:t>. С оглед на съпоставимост на данните с 2025 г., ефектът от тази трансакция е елиминиран в 2024 г.</w:t>
      </w:r>
    </w:p>
  </w:footnote>
  <w:footnote w:id="4">
    <w:p w:rsidR="00F5074E" w:rsidRPr="007D18FE" w:rsidRDefault="00F5074E" w:rsidP="008969AB">
      <w:pPr>
        <w:pStyle w:val="FootnoteText"/>
        <w:jc w:val="both"/>
        <w:rPr>
          <w:sz w:val="18"/>
          <w:szCs w:val="18"/>
          <w:lang w:val="bg-BG"/>
        </w:rPr>
      </w:pPr>
      <w:r w:rsidRPr="007D18FE">
        <w:rPr>
          <w:rStyle w:val="FootnoteReference"/>
          <w:sz w:val="18"/>
          <w:szCs w:val="18"/>
        </w:rPr>
        <w:footnoteRef/>
      </w:r>
      <w:r w:rsidRPr="001953AC">
        <w:rPr>
          <w:sz w:val="18"/>
          <w:szCs w:val="18"/>
          <w:lang w:val="ru-RU"/>
        </w:rPr>
        <w:t xml:space="preserve"> </w:t>
      </w:r>
      <w:r w:rsidRPr="007D18FE">
        <w:rPr>
          <w:sz w:val="18"/>
          <w:szCs w:val="18"/>
          <w:lang w:val="bg-BG"/>
        </w:rPr>
        <w:t xml:space="preserve">Обхваща държавния бюджет и бюджетите на общините, </w:t>
      </w:r>
      <w:proofErr w:type="spellStart"/>
      <w:r w:rsidRPr="007D18FE">
        <w:rPr>
          <w:sz w:val="18"/>
          <w:szCs w:val="18"/>
          <w:lang w:val="bg-BG"/>
        </w:rPr>
        <w:t>социалноосигурителните</w:t>
      </w:r>
      <w:proofErr w:type="spellEnd"/>
      <w:r w:rsidRPr="007D18FE">
        <w:rPr>
          <w:sz w:val="18"/>
          <w:szCs w:val="18"/>
          <w:lang w:val="bg-BG"/>
        </w:rPr>
        <w:t xml:space="preserve"> фондове, ДВУ, БАН, БНР, БНТ, БТА, бюджетите по чл.1</w:t>
      </w:r>
      <w:r>
        <w:rPr>
          <w:sz w:val="18"/>
          <w:szCs w:val="18"/>
          <w:lang w:val="bg-BG"/>
        </w:rPr>
        <w:t>3</w:t>
      </w:r>
      <w:r w:rsidRPr="007D18FE">
        <w:rPr>
          <w:sz w:val="18"/>
          <w:szCs w:val="18"/>
          <w:lang w:val="bg-BG"/>
        </w:rPr>
        <w:t>, ал.4 от ЗПФ, както и сметките за средствата от ЕС и сметките за чужди средства на бюджетните организации. Данните за текущата година са на база месечни отчети, а тези за предходната година - на база тримесечни отчети на ПРБ.</w:t>
      </w:r>
    </w:p>
  </w:footnote>
  <w:footnote w:id="5">
    <w:p w:rsidR="00F5074E" w:rsidRPr="007D18FE" w:rsidRDefault="00F5074E" w:rsidP="00C35EB3">
      <w:pPr>
        <w:pStyle w:val="FootnoteText"/>
        <w:jc w:val="both"/>
        <w:rPr>
          <w:sz w:val="18"/>
          <w:szCs w:val="18"/>
          <w:lang w:val="bg-BG"/>
        </w:rPr>
      </w:pPr>
      <w:r w:rsidRPr="007D18FE">
        <w:rPr>
          <w:rStyle w:val="FootnoteReference"/>
          <w:sz w:val="18"/>
          <w:szCs w:val="18"/>
        </w:rPr>
        <w:footnoteRef/>
      </w:r>
      <w:r w:rsidRPr="007D18FE">
        <w:rPr>
          <w:sz w:val="18"/>
          <w:szCs w:val="18"/>
          <w:lang w:val="bg-BG"/>
        </w:rPr>
        <w:t xml:space="preserve"> Поради извършено закръгление в млн. лв., някои сумарни позиции в Таблица №1, Таблица  №2 и в текста не се изчерпват от съставните им числа.</w:t>
      </w:r>
    </w:p>
  </w:footnote>
  <w:footnote w:id="6">
    <w:p w:rsidR="00F5074E" w:rsidRPr="00D13ABE" w:rsidRDefault="00F5074E" w:rsidP="00C35EB3">
      <w:pPr>
        <w:pStyle w:val="FootnoteText"/>
        <w:rPr>
          <w:lang w:val="bg-BG"/>
        </w:rPr>
      </w:pPr>
      <w:r w:rsidRPr="0018152A">
        <w:rPr>
          <w:rStyle w:val="FootnoteReference"/>
        </w:rPr>
        <w:footnoteRef/>
      </w:r>
      <w:r w:rsidRPr="0018152A">
        <w:rPr>
          <w:lang w:val="bg-BG"/>
        </w:rPr>
        <w:t xml:space="preserve"> </w:t>
      </w:r>
      <w:r w:rsidRPr="007A484E">
        <w:rPr>
          <w:sz w:val="18"/>
          <w:szCs w:val="18"/>
          <w:lang w:val="bg-BG"/>
        </w:rPr>
        <w:t>Разчети към ЗДБРБ за 2025 г. (</w:t>
      </w:r>
      <w:proofErr w:type="spellStart"/>
      <w:r w:rsidRPr="007A484E">
        <w:rPr>
          <w:sz w:val="18"/>
          <w:szCs w:val="18"/>
          <w:lang w:val="bg-BG"/>
        </w:rPr>
        <w:t>oбн</w:t>
      </w:r>
      <w:proofErr w:type="spellEnd"/>
      <w:r w:rsidRPr="007A484E">
        <w:rPr>
          <w:sz w:val="18"/>
          <w:szCs w:val="18"/>
          <w:lang w:val="bg-BG"/>
        </w:rPr>
        <w:t>., ДВ., бр. 26 от 27.03.2025 г., в сила от 1.01.2025 г., изм. и доп., бр. 61 от 29.07.2025 г., в сила от 29.07.2025 г., изм., бр. 65 от 8.08.2025 г., изм. и доп., бр. 83 от 9.10.2025 г., в сила от 9.10.2025 г.).</w:t>
      </w:r>
    </w:p>
  </w:footnote>
  <w:footnote w:id="7">
    <w:p w:rsidR="00F5074E" w:rsidRPr="00E74802" w:rsidRDefault="00F5074E" w:rsidP="00C35EB3">
      <w:pPr>
        <w:pStyle w:val="FootnoteText"/>
        <w:jc w:val="both"/>
        <w:rPr>
          <w:sz w:val="18"/>
          <w:szCs w:val="18"/>
          <w:lang w:val="bg-BG"/>
        </w:rPr>
      </w:pPr>
      <w:r w:rsidRPr="00E74802">
        <w:rPr>
          <w:rStyle w:val="FootnoteReference"/>
          <w:sz w:val="18"/>
          <w:szCs w:val="18"/>
          <w:lang w:val="bg-BG"/>
        </w:rPr>
        <w:footnoteRef/>
      </w:r>
      <w:r w:rsidRPr="00E74802">
        <w:rPr>
          <w:sz w:val="18"/>
          <w:szCs w:val="18"/>
          <w:lang w:val="bg-BG"/>
        </w:rPr>
        <w:t xml:space="preserve"> </w:t>
      </w:r>
      <w:r w:rsidRPr="004D0661">
        <w:rPr>
          <w:sz w:val="18"/>
          <w:szCs w:val="18"/>
          <w:lang w:val="bg-BG"/>
        </w:rPr>
        <w:t>Обхватът на показателя фискален резерв е в съответствие с §1, т. 41 от Допълнителните разпоредби на Закона за публичните финанси.</w:t>
      </w:r>
    </w:p>
  </w:footnote>
  <w:footnote w:id="8">
    <w:p w:rsidR="00F5074E" w:rsidRPr="006730B9" w:rsidRDefault="00F5074E" w:rsidP="00C35EB3">
      <w:pPr>
        <w:pStyle w:val="FootnoteText"/>
        <w:rPr>
          <w:lang w:val="bg-BG"/>
        </w:rPr>
      </w:pPr>
      <w:r w:rsidRPr="006730B9">
        <w:rPr>
          <w:rStyle w:val="FootnoteReference"/>
          <w:sz w:val="18"/>
          <w:lang w:val="bg-BG"/>
        </w:rPr>
        <w:footnoteRef/>
      </w:r>
      <w:r w:rsidRPr="006730B9">
        <w:rPr>
          <w:lang w:val="bg-BG"/>
        </w:rPr>
        <w:t xml:space="preserve"> </w:t>
      </w:r>
      <w:r w:rsidRPr="006730B9">
        <w:rPr>
          <w:sz w:val="18"/>
          <w:szCs w:val="16"/>
          <w:lang w:val="bg-BG"/>
        </w:rPr>
        <w:t>Държавният бюджет включва централен бюджет, бюджетите на НС, съдебната власт, министерствата и ведомствата.</w:t>
      </w:r>
    </w:p>
  </w:footnote>
  <w:footnote w:id="9">
    <w:p w:rsidR="00F5074E" w:rsidRPr="006730B9" w:rsidRDefault="00F5074E" w:rsidP="00C35EB3">
      <w:pPr>
        <w:pStyle w:val="FootnoteText"/>
        <w:jc w:val="both"/>
        <w:rPr>
          <w:sz w:val="18"/>
          <w:szCs w:val="18"/>
          <w:lang w:val="bg-BG"/>
        </w:rPr>
      </w:pPr>
      <w:r w:rsidRPr="006730B9">
        <w:rPr>
          <w:rStyle w:val="FootnoteReference"/>
          <w:lang w:val="bg-BG"/>
        </w:rPr>
        <w:footnoteRef/>
      </w:r>
      <w:r w:rsidRPr="006730B9">
        <w:rPr>
          <w:sz w:val="18"/>
          <w:szCs w:val="18"/>
          <w:lang w:val="bg-BG"/>
        </w:rPr>
        <w:t xml:space="preserve"> Поради извършено закръгление в млн. лв., някои сумарни позиции в Таблица № 1 и в текста не се изчерпват от съставните им числа.</w:t>
      </w:r>
    </w:p>
  </w:footnote>
  <w:footnote w:id="10">
    <w:p w:rsidR="00F5074E" w:rsidRPr="006C2AFF" w:rsidRDefault="00F5074E" w:rsidP="00C35EB3">
      <w:pPr>
        <w:pStyle w:val="FootnoteText"/>
        <w:jc w:val="both"/>
        <w:rPr>
          <w:sz w:val="18"/>
          <w:szCs w:val="18"/>
        </w:rPr>
      </w:pPr>
      <w:r w:rsidRPr="006730B9">
        <w:rPr>
          <w:rStyle w:val="FootnoteReference"/>
          <w:sz w:val="18"/>
          <w:szCs w:val="18"/>
          <w:lang w:val="bg-BG"/>
        </w:rPr>
        <w:footnoteRef/>
      </w:r>
      <w:r w:rsidRPr="006730B9">
        <w:rPr>
          <w:sz w:val="18"/>
          <w:szCs w:val="18"/>
          <w:lang w:val="bg-BG"/>
        </w:rPr>
        <w:t xml:space="preserve"> В позицията "Резерв за непредвидени и неотложни разходи" се посочват само данните по разчет. Разходите по отчет се отразяват по съответните разходни позиции, към които се отнасят извършените разходи.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0E0"/>
    <w:multiLevelType w:val="hybridMultilevel"/>
    <w:tmpl w:val="94142DF6"/>
    <w:lvl w:ilvl="0" w:tplc="CA968970">
      <w:start w:val="43"/>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 w15:restartNumberingAfterBreak="0">
    <w:nsid w:val="03127CD0"/>
    <w:multiLevelType w:val="hybridMultilevel"/>
    <w:tmpl w:val="5AC6FB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194083D"/>
    <w:multiLevelType w:val="hybridMultilevel"/>
    <w:tmpl w:val="08701446"/>
    <w:lvl w:ilvl="0" w:tplc="425291B8">
      <w:numFmt w:val="bullet"/>
      <w:lvlText w:val="-"/>
      <w:lvlJc w:val="left"/>
      <w:pPr>
        <w:tabs>
          <w:tab w:val="num" w:pos="1500"/>
        </w:tabs>
        <w:ind w:left="1500" w:hanging="360"/>
      </w:pPr>
      <w:rPr>
        <w:rFonts w:ascii="Times New Roman" w:eastAsia="Times New Roman" w:hAnsi="Times New Roman" w:cs="Times New Roman"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F34A1"/>
    <w:multiLevelType w:val="hybridMultilevel"/>
    <w:tmpl w:val="769814B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4105CA9"/>
    <w:multiLevelType w:val="hybridMultilevel"/>
    <w:tmpl w:val="2D5A56EE"/>
    <w:lvl w:ilvl="0" w:tplc="88C42E5E">
      <w:start w:val="1"/>
      <w:numFmt w:val="decimal"/>
      <w:pStyle w:val="ParagraphNumbering"/>
      <w:lvlText w:val="%1.     "/>
      <w:lvlJc w:val="left"/>
      <w:pPr>
        <w:tabs>
          <w:tab w:val="num" w:pos="1260"/>
        </w:tabs>
        <w:ind w:left="540" w:firstLine="0"/>
      </w:pPr>
      <w:rPr>
        <w:rFonts w:hint="default"/>
        <w:b/>
      </w:rPr>
    </w:lvl>
    <w:lvl w:ilvl="1" w:tplc="F6E687FE">
      <w:start w:val="1"/>
      <w:numFmt w:val="upperRoman"/>
      <w:lvlText w:val="%2."/>
      <w:lvlJc w:val="right"/>
      <w:pPr>
        <w:tabs>
          <w:tab w:val="num" w:pos="1260"/>
        </w:tabs>
        <w:ind w:left="1260" w:hanging="18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1A683C"/>
    <w:multiLevelType w:val="hybridMultilevel"/>
    <w:tmpl w:val="20DC1140"/>
    <w:lvl w:ilvl="0" w:tplc="B8089F6A">
      <w:start w:val="1"/>
      <w:numFmt w:val="bullet"/>
      <w:lvlText w:val=""/>
      <w:lvlJc w:val="left"/>
      <w:pPr>
        <w:tabs>
          <w:tab w:val="num" w:pos="417"/>
        </w:tabs>
        <w:ind w:left="417" w:hanging="357"/>
      </w:pPr>
      <w:rPr>
        <w:rFonts w:ascii="Wingdings" w:hAnsi="Wingdings" w:hint="default"/>
        <w:color w:val="auto"/>
        <w:sz w:val="28"/>
        <w:u w:color="FFFFFF"/>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372835"/>
    <w:multiLevelType w:val="multilevel"/>
    <w:tmpl w:val="7B586E5A"/>
    <w:lvl w:ilvl="0">
      <w:start w:val="1"/>
      <w:numFmt w:val="bullet"/>
      <w:lvlText w:val=""/>
      <w:lvlJc w:val="left"/>
      <w:pPr>
        <w:tabs>
          <w:tab w:val="num" w:pos="532"/>
        </w:tabs>
        <w:ind w:left="532" w:hanging="390"/>
      </w:pPr>
      <w:rPr>
        <w:rFonts w:ascii="Wingdings" w:hAnsi="Wingding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7" w15:restartNumberingAfterBreak="0">
    <w:nsid w:val="20EE040C"/>
    <w:multiLevelType w:val="hybridMultilevel"/>
    <w:tmpl w:val="DF5C7CEA"/>
    <w:lvl w:ilvl="0" w:tplc="04020005">
      <w:start w:val="1"/>
      <w:numFmt w:val="bullet"/>
      <w:lvlText w:val=""/>
      <w:lvlJc w:val="left"/>
      <w:pPr>
        <w:tabs>
          <w:tab w:val="num" w:pos="360"/>
        </w:tabs>
        <w:ind w:left="360" w:hanging="360"/>
      </w:pPr>
      <w:rPr>
        <w:rFonts w:ascii="Wingdings" w:hAnsi="Wingdings" w:hint="default"/>
        <w:color w:val="auto"/>
        <w:sz w:val="28"/>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F11F5"/>
    <w:multiLevelType w:val="hybridMultilevel"/>
    <w:tmpl w:val="1EE24D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88D6CFF"/>
    <w:multiLevelType w:val="hybridMultilevel"/>
    <w:tmpl w:val="8E9EC7B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6531B"/>
    <w:multiLevelType w:val="hybridMultilevel"/>
    <w:tmpl w:val="8B6EA6A0"/>
    <w:lvl w:ilvl="0" w:tplc="EF702B0E">
      <w:start w:val="1"/>
      <w:numFmt w:val="bullet"/>
      <w:lvlText w:val=""/>
      <w:lvlJc w:val="left"/>
      <w:pPr>
        <w:ind w:left="1571" w:hanging="360"/>
      </w:pPr>
      <w:rPr>
        <w:rFonts w:ascii="Wingdings" w:hAnsi="Wingdings"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F8B1941"/>
    <w:multiLevelType w:val="hybridMultilevel"/>
    <w:tmpl w:val="269A2F3C"/>
    <w:lvl w:ilvl="0" w:tplc="1AC8DDA4">
      <w:start w:val="1"/>
      <w:numFmt w:val="bullet"/>
      <w:lvlText w:val=""/>
      <w:lvlJc w:val="left"/>
      <w:pPr>
        <w:tabs>
          <w:tab w:val="num" w:pos="1440"/>
        </w:tabs>
        <w:ind w:left="740" w:firstLine="340"/>
      </w:pPr>
      <w:rPr>
        <w:rFonts w:ascii="Wingdings" w:hAnsi="Wingdings" w:hint="default"/>
        <w:sz w:val="24"/>
        <w:szCs w:val="24"/>
      </w:rPr>
    </w:lvl>
    <w:lvl w:ilvl="1" w:tplc="B8089F6A">
      <w:start w:val="1"/>
      <w:numFmt w:val="bullet"/>
      <w:lvlText w:val=""/>
      <w:lvlJc w:val="left"/>
      <w:pPr>
        <w:tabs>
          <w:tab w:val="num" w:pos="1437"/>
        </w:tabs>
        <w:ind w:left="1437" w:hanging="357"/>
      </w:pPr>
      <w:rPr>
        <w:rFonts w:ascii="Wingdings" w:hAnsi="Wingdings" w:hint="default"/>
        <w:color w:val="auto"/>
        <w:sz w:val="28"/>
        <w:szCs w:val="24"/>
        <w:u w:color="FFFFFF"/>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240B4"/>
    <w:multiLevelType w:val="hybridMultilevel"/>
    <w:tmpl w:val="08CCBC84"/>
    <w:lvl w:ilvl="0" w:tplc="0682000E">
      <w:start w:val="1"/>
      <w:numFmt w:val="bullet"/>
      <w:lvlText w:val="-"/>
      <w:lvlJc w:val="left"/>
      <w:pPr>
        <w:ind w:left="720" w:hanging="360"/>
      </w:pPr>
      <w:rPr>
        <w:rFonts w:ascii="Times New Roman" w:eastAsia="Times New Roman" w:hAnsi="Times New Roman" w:cs="Times New Roman" w:hint="default"/>
        <w:b/>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DCB4556"/>
    <w:multiLevelType w:val="hybridMultilevel"/>
    <w:tmpl w:val="4CFCC9E0"/>
    <w:lvl w:ilvl="0" w:tplc="04020003">
      <w:start w:val="1"/>
      <w:numFmt w:val="bullet"/>
      <w:lvlText w:val="o"/>
      <w:lvlJc w:val="left"/>
      <w:pPr>
        <w:tabs>
          <w:tab w:val="num" w:pos="1346"/>
        </w:tabs>
        <w:ind w:left="984" w:firstLine="96"/>
      </w:pPr>
      <w:rPr>
        <w:rFonts w:ascii="Courier New" w:hAnsi="Courier New" w:cs="Courier New"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14" w15:restartNumberingAfterBreak="0">
    <w:nsid w:val="42E21440"/>
    <w:multiLevelType w:val="hybridMultilevel"/>
    <w:tmpl w:val="07F2493E"/>
    <w:lvl w:ilvl="0" w:tplc="A314B01C">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48843DC3"/>
    <w:multiLevelType w:val="hybridMultilevel"/>
    <w:tmpl w:val="59487C1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89254F4"/>
    <w:multiLevelType w:val="hybridMultilevel"/>
    <w:tmpl w:val="A78E9870"/>
    <w:lvl w:ilvl="0" w:tplc="0409000B">
      <w:start w:val="1"/>
      <w:numFmt w:val="bullet"/>
      <w:lvlText w:val=""/>
      <w:lvlJc w:val="left"/>
      <w:pPr>
        <w:tabs>
          <w:tab w:val="num" w:pos="360"/>
        </w:tabs>
        <w:ind w:left="360" w:hanging="360"/>
      </w:pPr>
      <w:rPr>
        <w:rFonts w:ascii="Wingdings" w:hAnsi="Wingdings" w:hint="default"/>
      </w:rPr>
    </w:lvl>
    <w:lvl w:ilvl="1" w:tplc="8DDE1D3E">
      <w:start w:val="1"/>
      <w:numFmt w:val="bullet"/>
      <w:lvlText w:val=""/>
      <w:lvlJc w:val="left"/>
      <w:pPr>
        <w:tabs>
          <w:tab w:val="num" w:pos="1383"/>
        </w:tabs>
        <w:ind w:left="683" w:firstLine="340"/>
      </w:pPr>
      <w:rPr>
        <w:rFonts w:ascii="Wingdings" w:hAnsi="Wingdings"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7" w15:restartNumberingAfterBreak="0">
    <w:nsid w:val="4A5F564A"/>
    <w:multiLevelType w:val="hybridMultilevel"/>
    <w:tmpl w:val="19C03E34"/>
    <w:lvl w:ilvl="0" w:tplc="B8089F6A">
      <w:start w:val="1"/>
      <w:numFmt w:val="bullet"/>
      <w:lvlText w:val=""/>
      <w:lvlJc w:val="left"/>
      <w:pPr>
        <w:tabs>
          <w:tab w:val="num" w:pos="6878"/>
        </w:tabs>
        <w:ind w:left="6878" w:hanging="357"/>
      </w:pPr>
      <w:rPr>
        <w:rFonts w:ascii="Wingdings" w:hAnsi="Wingdings" w:hint="default"/>
        <w:color w:val="auto"/>
        <w:sz w:val="28"/>
        <w:u w:color="FFFF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1C3D5E"/>
    <w:multiLevelType w:val="hybridMultilevel"/>
    <w:tmpl w:val="05085AC2"/>
    <w:lvl w:ilvl="0" w:tplc="EDA44120">
      <w:start w:val="1"/>
      <w:numFmt w:val="bullet"/>
      <w:lvlText w:val="-"/>
      <w:lvlJc w:val="left"/>
      <w:pPr>
        <w:tabs>
          <w:tab w:val="num" w:pos="700"/>
        </w:tabs>
        <w:ind w:left="700" w:hanging="360"/>
      </w:pPr>
      <w:rPr>
        <w:rFonts w:ascii="Mangal" w:hAnsi="Manga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EB1EBB"/>
    <w:multiLevelType w:val="hybridMultilevel"/>
    <w:tmpl w:val="00982DA8"/>
    <w:lvl w:ilvl="0" w:tplc="F5B6D06A">
      <w:start w:val="1"/>
      <w:numFmt w:val="bullet"/>
      <w:lvlText w:val=""/>
      <w:lvlJc w:val="left"/>
      <w:pPr>
        <w:tabs>
          <w:tab w:val="num" w:pos="540"/>
        </w:tabs>
        <w:ind w:left="540" w:hanging="360"/>
      </w:pPr>
      <w:rPr>
        <w:rFonts w:ascii="Wingdings" w:hAnsi="Wingdings" w:hint="default"/>
        <w:color w:val="auto"/>
        <w:sz w:val="24"/>
      </w:rPr>
    </w:lvl>
    <w:lvl w:ilvl="1" w:tplc="60389F1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9D2FCE"/>
    <w:multiLevelType w:val="hybridMultilevel"/>
    <w:tmpl w:val="6DD4EA66"/>
    <w:lvl w:ilvl="0" w:tplc="0682000E">
      <w:start w:val="1"/>
      <w:numFmt w:val="bullet"/>
      <w:lvlText w:val="-"/>
      <w:lvlJc w:val="left"/>
      <w:pPr>
        <w:ind w:left="720" w:hanging="360"/>
      </w:pPr>
      <w:rPr>
        <w:rFonts w:ascii="Times New Roman" w:eastAsia="Times New Roman" w:hAnsi="Times New Roman" w:cs="Times New Roman" w:hint="default"/>
        <w:b/>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ED05421"/>
    <w:multiLevelType w:val="hybridMultilevel"/>
    <w:tmpl w:val="82BC036E"/>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53A41434"/>
    <w:multiLevelType w:val="hybridMultilevel"/>
    <w:tmpl w:val="D4069CA2"/>
    <w:lvl w:ilvl="0" w:tplc="AB6E2D68">
      <w:start w:val="1"/>
      <w:numFmt w:val="bullet"/>
      <w:lvlText w:val=""/>
      <w:lvlJc w:val="left"/>
      <w:pPr>
        <w:tabs>
          <w:tab w:val="num" w:pos="7650"/>
        </w:tabs>
        <w:ind w:left="7650" w:hanging="360"/>
      </w:pPr>
      <w:rPr>
        <w:rFonts w:ascii="Wingdings" w:hAnsi="Wingdings" w:hint="default"/>
        <w:color w:val="auto"/>
        <w:sz w:val="24"/>
        <w:szCs w:val="24"/>
      </w:rPr>
    </w:lvl>
    <w:lvl w:ilvl="1" w:tplc="7DDCFFB6">
      <w:start w:val="1"/>
      <w:numFmt w:val="bullet"/>
      <w:lvlText w:val=""/>
      <w:lvlJc w:val="left"/>
      <w:pPr>
        <w:tabs>
          <w:tab w:val="num" w:pos="1440"/>
        </w:tabs>
        <w:ind w:left="1440"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92F24"/>
    <w:multiLevelType w:val="hybridMultilevel"/>
    <w:tmpl w:val="C3E23384"/>
    <w:lvl w:ilvl="0" w:tplc="0402000D">
      <w:start w:val="1"/>
      <w:numFmt w:val="bullet"/>
      <w:lvlText w:val=""/>
      <w:lvlJc w:val="left"/>
      <w:pPr>
        <w:ind w:left="2250" w:hanging="360"/>
      </w:pPr>
      <w:rPr>
        <w:rFonts w:ascii="Wingdings" w:hAnsi="Wingdings"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24" w15:restartNumberingAfterBreak="0">
    <w:nsid w:val="582840DF"/>
    <w:multiLevelType w:val="hybridMultilevel"/>
    <w:tmpl w:val="E5E2C32C"/>
    <w:lvl w:ilvl="0" w:tplc="B6B24238">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582E15B7"/>
    <w:multiLevelType w:val="hybridMultilevel"/>
    <w:tmpl w:val="B862F89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6" w15:restartNumberingAfterBreak="0">
    <w:nsid w:val="5B68790D"/>
    <w:multiLevelType w:val="hybridMultilevel"/>
    <w:tmpl w:val="93D84A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26330E2"/>
    <w:multiLevelType w:val="hybridMultilevel"/>
    <w:tmpl w:val="E5B0526C"/>
    <w:lvl w:ilvl="0" w:tplc="D2D485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37F5E06"/>
    <w:multiLevelType w:val="hybridMultilevel"/>
    <w:tmpl w:val="18803A0C"/>
    <w:lvl w:ilvl="0" w:tplc="F934C166">
      <w:numFmt w:val="bullet"/>
      <w:lvlText w:val="-"/>
      <w:lvlJc w:val="left"/>
      <w:pPr>
        <w:ind w:left="898" w:hanging="360"/>
      </w:pPr>
      <w:rPr>
        <w:rFonts w:ascii="Times New Roman" w:eastAsia="Times New Roman" w:hAnsi="Times New Roman" w:cs="Times New Roman" w:hint="default"/>
      </w:rPr>
    </w:lvl>
    <w:lvl w:ilvl="1" w:tplc="04020003" w:tentative="1">
      <w:start w:val="1"/>
      <w:numFmt w:val="bullet"/>
      <w:lvlText w:val="o"/>
      <w:lvlJc w:val="left"/>
      <w:pPr>
        <w:ind w:left="1618" w:hanging="360"/>
      </w:pPr>
      <w:rPr>
        <w:rFonts w:ascii="Courier New" w:hAnsi="Courier New" w:cs="Courier New" w:hint="default"/>
      </w:rPr>
    </w:lvl>
    <w:lvl w:ilvl="2" w:tplc="04020005" w:tentative="1">
      <w:start w:val="1"/>
      <w:numFmt w:val="bullet"/>
      <w:lvlText w:val=""/>
      <w:lvlJc w:val="left"/>
      <w:pPr>
        <w:ind w:left="2338" w:hanging="360"/>
      </w:pPr>
      <w:rPr>
        <w:rFonts w:ascii="Wingdings" w:hAnsi="Wingdings" w:hint="default"/>
      </w:rPr>
    </w:lvl>
    <w:lvl w:ilvl="3" w:tplc="04020001" w:tentative="1">
      <w:start w:val="1"/>
      <w:numFmt w:val="bullet"/>
      <w:lvlText w:val=""/>
      <w:lvlJc w:val="left"/>
      <w:pPr>
        <w:ind w:left="3058" w:hanging="360"/>
      </w:pPr>
      <w:rPr>
        <w:rFonts w:ascii="Symbol" w:hAnsi="Symbol" w:hint="default"/>
      </w:rPr>
    </w:lvl>
    <w:lvl w:ilvl="4" w:tplc="04020003" w:tentative="1">
      <w:start w:val="1"/>
      <w:numFmt w:val="bullet"/>
      <w:lvlText w:val="o"/>
      <w:lvlJc w:val="left"/>
      <w:pPr>
        <w:ind w:left="3778" w:hanging="360"/>
      </w:pPr>
      <w:rPr>
        <w:rFonts w:ascii="Courier New" w:hAnsi="Courier New" w:cs="Courier New" w:hint="default"/>
      </w:rPr>
    </w:lvl>
    <w:lvl w:ilvl="5" w:tplc="04020005" w:tentative="1">
      <w:start w:val="1"/>
      <w:numFmt w:val="bullet"/>
      <w:lvlText w:val=""/>
      <w:lvlJc w:val="left"/>
      <w:pPr>
        <w:ind w:left="4498" w:hanging="360"/>
      </w:pPr>
      <w:rPr>
        <w:rFonts w:ascii="Wingdings" w:hAnsi="Wingdings" w:hint="default"/>
      </w:rPr>
    </w:lvl>
    <w:lvl w:ilvl="6" w:tplc="04020001" w:tentative="1">
      <w:start w:val="1"/>
      <w:numFmt w:val="bullet"/>
      <w:lvlText w:val=""/>
      <w:lvlJc w:val="left"/>
      <w:pPr>
        <w:ind w:left="5218" w:hanging="360"/>
      </w:pPr>
      <w:rPr>
        <w:rFonts w:ascii="Symbol" w:hAnsi="Symbol" w:hint="default"/>
      </w:rPr>
    </w:lvl>
    <w:lvl w:ilvl="7" w:tplc="04020003" w:tentative="1">
      <w:start w:val="1"/>
      <w:numFmt w:val="bullet"/>
      <w:lvlText w:val="o"/>
      <w:lvlJc w:val="left"/>
      <w:pPr>
        <w:ind w:left="5938" w:hanging="360"/>
      </w:pPr>
      <w:rPr>
        <w:rFonts w:ascii="Courier New" w:hAnsi="Courier New" w:cs="Courier New" w:hint="default"/>
      </w:rPr>
    </w:lvl>
    <w:lvl w:ilvl="8" w:tplc="04020005" w:tentative="1">
      <w:start w:val="1"/>
      <w:numFmt w:val="bullet"/>
      <w:lvlText w:val=""/>
      <w:lvlJc w:val="left"/>
      <w:pPr>
        <w:ind w:left="6658" w:hanging="360"/>
      </w:pPr>
      <w:rPr>
        <w:rFonts w:ascii="Wingdings" w:hAnsi="Wingdings" w:hint="default"/>
      </w:rPr>
    </w:lvl>
  </w:abstractNum>
  <w:abstractNum w:abstractNumId="29" w15:restartNumberingAfterBreak="0">
    <w:nsid w:val="64170BFC"/>
    <w:multiLevelType w:val="hybridMultilevel"/>
    <w:tmpl w:val="C726B8C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43A5E75"/>
    <w:multiLevelType w:val="hybridMultilevel"/>
    <w:tmpl w:val="EDD48416"/>
    <w:lvl w:ilvl="0" w:tplc="D1B81C84">
      <w:start w:val="1"/>
      <w:numFmt w:val="bullet"/>
      <w:lvlText w:val=""/>
      <w:lvlJc w:val="left"/>
      <w:pPr>
        <w:tabs>
          <w:tab w:val="num" w:pos="1101"/>
        </w:tabs>
        <w:ind w:left="1101" w:hanging="360"/>
      </w:pPr>
      <w:rPr>
        <w:rFonts w:ascii="Symbol" w:hAnsi="Symbol" w:hint="default"/>
        <w:color w:val="auto"/>
      </w:rPr>
    </w:lvl>
    <w:lvl w:ilvl="1" w:tplc="04020003">
      <w:start w:val="1"/>
      <w:numFmt w:val="bullet"/>
      <w:lvlText w:val="o"/>
      <w:lvlJc w:val="left"/>
      <w:pPr>
        <w:tabs>
          <w:tab w:val="num" w:pos="1821"/>
        </w:tabs>
        <w:ind w:left="1821" w:hanging="360"/>
      </w:pPr>
      <w:rPr>
        <w:rFonts w:ascii="Courier New" w:hAnsi="Courier New" w:cs="Courier New" w:hint="default"/>
      </w:rPr>
    </w:lvl>
    <w:lvl w:ilvl="2" w:tplc="04020005" w:tentative="1">
      <w:start w:val="1"/>
      <w:numFmt w:val="bullet"/>
      <w:lvlText w:val=""/>
      <w:lvlJc w:val="left"/>
      <w:pPr>
        <w:tabs>
          <w:tab w:val="num" w:pos="2541"/>
        </w:tabs>
        <w:ind w:left="2541" w:hanging="360"/>
      </w:pPr>
      <w:rPr>
        <w:rFonts w:ascii="Wingdings" w:hAnsi="Wingdings" w:hint="default"/>
      </w:rPr>
    </w:lvl>
    <w:lvl w:ilvl="3" w:tplc="04020001" w:tentative="1">
      <w:start w:val="1"/>
      <w:numFmt w:val="bullet"/>
      <w:lvlText w:val=""/>
      <w:lvlJc w:val="left"/>
      <w:pPr>
        <w:tabs>
          <w:tab w:val="num" w:pos="3261"/>
        </w:tabs>
        <w:ind w:left="3261" w:hanging="360"/>
      </w:pPr>
      <w:rPr>
        <w:rFonts w:ascii="Symbol" w:hAnsi="Symbol" w:hint="default"/>
      </w:rPr>
    </w:lvl>
    <w:lvl w:ilvl="4" w:tplc="04020003" w:tentative="1">
      <w:start w:val="1"/>
      <w:numFmt w:val="bullet"/>
      <w:lvlText w:val="o"/>
      <w:lvlJc w:val="left"/>
      <w:pPr>
        <w:tabs>
          <w:tab w:val="num" w:pos="3981"/>
        </w:tabs>
        <w:ind w:left="3981" w:hanging="360"/>
      </w:pPr>
      <w:rPr>
        <w:rFonts w:ascii="Courier New" w:hAnsi="Courier New" w:cs="Courier New" w:hint="default"/>
      </w:rPr>
    </w:lvl>
    <w:lvl w:ilvl="5" w:tplc="04020005" w:tentative="1">
      <w:start w:val="1"/>
      <w:numFmt w:val="bullet"/>
      <w:lvlText w:val=""/>
      <w:lvlJc w:val="left"/>
      <w:pPr>
        <w:tabs>
          <w:tab w:val="num" w:pos="4701"/>
        </w:tabs>
        <w:ind w:left="4701" w:hanging="360"/>
      </w:pPr>
      <w:rPr>
        <w:rFonts w:ascii="Wingdings" w:hAnsi="Wingdings" w:hint="default"/>
      </w:rPr>
    </w:lvl>
    <w:lvl w:ilvl="6" w:tplc="04020001" w:tentative="1">
      <w:start w:val="1"/>
      <w:numFmt w:val="bullet"/>
      <w:lvlText w:val=""/>
      <w:lvlJc w:val="left"/>
      <w:pPr>
        <w:tabs>
          <w:tab w:val="num" w:pos="5421"/>
        </w:tabs>
        <w:ind w:left="5421" w:hanging="360"/>
      </w:pPr>
      <w:rPr>
        <w:rFonts w:ascii="Symbol" w:hAnsi="Symbol" w:hint="default"/>
      </w:rPr>
    </w:lvl>
    <w:lvl w:ilvl="7" w:tplc="04020003" w:tentative="1">
      <w:start w:val="1"/>
      <w:numFmt w:val="bullet"/>
      <w:lvlText w:val="o"/>
      <w:lvlJc w:val="left"/>
      <w:pPr>
        <w:tabs>
          <w:tab w:val="num" w:pos="6141"/>
        </w:tabs>
        <w:ind w:left="6141" w:hanging="360"/>
      </w:pPr>
      <w:rPr>
        <w:rFonts w:ascii="Courier New" w:hAnsi="Courier New" w:cs="Courier New" w:hint="default"/>
      </w:rPr>
    </w:lvl>
    <w:lvl w:ilvl="8" w:tplc="04020005" w:tentative="1">
      <w:start w:val="1"/>
      <w:numFmt w:val="bullet"/>
      <w:lvlText w:val=""/>
      <w:lvlJc w:val="left"/>
      <w:pPr>
        <w:tabs>
          <w:tab w:val="num" w:pos="6861"/>
        </w:tabs>
        <w:ind w:left="6861" w:hanging="360"/>
      </w:pPr>
      <w:rPr>
        <w:rFonts w:ascii="Wingdings" w:hAnsi="Wingdings" w:hint="default"/>
      </w:rPr>
    </w:lvl>
  </w:abstractNum>
  <w:abstractNum w:abstractNumId="31" w15:restartNumberingAfterBreak="0">
    <w:nsid w:val="65037E1C"/>
    <w:multiLevelType w:val="hybridMultilevel"/>
    <w:tmpl w:val="417A6ED8"/>
    <w:lvl w:ilvl="0" w:tplc="0402000D">
      <w:start w:val="1"/>
      <w:numFmt w:val="bullet"/>
      <w:lvlText w:val=""/>
      <w:lvlJc w:val="left"/>
      <w:pPr>
        <w:ind w:left="1494" w:hanging="360"/>
      </w:pPr>
      <w:rPr>
        <w:rFonts w:ascii="Wingdings" w:hAnsi="Wingdings"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2" w15:restartNumberingAfterBreak="0">
    <w:nsid w:val="65CD370F"/>
    <w:multiLevelType w:val="hybridMultilevel"/>
    <w:tmpl w:val="F0D23F02"/>
    <w:lvl w:ilvl="0" w:tplc="708AF0F2">
      <w:start w:val="1"/>
      <w:numFmt w:val="bullet"/>
      <w:lvlText w:val=""/>
      <w:lvlJc w:val="left"/>
      <w:pPr>
        <w:tabs>
          <w:tab w:val="num" w:pos="700"/>
        </w:tabs>
        <w:ind w:left="700" w:hanging="360"/>
      </w:pPr>
      <w:rPr>
        <w:rFonts w:ascii="Symbol" w:hAnsi="Symbo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9E6BBC"/>
    <w:multiLevelType w:val="hybridMultilevel"/>
    <w:tmpl w:val="A3186A2C"/>
    <w:lvl w:ilvl="0" w:tplc="3B28C328">
      <w:start w:val="1"/>
      <w:numFmt w:val="bullet"/>
      <w:lvlText w:val="♦"/>
      <w:lvlJc w:val="left"/>
      <w:pPr>
        <w:tabs>
          <w:tab w:val="num" w:pos="2880"/>
        </w:tabs>
        <w:ind w:left="2880" w:hanging="360"/>
      </w:pPr>
      <w:rPr>
        <w:rFonts w:ascii="Courier New" w:hAnsi="Courier New" w:hint="default"/>
        <w:sz w:val="24"/>
        <w:szCs w:val="24"/>
      </w:rPr>
    </w:lvl>
    <w:lvl w:ilvl="1" w:tplc="8D0EC7F8">
      <w:start w:val="1"/>
      <w:numFmt w:val="bullet"/>
      <w:lvlText w:val=""/>
      <w:lvlJc w:val="left"/>
      <w:pPr>
        <w:tabs>
          <w:tab w:val="num" w:pos="2160"/>
        </w:tabs>
        <w:ind w:left="2160" w:hanging="360"/>
      </w:pPr>
      <w:rPr>
        <w:rFonts w:ascii="Wingdings" w:hAnsi="Wingdings" w:hint="default"/>
        <w:color w:val="auto"/>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82E6D57"/>
    <w:multiLevelType w:val="hybridMultilevel"/>
    <w:tmpl w:val="F2B004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8B65AC9"/>
    <w:multiLevelType w:val="hybridMultilevel"/>
    <w:tmpl w:val="313EA526"/>
    <w:lvl w:ilvl="0" w:tplc="257A31AA">
      <w:start w:val="1"/>
      <w:numFmt w:val="bullet"/>
      <w:lvlText w:val=""/>
      <w:lvlJc w:val="left"/>
      <w:pPr>
        <w:tabs>
          <w:tab w:val="num" w:pos="540"/>
        </w:tabs>
        <w:ind w:left="30" w:firstLine="1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04032"/>
    <w:multiLevelType w:val="hybridMultilevel"/>
    <w:tmpl w:val="5A7CE09A"/>
    <w:lvl w:ilvl="0" w:tplc="3B28C328">
      <w:start w:val="1"/>
      <w:numFmt w:val="bullet"/>
      <w:lvlText w:val="♦"/>
      <w:lvlJc w:val="left"/>
      <w:pPr>
        <w:tabs>
          <w:tab w:val="num" w:pos="2880"/>
        </w:tabs>
        <w:ind w:left="2880" w:hanging="360"/>
      </w:pPr>
      <w:rPr>
        <w:rFonts w:ascii="Courier New" w:hAnsi="Courier New" w:hint="default"/>
        <w:sz w:val="24"/>
        <w:szCs w:val="24"/>
      </w:rPr>
    </w:lvl>
    <w:lvl w:ilvl="1" w:tplc="7DDCFFB6">
      <w:start w:val="1"/>
      <w:numFmt w:val="bullet"/>
      <w:lvlText w:val=""/>
      <w:lvlJc w:val="left"/>
      <w:pPr>
        <w:tabs>
          <w:tab w:val="num" w:pos="2160"/>
        </w:tabs>
        <w:ind w:left="2160" w:hanging="360"/>
      </w:pPr>
      <w:rPr>
        <w:rFonts w:ascii="Wingdings" w:hAnsi="Wingdings" w:hint="default"/>
        <w:sz w:val="24"/>
        <w:szCs w:val="24"/>
      </w:rPr>
    </w:lvl>
    <w:lvl w:ilvl="2" w:tplc="F3BE7F08">
      <w:start w:val="1"/>
      <w:numFmt w:val="bullet"/>
      <w:lvlText w:val=""/>
      <w:lvlJc w:val="left"/>
      <w:pPr>
        <w:tabs>
          <w:tab w:val="num" w:pos="2880"/>
        </w:tabs>
        <w:ind w:left="2880" w:hanging="360"/>
      </w:pPr>
      <w:rPr>
        <w:rFonts w:ascii="Wingdings" w:hAnsi="Wingdings" w:hint="default"/>
        <w:color w:val="000000"/>
        <w:sz w:val="24"/>
        <w:szCs w:val="24"/>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D2B5869"/>
    <w:multiLevelType w:val="multilevel"/>
    <w:tmpl w:val="4418BF74"/>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520" w:hanging="1800"/>
      </w:pPr>
      <w:rPr>
        <w:rFonts w:hint="default"/>
        <w:b/>
        <w:i/>
      </w:rPr>
    </w:lvl>
  </w:abstractNum>
  <w:abstractNum w:abstractNumId="38" w15:restartNumberingAfterBreak="0">
    <w:nsid w:val="6E544B1C"/>
    <w:multiLevelType w:val="hybridMultilevel"/>
    <w:tmpl w:val="F19A58DE"/>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9" w15:restartNumberingAfterBreak="0">
    <w:nsid w:val="6F78209C"/>
    <w:multiLevelType w:val="hybridMultilevel"/>
    <w:tmpl w:val="5624217C"/>
    <w:lvl w:ilvl="0" w:tplc="CA968970">
      <w:start w:val="43"/>
      <w:numFmt w:val="bullet"/>
      <w:lvlText w:val="-"/>
      <w:lvlJc w:val="left"/>
      <w:pPr>
        <w:ind w:left="1429" w:hanging="360"/>
      </w:pPr>
      <w:rPr>
        <w:rFonts w:ascii="Times New Roman" w:eastAsia="Times New Roman" w:hAnsi="Times New Roman" w:cs="Times New Roman"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40" w15:restartNumberingAfterBreak="0">
    <w:nsid w:val="71812127"/>
    <w:multiLevelType w:val="multilevel"/>
    <w:tmpl w:val="FDE86A66"/>
    <w:lvl w:ilvl="0">
      <w:start w:val="1"/>
      <w:numFmt w:val="decimal"/>
      <w:lvlText w:val="%1."/>
      <w:lvlJc w:val="left"/>
      <w:pPr>
        <w:tabs>
          <w:tab w:val="num" w:pos="532"/>
        </w:tabs>
        <w:ind w:left="532" w:hanging="39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1" w15:restartNumberingAfterBreak="0">
    <w:nsid w:val="74896D38"/>
    <w:multiLevelType w:val="hybridMultilevel"/>
    <w:tmpl w:val="ADA8828A"/>
    <w:lvl w:ilvl="0" w:tplc="0402000D">
      <w:start w:val="1"/>
      <w:numFmt w:val="bullet"/>
      <w:lvlText w:val=""/>
      <w:lvlJc w:val="left"/>
      <w:pPr>
        <w:tabs>
          <w:tab w:val="num" w:pos="1500"/>
        </w:tabs>
        <w:ind w:left="1500" w:hanging="360"/>
      </w:pPr>
      <w:rPr>
        <w:rFonts w:ascii="Wingdings" w:hAnsi="Wingdings" w:hint="default"/>
      </w:rPr>
    </w:lvl>
    <w:lvl w:ilvl="1" w:tplc="04020003" w:tentative="1">
      <w:start w:val="1"/>
      <w:numFmt w:val="bullet"/>
      <w:lvlText w:val="o"/>
      <w:lvlJc w:val="left"/>
      <w:pPr>
        <w:tabs>
          <w:tab w:val="num" w:pos="2220"/>
        </w:tabs>
        <w:ind w:left="2220" w:hanging="360"/>
      </w:pPr>
      <w:rPr>
        <w:rFonts w:ascii="Courier New" w:hAnsi="Courier New" w:cs="Courier New" w:hint="default"/>
      </w:rPr>
    </w:lvl>
    <w:lvl w:ilvl="2" w:tplc="04020005" w:tentative="1">
      <w:start w:val="1"/>
      <w:numFmt w:val="bullet"/>
      <w:lvlText w:val=""/>
      <w:lvlJc w:val="left"/>
      <w:pPr>
        <w:tabs>
          <w:tab w:val="num" w:pos="2940"/>
        </w:tabs>
        <w:ind w:left="2940" w:hanging="360"/>
      </w:pPr>
      <w:rPr>
        <w:rFonts w:ascii="Wingdings" w:hAnsi="Wingdings" w:hint="default"/>
      </w:rPr>
    </w:lvl>
    <w:lvl w:ilvl="3" w:tplc="04020001" w:tentative="1">
      <w:start w:val="1"/>
      <w:numFmt w:val="bullet"/>
      <w:lvlText w:val=""/>
      <w:lvlJc w:val="left"/>
      <w:pPr>
        <w:tabs>
          <w:tab w:val="num" w:pos="3660"/>
        </w:tabs>
        <w:ind w:left="3660" w:hanging="360"/>
      </w:pPr>
      <w:rPr>
        <w:rFonts w:ascii="Symbol" w:hAnsi="Symbol" w:hint="default"/>
      </w:rPr>
    </w:lvl>
    <w:lvl w:ilvl="4" w:tplc="04020003" w:tentative="1">
      <w:start w:val="1"/>
      <w:numFmt w:val="bullet"/>
      <w:lvlText w:val="o"/>
      <w:lvlJc w:val="left"/>
      <w:pPr>
        <w:tabs>
          <w:tab w:val="num" w:pos="4380"/>
        </w:tabs>
        <w:ind w:left="4380" w:hanging="360"/>
      </w:pPr>
      <w:rPr>
        <w:rFonts w:ascii="Courier New" w:hAnsi="Courier New" w:cs="Courier New" w:hint="default"/>
      </w:rPr>
    </w:lvl>
    <w:lvl w:ilvl="5" w:tplc="04020005" w:tentative="1">
      <w:start w:val="1"/>
      <w:numFmt w:val="bullet"/>
      <w:lvlText w:val=""/>
      <w:lvlJc w:val="left"/>
      <w:pPr>
        <w:tabs>
          <w:tab w:val="num" w:pos="5100"/>
        </w:tabs>
        <w:ind w:left="5100" w:hanging="360"/>
      </w:pPr>
      <w:rPr>
        <w:rFonts w:ascii="Wingdings" w:hAnsi="Wingdings" w:hint="default"/>
      </w:rPr>
    </w:lvl>
    <w:lvl w:ilvl="6" w:tplc="04020001" w:tentative="1">
      <w:start w:val="1"/>
      <w:numFmt w:val="bullet"/>
      <w:lvlText w:val=""/>
      <w:lvlJc w:val="left"/>
      <w:pPr>
        <w:tabs>
          <w:tab w:val="num" w:pos="5820"/>
        </w:tabs>
        <w:ind w:left="5820" w:hanging="360"/>
      </w:pPr>
      <w:rPr>
        <w:rFonts w:ascii="Symbol" w:hAnsi="Symbol" w:hint="default"/>
      </w:rPr>
    </w:lvl>
    <w:lvl w:ilvl="7" w:tplc="04020003" w:tentative="1">
      <w:start w:val="1"/>
      <w:numFmt w:val="bullet"/>
      <w:lvlText w:val="o"/>
      <w:lvlJc w:val="left"/>
      <w:pPr>
        <w:tabs>
          <w:tab w:val="num" w:pos="6540"/>
        </w:tabs>
        <w:ind w:left="6540" w:hanging="360"/>
      </w:pPr>
      <w:rPr>
        <w:rFonts w:ascii="Courier New" w:hAnsi="Courier New" w:cs="Courier New" w:hint="default"/>
      </w:rPr>
    </w:lvl>
    <w:lvl w:ilvl="8" w:tplc="04020005" w:tentative="1">
      <w:start w:val="1"/>
      <w:numFmt w:val="bullet"/>
      <w:lvlText w:val=""/>
      <w:lvlJc w:val="left"/>
      <w:pPr>
        <w:tabs>
          <w:tab w:val="num" w:pos="7260"/>
        </w:tabs>
        <w:ind w:left="7260" w:hanging="360"/>
      </w:pPr>
      <w:rPr>
        <w:rFonts w:ascii="Wingdings" w:hAnsi="Wingdings" w:hint="default"/>
      </w:rPr>
    </w:lvl>
  </w:abstractNum>
  <w:abstractNum w:abstractNumId="42" w15:restartNumberingAfterBreak="0">
    <w:nsid w:val="76F030F1"/>
    <w:multiLevelType w:val="hybridMultilevel"/>
    <w:tmpl w:val="7FFC6D2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81E64B9"/>
    <w:multiLevelType w:val="hybridMultilevel"/>
    <w:tmpl w:val="C72EA580"/>
    <w:lvl w:ilvl="0" w:tplc="04020001">
      <w:numFmt w:val="bullet"/>
      <w:lvlText w:val=""/>
      <w:lvlJc w:val="left"/>
      <w:pPr>
        <w:tabs>
          <w:tab w:val="num" w:pos="720"/>
        </w:tabs>
        <w:ind w:left="720" w:hanging="360"/>
      </w:pPr>
      <w:rPr>
        <w:rFonts w:ascii="Symbol" w:eastAsia="Times New Roman" w:hAnsi="Symbol"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35"/>
  </w:num>
  <w:num w:numId="4">
    <w:abstractNumId w:val="11"/>
  </w:num>
  <w:num w:numId="5">
    <w:abstractNumId w:val="22"/>
  </w:num>
  <w:num w:numId="6">
    <w:abstractNumId w:val="32"/>
  </w:num>
  <w:num w:numId="7">
    <w:abstractNumId w:val="19"/>
  </w:num>
  <w:num w:numId="8">
    <w:abstractNumId w:val="40"/>
  </w:num>
  <w:num w:numId="9">
    <w:abstractNumId w:val="33"/>
  </w:num>
  <w:num w:numId="10">
    <w:abstractNumId w:val="30"/>
  </w:num>
  <w:num w:numId="11">
    <w:abstractNumId w:val="36"/>
  </w:num>
  <w:num w:numId="12">
    <w:abstractNumId w:val="17"/>
  </w:num>
  <w:num w:numId="13">
    <w:abstractNumId w:val="7"/>
  </w:num>
  <w:num w:numId="14">
    <w:abstractNumId w:val="9"/>
  </w:num>
  <w:num w:numId="15">
    <w:abstractNumId w:val="18"/>
  </w:num>
  <w:num w:numId="16">
    <w:abstractNumId w:val="23"/>
  </w:num>
  <w:num w:numId="17">
    <w:abstractNumId w:val="38"/>
  </w:num>
  <w:num w:numId="18">
    <w:abstractNumId w:val="25"/>
  </w:num>
  <w:num w:numId="19">
    <w:abstractNumId w:val="1"/>
  </w:num>
  <w:num w:numId="20">
    <w:abstractNumId w:val="6"/>
  </w:num>
  <w:num w:numId="21">
    <w:abstractNumId w:val="28"/>
  </w:num>
  <w:num w:numId="22">
    <w:abstractNumId w:val="15"/>
  </w:num>
  <w:num w:numId="23">
    <w:abstractNumId w:val="39"/>
  </w:num>
  <w:num w:numId="24">
    <w:abstractNumId w:val="10"/>
  </w:num>
  <w:num w:numId="25">
    <w:abstractNumId w:val="29"/>
  </w:num>
  <w:num w:numId="26">
    <w:abstractNumId w:val="3"/>
  </w:num>
  <w:num w:numId="27">
    <w:abstractNumId w:val="21"/>
  </w:num>
  <w:num w:numId="28">
    <w:abstractNumId w:val="13"/>
  </w:num>
  <w:num w:numId="29">
    <w:abstractNumId w:val="26"/>
  </w:num>
  <w:num w:numId="30">
    <w:abstractNumId w:val="42"/>
  </w:num>
  <w:num w:numId="31">
    <w:abstractNumId w:val="34"/>
  </w:num>
  <w:num w:numId="32">
    <w:abstractNumId w:val="2"/>
  </w:num>
  <w:num w:numId="33">
    <w:abstractNumId w:val="43"/>
  </w:num>
  <w:num w:numId="34">
    <w:abstractNumId w:val="5"/>
  </w:num>
  <w:num w:numId="35">
    <w:abstractNumId w:val="24"/>
  </w:num>
  <w:num w:numId="36">
    <w:abstractNumId w:val="41"/>
  </w:num>
  <w:num w:numId="37">
    <w:abstractNumId w:val="20"/>
  </w:num>
  <w:num w:numId="38">
    <w:abstractNumId w:val="12"/>
  </w:num>
  <w:num w:numId="39">
    <w:abstractNumId w:val="8"/>
  </w:num>
  <w:num w:numId="40">
    <w:abstractNumId w:val="31"/>
  </w:num>
  <w:num w:numId="41">
    <w:abstractNumId w:val="0"/>
  </w:num>
  <w:num w:numId="42">
    <w:abstractNumId w:val="14"/>
  </w:num>
  <w:num w:numId="43">
    <w:abstractNumId w:val="37"/>
  </w:num>
  <w:num w:numId="4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15"/>
    <w:rsid w:val="00000EF0"/>
    <w:rsid w:val="00000FE1"/>
    <w:rsid w:val="000010D2"/>
    <w:rsid w:val="00001580"/>
    <w:rsid w:val="000016BE"/>
    <w:rsid w:val="00001ABF"/>
    <w:rsid w:val="00001CF0"/>
    <w:rsid w:val="00002A93"/>
    <w:rsid w:val="00002BD7"/>
    <w:rsid w:val="00002D9C"/>
    <w:rsid w:val="00003489"/>
    <w:rsid w:val="00003B52"/>
    <w:rsid w:val="00004264"/>
    <w:rsid w:val="00004788"/>
    <w:rsid w:val="00005544"/>
    <w:rsid w:val="00005A85"/>
    <w:rsid w:val="000063FC"/>
    <w:rsid w:val="000065C6"/>
    <w:rsid w:val="0000691E"/>
    <w:rsid w:val="00006956"/>
    <w:rsid w:val="00006A56"/>
    <w:rsid w:val="00006EBC"/>
    <w:rsid w:val="00007F94"/>
    <w:rsid w:val="000100F0"/>
    <w:rsid w:val="000111D3"/>
    <w:rsid w:val="00011383"/>
    <w:rsid w:val="000119C6"/>
    <w:rsid w:val="000122E0"/>
    <w:rsid w:val="00012431"/>
    <w:rsid w:val="00012533"/>
    <w:rsid w:val="000126AC"/>
    <w:rsid w:val="0001276F"/>
    <w:rsid w:val="00012AE6"/>
    <w:rsid w:val="00012C07"/>
    <w:rsid w:val="0001332F"/>
    <w:rsid w:val="00013357"/>
    <w:rsid w:val="0001356B"/>
    <w:rsid w:val="00013677"/>
    <w:rsid w:val="00013ADD"/>
    <w:rsid w:val="00013B93"/>
    <w:rsid w:val="00013C59"/>
    <w:rsid w:val="00014355"/>
    <w:rsid w:val="000146EA"/>
    <w:rsid w:val="0001499C"/>
    <w:rsid w:val="000158A2"/>
    <w:rsid w:val="00015C0F"/>
    <w:rsid w:val="00015D5B"/>
    <w:rsid w:val="000164C8"/>
    <w:rsid w:val="0001664B"/>
    <w:rsid w:val="00017412"/>
    <w:rsid w:val="000175C7"/>
    <w:rsid w:val="0001768F"/>
    <w:rsid w:val="000178CA"/>
    <w:rsid w:val="00017EA1"/>
    <w:rsid w:val="00020053"/>
    <w:rsid w:val="0002050E"/>
    <w:rsid w:val="000206AE"/>
    <w:rsid w:val="000215BD"/>
    <w:rsid w:val="00021A5F"/>
    <w:rsid w:val="000221B7"/>
    <w:rsid w:val="00022856"/>
    <w:rsid w:val="000229E1"/>
    <w:rsid w:val="00022CAC"/>
    <w:rsid w:val="00022D9E"/>
    <w:rsid w:val="00023244"/>
    <w:rsid w:val="0002351F"/>
    <w:rsid w:val="00023A4B"/>
    <w:rsid w:val="00023BF6"/>
    <w:rsid w:val="00023D31"/>
    <w:rsid w:val="00024065"/>
    <w:rsid w:val="0002444B"/>
    <w:rsid w:val="0002477E"/>
    <w:rsid w:val="0002478B"/>
    <w:rsid w:val="000249B9"/>
    <w:rsid w:val="000252F3"/>
    <w:rsid w:val="000256B4"/>
    <w:rsid w:val="00025953"/>
    <w:rsid w:val="000259F6"/>
    <w:rsid w:val="00025E07"/>
    <w:rsid w:val="00025F45"/>
    <w:rsid w:val="000262DF"/>
    <w:rsid w:val="00026903"/>
    <w:rsid w:val="0002693A"/>
    <w:rsid w:val="00026AD5"/>
    <w:rsid w:val="00027951"/>
    <w:rsid w:val="00027B74"/>
    <w:rsid w:val="00030353"/>
    <w:rsid w:val="00030658"/>
    <w:rsid w:val="000307D3"/>
    <w:rsid w:val="000311EA"/>
    <w:rsid w:val="00031377"/>
    <w:rsid w:val="00031593"/>
    <w:rsid w:val="00031710"/>
    <w:rsid w:val="000319CB"/>
    <w:rsid w:val="000320C8"/>
    <w:rsid w:val="00032966"/>
    <w:rsid w:val="00032B7F"/>
    <w:rsid w:val="00033525"/>
    <w:rsid w:val="00033590"/>
    <w:rsid w:val="00033ACB"/>
    <w:rsid w:val="000340ED"/>
    <w:rsid w:val="00034135"/>
    <w:rsid w:val="00034396"/>
    <w:rsid w:val="00034B8C"/>
    <w:rsid w:val="00034FE3"/>
    <w:rsid w:val="0003586B"/>
    <w:rsid w:val="000359FA"/>
    <w:rsid w:val="0003621F"/>
    <w:rsid w:val="000363A8"/>
    <w:rsid w:val="0003685F"/>
    <w:rsid w:val="000369D6"/>
    <w:rsid w:val="00036A1B"/>
    <w:rsid w:val="00037141"/>
    <w:rsid w:val="000377BC"/>
    <w:rsid w:val="000378DC"/>
    <w:rsid w:val="0003798B"/>
    <w:rsid w:val="000379BC"/>
    <w:rsid w:val="00037FDD"/>
    <w:rsid w:val="00040164"/>
    <w:rsid w:val="000406B2"/>
    <w:rsid w:val="0004080C"/>
    <w:rsid w:val="0004098D"/>
    <w:rsid w:val="00040C20"/>
    <w:rsid w:val="000411D9"/>
    <w:rsid w:val="00041338"/>
    <w:rsid w:val="00042634"/>
    <w:rsid w:val="00042853"/>
    <w:rsid w:val="00042C9E"/>
    <w:rsid w:val="00042E57"/>
    <w:rsid w:val="0004338F"/>
    <w:rsid w:val="000436DD"/>
    <w:rsid w:val="000439F5"/>
    <w:rsid w:val="00043A1B"/>
    <w:rsid w:val="00043AA0"/>
    <w:rsid w:val="00043AB2"/>
    <w:rsid w:val="00043E35"/>
    <w:rsid w:val="00043E3A"/>
    <w:rsid w:val="00044147"/>
    <w:rsid w:val="00044187"/>
    <w:rsid w:val="0004426E"/>
    <w:rsid w:val="00044273"/>
    <w:rsid w:val="00044543"/>
    <w:rsid w:val="00044584"/>
    <w:rsid w:val="0004481C"/>
    <w:rsid w:val="00044A32"/>
    <w:rsid w:val="00044C57"/>
    <w:rsid w:val="00045116"/>
    <w:rsid w:val="0004521E"/>
    <w:rsid w:val="0004559E"/>
    <w:rsid w:val="00045688"/>
    <w:rsid w:val="000458F0"/>
    <w:rsid w:val="00045B4C"/>
    <w:rsid w:val="000465FC"/>
    <w:rsid w:val="000467B1"/>
    <w:rsid w:val="00046C36"/>
    <w:rsid w:val="0004753C"/>
    <w:rsid w:val="000478FB"/>
    <w:rsid w:val="000500CE"/>
    <w:rsid w:val="0005045E"/>
    <w:rsid w:val="000504F4"/>
    <w:rsid w:val="0005066A"/>
    <w:rsid w:val="00050A1B"/>
    <w:rsid w:val="00051D05"/>
    <w:rsid w:val="00051E5E"/>
    <w:rsid w:val="00052449"/>
    <w:rsid w:val="00052485"/>
    <w:rsid w:val="0005284D"/>
    <w:rsid w:val="00052B23"/>
    <w:rsid w:val="00052C5C"/>
    <w:rsid w:val="000538A6"/>
    <w:rsid w:val="00053B0F"/>
    <w:rsid w:val="00053C71"/>
    <w:rsid w:val="00053D51"/>
    <w:rsid w:val="000542B4"/>
    <w:rsid w:val="00054555"/>
    <w:rsid w:val="000546BF"/>
    <w:rsid w:val="000548B8"/>
    <w:rsid w:val="00054CE2"/>
    <w:rsid w:val="00054E02"/>
    <w:rsid w:val="00055007"/>
    <w:rsid w:val="000551E4"/>
    <w:rsid w:val="00055A61"/>
    <w:rsid w:val="00055DD1"/>
    <w:rsid w:val="00055DF0"/>
    <w:rsid w:val="000561EA"/>
    <w:rsid w:val="00056221"/>
    <w:rsid w:val="00056B58"/>
    <w:rsid w:val="00056D9D"/>
    <w:rsid w:val="00056EF0"/>
    <w:rsid w:val="0005737D"/>
    <w:rsid w:val="0005756A"/>
    <w:rsid w:val="00057886"/>
    <w:rsid w:val="0006057F"/>
    <w:rsid w:val="00060A02"/>
    <w:rsid w:val="00060B42"/>
    <w:rsid w:val="000613BA"/>
    <w:rsid w:val="0006166E"/>
    <w:rsid w:val="00061758"/>
    <w:rsid w:val="000621DE"/>
    <w:rsid w:val="00062315"/>
    <w:rsid w:val="00062A61"/>
    <w:rsid w:val="00062A78"/>
    <w:rsid w:val="00063093"/>
    <w:rsid w:val="00063235"/>
    <w:rsid w:val="00063248"/>
    <w:rsid w:val="000638DE"/>
    <w:rsid w:val="00063C56"/>
    <w:rsid w:val="00063CF1"/>
    <w:rsid w:val="00063E15"/>
    <w:rsid w:val="000642B9"/>
    <w:rsid w:val="0006432D"/>
    <w:rsid w:val="00064472"/>
    <w:rsid w:val="0006477A"/>
    <w:rsid w:val="00064785"/>
    <w:rsid w:val="00064AF3"/>
    <w:rsid w:val="00064C44"/>
    <w:rsid w:val="00064E39"/>
    <w:rsid w:val="00064F71"/>
    <w:rsid w:val="0006584F"/>
    <w:rsid w:val="00065A46"/>
    <w:rsid w:val="00065A9B"/>
    <w:rsid w:val="00065DF8"/>
    <w:rsid w:val="000660D5"/>
    <w:rsid w:val="0006611E"/>
    <w:rsid w:val="000663D1"/>
    <w:rsid w:val="000666C0"/>
    <w:rsid w:val="00066909"/>
    <w:rsid w:val="000669D8"/>
    <w:rsid w:val="00066EED"/>
    <w:rsid w:val="00067283"/>
    <w:rsid w:val="00067469"/>
    <w:rsid w:val="0006785C"/>
    <w:rsid w:val="0007007C"/>
    <w:rsid w:val="0007047E"/>
    <w:rsid w:val="000709C1"/>
    <w:rsid w:val="00070A97"/>
    <w:rsid w:val="00071C3B"/>
    <w:rsid w:val="00071F12"/>
    <w:rsid w:val="0007251B"/>
    <w:rsid w:val="00072C4F"/>
    <w:rsid w:val="00072D22"/>
    <w:rsid w:val="00073108"/>
    <w:rsid w:val="00073DF5"/>
    <w:rsid w:val="00074744"/>
    <w:rsid w:val="0007481D"/>
    <w:rsid w:val="00074B7D"/>
    <w:rsid w:val="000751C1"/>
    <w:rsid w:val="00075256"/>
    <w:rsid w:val="0007526B"/>
    <w:rsid w:val="000756FB"/>
    <w:rsid w:val="000768B3"/>
    <w:rsid w:val="00076B59"/>
    <w:rsid w:val="000801C8"/>
    <w:rsid w:val="00080AB2"/>
    <w:rsid w:val="00080EF5"/>
    <w:rsid w:val="0008155D"/>
    <w:rsid w:val="0008165A"/>
    <w:rsid w:val="000819F9"/>
    <w:rsid w:val="00081AFD"/>
    <w:rsid w:val="00082392"/>
    <w:rsid w:val="00082679"/>
    <w:rsid w:val="000827A4"/>
    <w:rsid w:val="000829EB"/>
    <w:rsid w:val="00082BD9"/>
    <w:rsid w:val="00082F40"/>
    <w:rsid w:val="0008327E"/>
    <w:rsid w:val="000832E5"/>
    <w:rsid w:val="000833A2"/>
    <w:rsid w:val="0008357F"/>
    <w:rsid w:val="00084827"/>
    <w:rsid w:val="000853B1"/>
    <w:rsid w:val="00085704"/>
    <w:rsid w:val="00085715"/>
    <w:rsid w:val="00085734"/>
    <w:rsid w:val="00085B96"/>
    <w:rsid w:val="00085E01"/>
    <w:rsid w:val="00085E1A"/>
    <w:rsid w:val="00086A8E"/>
    <w:rsid w:val="00086FA7"/>
    <w:rsid w:val="0008710A"/>
    <w:rsid w:val="00087295"/>
    <w:rsid w:val="0008745A"/>
    <w:rsid w:val="000878C4"/>
    <w:rsid w:val="00087924"/>
    <w:rsid w:val="00087ED6"/>
    <w:rsid w:val="0009002F"/>
    <w:rsid w:val="000900E3"/>
    <w:rsid w:val="000901EA"/>
    <w:rsid w:val="000902B5"/>
    <w:rsid w:val="00090536"/>
    <w:rsid w:val="00090D1D"/>
    <w:rsid w:val="000910CA"/>
    <w:rsid w:val="00091196"/>
    <w:rsid w:val="00091BAB"/>
    <w:rsid w:val="00091BCE"/>
    <w:rsid w:val="000931C8"/>
    <w:rsid w:val="000937AB"/>
    <w:rsid w:val="000937E0"/>
    <w:rsid w:val="00093CFC"/>
    <w:rsid w:val="00093F6F"/>
    <w:rsid w:val="00094376"/>
    <w:rsid w:val="000943E4"/>
    <w:rsid w:val="000949D3"/>
    <w:rsid w:val="00094A6C"/>
    <w:rsid w:val="00094A78"/>
    <w:rsid w:val="00094D57"/>
    <w:rsid w:val="00095164"/>
    <w:rsid w:val="0009519B"/>
    <w:rsid w:val="000959DC"/>
    <w:rsid w:val="00095CA2"/>
    <w:rsid w:val="00095EF0"/>
    <w:rsid w:val="0009649D"/>
    <w:rsid w:val="00096CF2"/>
    <w:rsid w:val="0009743A"/>
    <w:rsid w:val="0009773F"/>
    <w:rsid w:val="000979B5"/>
    <w:rsid w:val="00097C52"/>
    <w:rsid w:val="000A052A"/>
    <w:rsid w:val="000A09BA"/>
    <w:rsid w:val="000A10E1"/>
    <w:rsid w:val="000A301B"/>
    <w:rsid w:val="000A3426"/>
    <w:rsid w:val="000A394C"/>
    <w:rsid w:val="000A3F57"/>
    <w:rsid w:val="000A4432"/>
    <w:rsid w:val="000A5B32"/>
    <w:rsid w:val="000A6DB7"/>
    <w:rsid w:val="000A6E4D"/>
    <w:rsid w:val="000A7446"/>
    <w:rsid w:val="000A7841"/>
    <w:rsid w:val="000A7E18"/>
    <w:rsid w:val="000B0616"/>
    <w:rsid w:val="000B0815"/>
    <w:rsid w:val="000B09E5"/>
    <w:rsid w:val="000B0BED"/>
    <w:rsid w:val="000B0CE6"/>
    <w:rsid w:val="000B11FB"/>
    <w:rsid w:val="000B12F6"/>
    <w:rsid w:val="000B175F"/>
    <w:rsid w:val="000B1A24"/>
    <w:rsid w:val="000B1E59"/>
    <w:rsid w:val="000B25CC"/>
    <w:rsid w:val="000B2CBE"/>
    <w:rsid w:val="000B330C"/>
    <w:rsid w:val="000B4481"/>
    <w:rsid w:val="000B460F"/>
    <w:rsid w:val="000B474D"/>
    <w:rsid w:val="000B49EE"/>
    <w:rsid w:val="000B511A"/>
    <w:rsid w:val="000B511E"/>
    <w:rsid w:val="000B5123"/>
    <w:rsid w:val="000B52FA"/>
    <w:rsid w:val="000B5F1E"/>
    <w:rsid w:val="000B62C7"/>
    <w:rsid w:val="000B64BA"/>
    <w:rsid w:val="000B67EA"/>
    <w:rsid w:val="000B6D3A"/>
    <w:rsid w:val="000B7234"/>
    <w:rsid w:val="000B7447"/>
    <w:rsid w:val="000B75C1"/>
    <w:rsid w:val="000B7C4F"/>
    <w:rsid w:val="000B7E66"/>
    <w:rsid w:val="000C019B"/>
    <w:rsid w:val="000C06FE"/>
    <w:rsid w:val="000C0A44"/>
    <w:rsid w:val="000C0E2B"/>
    <w:rsid w:val="000C0FA1"/>
    <w:rsid w:val="000C13A5"/>
    <w:rsid w:val="000C20BA"/>
    <w:rsid w:val="000C244E"/>
    <w:rsid w:val="000C2FAC"/>
    <w:rsid w:val="000C3011"/>
    <w:rsid w:val="000C3451"/>
    <w:rsid w:val="000C3D73"/>
    <w:rsid w:val="000C4760"/>
    <w:rsid w:val="000C4CBB"/>
    <w:rsid w:val="000C56B9"/>
    <w:rsid w:val="000C5ACF"/>
    <w:rsid w:val="000C5C6D"/>
    <w:rsid w:val="000C6079"/>
    <w:rsid w:val="000C6742"/>
    <w:rsid w:val="000C69AE"/>
    <w:rsid w:val="000C6A7A"/>
    <w:rsid w:val="000C6CB5"/>
    <w:rsid w:val="000C6CF3"/>
    <w:rsid w:val="000C6EFE"/>
    <w:rsid w:val="000C72DC"/>
    <w:rsid w:val="000C7303"/>
    <w:rsid w:val="000C736E"/>
    <w:rsid w:val="000C75A5"/>
    <w:rsid w:val="000C75DD"/>
    <w:rsid w:val="000C773E"/>
    <w:rsid w:val="000C7914"/>
    <w:rsid w:val="000C7BB6"/>
    <w:rsid w:val="000D01A6"/>
    <w:rsid w:val="000D0538"/>
    <w:rsid w:val="000D06A6"/>
    <w:rsid w:val="000D0AB1"/>
    <w:rsid w:val="000D0EA5"/>
    <w:rsid w:val="000D13E1"/>
    <w:rsid w:val="000D14F3"/>
    <w:rsid w:val="000D23F8"/>
    <w:rsid w:val="000D2516"/>
    <w:rsid w:val="000D26D5"/>
    <w:rsid w:val="000D2B33"/>
    <w:rsid w:val="000D2BE7"/>
    <w:rsid w:val="000D2D39"/>
    <w:rsid w:val="000D3407"/>
    <w:rsid w:val="000D3942"/>
    <w:rsid w:val="000D39CE"/>
    <w:rsid w:val="000D3C4D"/>
    <w:rsid w:val="000D3FA7"/>
    <w:rsid w:val="000D4203"/>
    <w:rsid w:val="000D46FD"/>
    <w:rsid w:val="000D46FF"/>
    <w:rsid w:val="000D49F5"/>
    <w:rsid w:val="000D4BEB"/>
    <w:rsid w:val="000D4CF8"/>
    <w:rsid w:val="000D50EA"/>
    <w:rsid w:val="000D5449"/>
    <w:rsid w:val="000D5722"/>
    <w:rsid w:val="000D5EE2"/>
    <w:rsid w:val="000D6C9C"/>
    <w:rsid w:val="000D6D92"/>
    <w:rsid w:val="000D725A"/>
    <w:rsid w:val="000D740D"/>
    <w:rsid w:val="000D78E4"/>
    <w:rsid w:val="000D7B46"/>
    <w:rsid w:val="000E0187"/>
    <w:rsid w:val="000E0B42"/>
    <w:rsid w:val="000E0EBA"/>
    <w:rsid w:val="000E0EE9"/>
    <w:rsid w:val="000E1529"/>
    <w:rsid w:val="000E1EAF"/>
    <w:rsid w:val="000E1FB5"/>
    <w:rsid w:val="000E2207"/>
    <w:rsid w:val="000E234B"/>
    <w:rsid w:val="000E2869"/>
    <w:rsid w:val="000E2894"/>
    <w:rsid w:val="000E2B21"/>
    <w:rsid w:val="000E2BF2"/>
    <w:rsid w:val="000E39DF"/>
    <w:rsid w:val="000E3BA7"/>
    <w:rsid w:val="000E3CDC"/>
    <w:rsid w:val="000E3DA0"/>
    <w:rsid w:val="000E4599"/>
    <w:rsid w:val="000E4CFE"/>
    <w:rsid w:val="000E4EB4"/>
    <w:rsid w:val="000E5205"/>
    <w:rsid w:val="000E5295"/>
    <w:rsid w:val="000E5483"/>
    <w:rsid w:val="000E5EE9"/>
    <w:rsid w:val="000E632B"/>
    <w:rsid w:val="000E6968"/>
    <w:rsid w:val="000E69D1"/>
    <w:rsid w:val="000E76B3"/>
    <w:rsid w:val="000E773D"/>
    <w:rsid w:val="000F04F4"/>
    <w:rsid w:val="000F0610"/>
    <w:rsid w:val="000F0BD7"/>
    <w:rsid w:val="000F0FAC"/>
    <w:rsid w:val="000F1488"/>
    <w:rsid w:val="000F1EB1"/>
    <w:rsid w:val="000F26DE"/>
    <w:rsid w:val="000F32E9"/>
    <w:rsid w:val="000F3534"/>
    <w:rsid w:val="000F3A6E"/>
    <w:rsid w:val="000F3CB4"/>
    <w:rsid w:val="000F3EA1"/>
    <w:rsid w:val="000F4571"/>
    <w:rsid w:val="000F47A8"/>
    <w:rsid w:val="000F4AE4"/>
    <w:rsid w:val="000F4DCA"/>
    <w:rsid w:val="000F4E05"/>
    <w:rsid w:val="000F4F46"/>
    <w:rsid w:val="000F5080"/>
    <w:rsid w:val="000F57CC"/>
    <w:rsid w:val="000F5EC6"/>
    <w:rsid w:val="000F5EF4"/>
    <w:rsid w:val="000F5F76"/>
    <w:rsid w:val="000F68AF"/>
    <w:rsid w:val="000F6975"/>
    <w:rsid w:val="000F6B35"/>
    <w:rsid w:val="0010026D"/>
    <w:rsid w:val="0010055E"/>
    <w:rsid w:val="001006E1"/>
    <w:rsid w:val="00100931"/>
    <w:rsid w:val="00100CE5"/>
    <w:rsid w:val="00100D97"/>
    <w:rsid w:val="001011A4"/>
    <w:rsid w:val="00101301"/>
    <w:rsid w:val="001017B7"/>
    <w:rsid w:val="00101B1C"/>
    <w:rsid w:val="00101BE4"/>
    <w:rsid w:val="00101D61"/>
    <w:rsid w:val="0010212B"/>
    <w:rsid w:val="00102523"/>
    <w:rsid w:val="0010261A"/>
    <w:rsid w:val="00102869"/>
    <w:rsid w:val="001028F7"/>
    <w:rsid w:val="00102BA6"/>
    <w:rsid w:val="0010358B"/>
    <w:rsid w:val="00103BC3"/>
    <w:rsid w:val="0010424C"/>
    <w:rsid w:val="00104331"/>
    <w:rsid w:val="001046B0"/>
    <w:rsid w:val="00104921"/>
    <w:rsid w:val="00104A12"/>
    <w:rsid w:val="00104BB5"/>
    <w:rsid w:val="00104D7F"/>
    <w:rsid w:val="00104ED0"/>
    <w:rsid w:val="0010539A"/>
    <w:rsid w:val="001053A6"/>
    <w:rsid w:val="00105B38"/>
    <w:rsid w:val="00106009"/>
    <w:rsid w:val="00106081"/>
    <w:rsid w:val="001060C0"/>
    <w:rsid w:val="0010649F"/>
    <w:rsid w:val="0010683E"/>
    <w:rsid w:val="00106E64"/>
    <w:rsid w:val="00106F55"/>
    <w:rsid w:val="00107065"/>
    <w:rsid w:val="00107258"/>
    <w:rsid w:val="0010743D"/>
    <w:rsid w:val="00107498"/>
    <w:rsid w:val="001077FA"/>
    <w:rsid w:val="00107A38"/>
    <w:rsid w:val="00107C9F"/>
    <w:rsid w:val="00107F93"/>
    <w:rsid w:val="00110619"/>
    <w:rsid w:val="00110E74"/>
    <w:rsid w:val="0011137B"/>
    <w:rsid w:val="00111AA9"/>
    <w:rsid w:val="0011244D"/>
    <w:rsid w:val="00112882"/>
    <w:rsid w:val="00112CAC"/>
    <w:rsid w:val="00112E96"/>
    <w:rsid w:val="00113FD8"/>
    <w:rsid w:val="00114D25"/>
    <w:rsid w:val="00114D27"/>
    <w:rsid w:val="00114DE5"/>
    <w:rsid w:val="0011515C"/>
    <w:rsid w:val="00116AF1"/>
    <w:rsid w:val="00116D77"/>
    <w:rsid w:val="00116E10"/>
    <w:rsid w:val="001173BA"/>
    <w:rsid w:val="001179C1"/>
    <w:rsid w:val="00117A49"/>
    <w:rsid w:val="00117C68"/>
    <w:rsid w:val="00117CA6"/>
    <w:rsid w:val="001202E6"/>
    <w:rsid w:val="00120BC1"/>
    <w:rsid w:val="00120CC7"/>
    <w:rsid w:val="00120DB2"/>
    <w:rsid w:val="00121946"/>
    <w:rsid w:val="00122BBB"/>
    <w:rsid w:val="00122F3A"/>
    <w:rsid w:val="00122FCA"/>
    <w:rsid w:val="00123862"/>
    <w:rsid w:val="00123B59"/>
    <w:rsid w:val="00123CED"/>
    <w:rsid w:val="00123E2A"/>
    <w:rsid w:val="00124548"/>
    <w:rsid w:val="00124777"/>
    <w:rsid w:val="00124831"/>
    <w:rsid w:val="00124B98"/>
    <w:rsid w:val="00124FAC"/>
    <w:rsid w:val="00124FB9"/>
    <w:rsid w:val="00125B7A"/>
    <w:rsid w:val="00125CD6"/>
    <w:rsid w:val="00125F45"/>
    <w:rsid w:val="001260AA"/>
    <w:rsid w:val="001264C3"/>
    <w:rsid w:val="00126707"/>
    <w:rsid w:val="00126805"/>
    <w:rsid w:val="001269AE"/>
    <w:rsid w:val="00127D25"/>
    <w:rsid w:val="001301B6"/>
    <w:rsid w:val="001305A6"/>
    <w:rsid w:val="0013129C"/>
    <w:rsid w:val="00131B05"/>
    <w:rsid w:val="00131C51"/>
    <w:rsid w:val="00132423"/>
    <w:rsid w:val="00132AD1"/>
    <w:rsid w:val="00132CE0"/>
    <w:rsid w:val="00132ECD"/>
    <w:rsid w:val="00133013"/>
    <w:rsid w:val="00133033"/>
    <w:rsid w:val="0013308F"/>
    <w:rsid w:val="00133183"/>
    <w:rsid w:val="00133478"/>
    <w:rsid w:val="00133644"/>
    <w:rsid w:val="001342F2"/>
    <w:rsid w:val="00134B48"/>
    <w:rsid w:val="0013522E"/>
    <w:rsid w:val="0013588C"/>
    <w:rsid w:val="00135A23"/>
    <w:rsid w:val="00135B90"/>
    <w:rsid w:val="00135E92"/>
    <w:rsid w:val="001366E5"/>
    <w:rsid w:val="00136893"/>
    <w:rsid w:val="00136966"/>
    <w:rsid w:val="00136C08"/>
    <w:rsid w:val="00136DA4"/>
    <w:rsid w:val="00137162"/>
    <w:rsid w:val="001371FA"/>
    <w:rsid w:val="0013776C"/>
    <w:rsid w:val="001400F3"/>
    <w:rsid w:val="00140F18"/>
    <w:rsid w:val="00140F61"/>
    <w:rsid w:val="0014108F"/>
    <w:rsid w:val="00141B03"/>
    <w:rsid w:val="001423F5"/>
    <w:rsid w:val="00142979"/>
    <w:rsid w:val="00142ABD"/>
    <w:rsid w:val="00142EDB"/>
    <w:rsid w:val="00142FD3"/>
    <w:rsid w:val="00143002"/>
    <w:rsid w:val="001434EA"/>
    <w:rsid w:val="00143814"/>
    <w:rsid w:val="001445AC"/>
    <w:rsid w:val="00144B67"/>
    <w:rsid w:val="00144BF2"/>
    <w:rsid w:val="0014585D"/>
    <w:rsid w:val="00145944"/>
    <w:rsid w:val="00145AD1"/>
    <w:rsid w:val="00145F05"/>
    <w:rsid w:val="001462A0"/>
    <w:rsid w:val="00146314"/>
    <w:rsid w:val="001466F3"/>
    <w:rsid w:val="00146C11"/>
    <w:rsid w:val="00147195"/>
    <w:rsid w:val="00147250"/>
    <w:rsid w:val="001477C2"/>
    <w:rsid w:val="0015009D"/>
    <w:rsid w:val="00150706"/>
    <w:rsid w:val="00150793"/>
    <w:rsid w:val="00150D38"/>
    <w:rsid w:val="00151260"/>
    <w:rsid w:val="001514CB"/>
    <w:rsid w:val="00151757"/>
    <w:rsid w:val="00152672"/>
    <w:rsid w:val="001528EE"/>
    <w:rsid w:val="00152B9C"/>
    <w:rsid w:val="00153077"/>
    <w:rsid w:val="001535F3"/>
    <w:rsid w:val="00153CA6"/>
    <w:rsid w:val="00153DF3"/>
    <w:rsid w:val="00154247"/>
    <w:rsid w:val="001543D7"/>
    <w:rsid w:val="00154B29"/>
    <w:rsid w:val="00154DE5"/>
    <w:rsid w:val="00154FA1"/>
    <w:rsid w:val="00155948"/>
    <w:rsid w:val="00155A70"/>
    <w:rsid w:val="00155B06"/>
    <w:rsid w:val="00156356"/>
    <w:rsid w:val="00156A3B"/>
    <w:rsid w:val="00156B18"/>
    <w:rsid w:val="00156F40"/>
    <w:rsid w:val="00157673"/>
    <w:rsid w:val="00157743"/>
    <w:rsid w:val="00157B70"/>
    <w:rsid w:val="00157EC4"/>
    <w:rsid w:val="00157EF5"/>
    <w:rsid w:val="0016023C"/>
    <w:rsid w:val="001606A4"/>
    <w:rsid w:val="00160A10"/>
    <w:rsid w:val="00160C5B"/>
    <w:rsid w:val="00160EC6"/>
    <w:rsid w:val="00160FBD"/>
    <w:rsid w:val="0016116C"/>
    <w:rsid w:val="0016122A"/>
    <w:rsid w:val="0016140B"/>
    <w:rsid w:val="0016194D"/>
    <w:rsid w:val="00161F90"/>
    <w:rsid w:val="001623A2"/>
    <w:rsid w:val="00162970"/>
    <w:rsid w:val="00162F68"/>
    <w:rsid w:val="00163645"/>
    <w:rsid w:val="00164220"/>
    <w:rsid w:val="001643F8"/>
    <w:rsid w:val="0016452C"/>
    <w:rsid w:val="001647E9"/>
    <w:rsid w:val="00164961"/>
    <w:rsid w:val="00164FAD"/>
    <w:rsid w:val="001652A9"/>
    <w:rsid w:val="0016560A"/>
    <w:rsid w:val="00165DB5"/>
    <w:rsid w:val="00165FF0"/>
    <w:rsid w:val="00166023"/>
    <w:rsid w:val="001662FB"/>
    <w:rsid w:val="001663F9"/>
    <w:rsid w:val="001668BD"/>
    <w:rsid w:val="001671E2"/>
    <w:rsid w:val="0017086C"/>
    <w:rsid w:val="00170A50"/>
    <w:rsid w:val="00170EFE"/>
    <w:rsid w:val="00171333"/>
    <w:rsid w:val="00171F8E"/>
    <w:rsid w:val="0017216E"/>
    <w:rsid w:val="001721EA"/>
    <w:rsid w:val="0017261A"/>
    <w:rsid w:val="0017293F"/>
    <w:rsid w:val="001729BB"/>
    <w:rsid w:val="00172AEE"/>
    <w:rsid w:val="00173987"/>
    <w:rsid w:val="00173C2D"/>
    <w:rsid w:val="00174441"/>
    <w:rsid w:val="00174693"/>
    <w:rsid w:val="0017483F"/>
    <w:rsid w:val="00174C24"/>
    <w:rsid w:val="0017545F"/>
    <w:rsid w:val="00175494"/>
    <w:rsid w:val="00175539"/>
    <w:rsid w:val="00175890"/>
    <w:rsid w:val="00175A73"/>
    <w:rsid w:val="00175E50"/>
    <w:rsid w:val="00176340"/>
    <w:rsid w:val="00176403"/>
    <w:rsid w:val="0017681A"/>
    <w:rsid w:val="00176AE7"/>
    <w:rsid w:val="00176CB6"/>
    <w:rsid w:val="00176E98"/>
    <w:rsid w:val="00177307"/>
    <w:rsid w:val="00177400"/>
    <w:rsid w:val="00180811"/>
    <w:rsid w:val="001808E6"/>
    <w:rsid w:val="00180AEF"/>
    <w:rsid w:val="0018154E"/>
    <w:rsid w:val="00181857"/>
    <w:rsid w:val="00181D1E"/>
    <w:rsid w:val="00181E4B"/>
    <w:rsid w:val="00181FCA"/>
    <w:rsid w:val="001820C4"/>
    <w:rsid w:val="001824F0"/>
    <w:rsid w:val="001827BB"/>
    <w:rsid w:val="00182A2B"/>
    <w:rsid w:val="00182A94"/>
    <w:rsid w:val="00182C1A"/>
    <w:rsid w:val="00182D63"/>
    <w:rsid w:val="00182F27"/>
    <w:rsid w:val="00183392"/>
    <w:rsid w:val="0018398A"/>
    <w:rsid w:val="00183D5F"/>
    <w:rsid w:val="00183EA5"/>
    <w:rsid w:val="00183FAF"/>
    <w:rsid w:val="00184091"/>
    <w:rsid w:val="00184502"/>
    <w:rsid w:val="0018452B"/>
    <w:rsid w:val="001845D5"/>
    <w:rsid w:val="001846D1"/>
    <w:rsid w:val="00184DF2"/>
    <w:rsid w:val="001850C5"/>
    <w:rsid w:val="001851AE"/>
    <w:rsid w:val="0018526D"/>
    <w:rsid w:val="001858CD"/>
    <w:rsid w:val="001859FA"/>
    <w:rsid w:val="00185A12"/>
    <w:rsid w:val="00185BF6"/>
    <w:rsid w:val="00185D08"/>
    <w:rsid w:val="00185E33"/>
    <w:rsid w:val="001864AF"/>
    <w:rsid w:val="00186536"/>
    <w:rsid w:val="001869BB"/>
    <w:rsid w:val="00186C81"/>
    <w:rsid w:val="00186DF9"/>
    <w:rsid w:val="00187AC9"/>
    <w:rsid w:val="00187C31"/>
    <w:rsid w:val="001902B3"/>
    <w:rsid w:val="00190983"/>
    <w:rsid w:val="0019151C"/>
    <w:rsid w:val="00191AA6"/>
    <w:rsid w:val="00191AB6"/>
    <w:rsid w:val="00191B55"/>
    <w:rsid w:val="00191EC8"/>
    <w:rsid w:val="00191F79"/>
    <w:rsid w:val="0019213B"/>
    <w:rsid w:val="0019232E"/>
    <w:rsid w:val="0019239F"/>
    <w:rsid w:val="001924F6"/>
    <w:rsid w:val="00192CDB"/>
    <w:rsid w:val="00192F6E"/>
    <w:rsid w:val="00193D9B"/>
    <w:rsid w:val="00193F20"/>
    <w:rsid w:val="0019413C"/>
    <w:rsid w:val="001941E4"/>
    <w:rsid w:val="00194AF7"/>
    <w:rsid w:val="00194C1F"/>
    <w:rsid w:val="00194DAF"/>
    <w:rsid w:val="001953AC"/>
    <w:rsid w:val="00195517"/>
    <w:rsid w:val="00195AE3"/>
    <w:rsid w:val="00195B15"/>
    <w:rsid w:val="00195BE8"/>
    <w:rsid w:val="00195CF2"/>
    <w:rsid w:val="00195E11"/>
    <w:rsid w:val="00195F99"/>
    <w:rsid w:val="00195FB3"/>
    <w:rsid w:val="00196263"/>
    <w:rsid w:val="001965AA"/>
    <w:rsid w:val="0019667B"/>
    <w:rsid w:val="001968E4"/>
    <w:rsid w:val="00197031"/>
    <w:rsid w:val="001971AE"/>
    <w:rsid w:val="00197278"/>
    <w:rsid w:val="00197392"/>
    <w:rsid w:val="00197764"/>
    <w:rsid w:val="00197EC3"/>
    <w:rsid w:val="00197FB1"/>
    <w:rsid w:val="001A0601"/>
    <w:rsid w:val="001A0BB0"/>
    <w:rsid w:val="001A1837"/>
    <w:rsid w:val="001A1B2F"/>
    <w:rsid w:val="001A1C51"/>
    <w:rsid w:val="001A2023"/>
    <w:rsid w:val="001A236F"/>
    <w:rsid w:val="001A28BA"/>
    <w:rsid w:val="001A3051"/>
    <w:rsid w:val="001A314B"/>
    <w:rsid w:val="001A3387"/>
    <w:rsid w:val="001A3398"/>
    <w:rsid w:val="001A38D5"/>
    <w:rsid w:val="001A3DED"/>
    <w:rsid w:val="001A4493"/>
    <w:rsid w:val="001A4589"/>
    <w:rsid w:val="001A4935"/>
    <w:rsid w:val="001A5350"/>
    <w:rsid w:val="001A5398"/>
    <w:rsid w:val="001A5553"/>
    <w:rsid w:val="001A59AF"/>
    <w:rsid w:val="001A5E96"/>
    <w:rsid w:val="001A6777"/>
    <w:rsid w:val="001A6D21"/>
    <w:rsid w:val="001A718A"/>
    <w:rsid w:val="001A718F"/>
    <w:rsid w:val="001A75B9"/>
    <w:rsid w:val="001A7DC2"/>
    <w:rsid w:val="001A7E84"/>
    <w:rsid w:val="001B09A8"/>
    <w:rsid w:val="001B0A90"/>
    <w:rsid w:val="001B1694"/>
    <w:rsid w:val="001B18C3"/>
    <w:rsid w:val="001B1C70"/>
    <w:rsid w:val="001B20E4"/>
    <w:rsid w:val="001B2D1F"/>
    <w:rsid w:val="001B2E77"/>
    <w:rsid w:val="001B2FCD"/>
    <w:rsid w:val="001B3285"/>
    <w:rsid w:val="001B370A"/>
    <w:rsid w:val="001B39DD"/>
    <w:rsid w:val="001B3BA9"/>
    <w:rsid w:val="001B3E1C"/>
    <w:rsid w:val="001B4165"/>
    <w:rsid w:val="001B427B"/>
    <w:rsid w:val="001B44DB"/>
    <w:rsid w:val="001B4640"/>
    <w:rsid w:val="001B56BB"/>
    <w:rsid w:val="001B5EA6"/>
    <w:rsid w:val="001B6203"/>
    <w:rsid w:val="001B688A"/>
    <w:rsid w:val="001B7112"/>
    <w:rsid w:val="001B72FB"/>
    <w:rsid w:val="001B73BD"/>
    <w:rsid w:val="001B7BB1"/>
    <w:rsid w:val="001C0277"/>
    <w:rsid w:val="001C0F05"/>
    <w:rsid w:val="001C110F"/>
    <w:rsid w:val="001C129D"/>
    <w:rsid w:val="001C15B0"/>
    <w:rsid w:val="001C18D4"/>
    <w:rsid w:val="001C1A52"/>
    <w:rsid w:val="001C239A"/>
    <w:rsid w:val="001C2554"/>
    <w:rsid w:val="001C2BD9"/>
    <w:rsid w:val="001C2EE5"/>
    <w:rsid w:val="001C395A"/>
    <w:rsid w:val="001C3A25"/>
    <w:rsid w:val="001C3BE9"/>
    <w:rsid w:val="001C486C"/>
    <w:rsid w:val="001C4AE1"/>
    <w:rsid w:val="001C4B35"/>
    <w:rsid w:val="001C4CCF"/>
    <w:rsid w:val="001C501A"/>
    <w:rsid w:val="001C5CC2"/>
    <w:rsid w:val="001C61DB"/>
    <w:rsid w:val="001C6573"/>
    <w:rsid w:val="001C6BA6"/>
    <w:rsid w:val="001C6D97"/>
    <w:rsid w:val="001C726D"/>
    <w:rsid w:val="001C78CA"/>
    <w:rsid w:val="001D01FB"/>
    <w:rsid w:val="001D0221"/>
    <w:rsid w:val="001D03BA"/>
    <w:rsid w:val="001D13AD"/>
    <w:rsid w:val="001D15E5"/>
    <w:rsid w:val="001D21EB"/>
    <w:rsid w:val="001D2381"/>
    <w:rsid w:val="001D29EA"/>
    <w:rsid w:val="001D2AFB"/>
    <w:rsid w:val="001D2CE9"/>
    <w:rsid w:val="001D34AF"/>
    <w:rsid w:val="001D3C01"/>
    <w:rsid w:val="001D3E63"/>
    <w:rsid w:val="001D40DA"/>
    <w:rsid w:val="001D419F"/>
    <w:rsid w:val="001D43D0"/>
    <w:rsid w:val="001D516B"/>
    <w:rsid w:val="001D5A4E"/>
    <w:rsid w:val="001D5C57"/>
    <w:rsid w:val="001D5D9A"/>
    <w:rsid w:val="001D6081"/>
    <w:rsid w:val="001D6684"/>
    <w:rsid w:val="001D6B29"/>
    <w:rsid w:val="001D6F2E"/>
    <w:rsid w:val="001D71BC"/>
    <w:rsid w:val="001D7346"/>
    <w:rsid w:val="001D755A"/>
    <w:rsid w:val="001E0367"/>
    <w:rsid w:val="001E094C"/>
    <w:rsid w:val="001E0FF6"/>
    <w:rsid w:val="001E11E2"/>
    <w:rsid w:val="001E11F6"/>
    <w:rsid w:val="001E1857"/>
    <w:rsid w:val="001E2231"/>
    <w:rsid w:val="001E27FB"/>
    <w:rsid w:val="001E2B1A"/>
    <w:rsid w:val="001E2C12"/>
    <w:rsid w:val="001E2FB8"/>
    <w:rsid w:val="001E3485"/>
    <w:rsid w:val="001E373E"/>
    <w:rsid w:val="001E3753"/>
    <w:rsid w:val="001E383E"/>
    <w:rsid w:val="001E4011"/>
    <w:rsid w:val="001E4060"/>
    <w:rsid w:val="001E4456"/>
    <w:rsid w:val="001E44C8"/>
    <w:rsid w:val="001E4518"/>
    <w:rsid w:val="001E467A"/>
    <w:rsid w:val="001E4C32"/>
    <w:rsid w:val="001E4E88"/>
    <w:rsid w:val="001E4FFF"/>
    <w:rsid w:val="001E5747"/>
    <w:rsid w:val="001E5BEE"/>
    <w:rsid w:val="001E619D"/>
    <w:rsid w:val="001E66E6"/>
    <w:rsid w:val="001E6889"/>
    <w:rsid w:val="001E68EE"/>
    <w:rsid w:val="001E751C"/>
    <w:rsid w:val="001E77C4"/>
    <w:rsid w:val="001E7EA4"/>
    <w:rsid w:val="001F00B7"/>
    <w:rsid w:val="001F0187"/>
    <w:rsid w:val="001F1092"/>
    <w:rsid w:val="001F18AA"/>
    <w:rsid w:val="001F1E88"/>
    <w:rsid w:val="001F200A"/>
    <w:rsid w:val="001F2337"/>
    <w:rsid w:val="001F2FB5"/>
    <w:rsid w:val="001F367C"/>
    <w:rsid w:val="001F4EB9"/>
    <w:rsid w:val="001F4FD4"/>
    <w:rsid w:val="001F4FDB"/>
    <w:rsid w:val="001F52E5"/>
    <w:rsid w:val="001F540A"/>
    <w:rsid w:val="001F58AB"/>
    <w:rsid w:val="001F5D2F"/>
    <w:rsid w:val="001F5E20"/>
    <w:rsid w:val="001F5FA3"/>
    <w:rsid w:val="001F60AC"/>
    <w:rsid w:val="001F6E1E"/>
    <w:rsid w:val="001F6F0C"/>
    <w:rsid w:val="001F73E9"/>
    <w:rsid w:val="001F74B9"/>
    <w:rsid w:val="001F7F82"/>
    <w:rsid w:val="002002AA"/>
    <w:rsid w:val="002003C3"/>
    <w:rsid w:val="00200D50"/>
    <w:rsid w:val="002019D1"/>
    <w:rsid w:val="00201A8D"/>
    <w:rsid w:val="00201AB8"/>
    <w:rsid w:val="00201E8F"/>
    <w:rsid w:val="00201FFF"/>
    <w:rsid w:val="002023B3"/>
    <w:rsid w:val="00202CDB"/>
    <w:rsid w:val="00203052"/>
    <w:rsid w:val="0020342F"/>
    <w:rsid w:val="002034CC"/>
    <w:rsid w:val="00203D9B"/>
    <w:rsid w:val="00204381"/>
    <w:rsid w:val="002045FE"/>
    <w:rsid w:val="00204779"/>
    <w:rsid w:val="00204799"/>
    <w:rsid w:val="00204B8D"/>
    <w:rsid w:val="00204EBE"/>
    <w:rsid w:val="00205131"/>
    <w:rsid w:val="002051EA"/>
    <w:rsid w:val="00205B05"/>
    <w:rsid w:val="002060C2"/>
    <w:rsid w:val="00206D91"/>
    <w:rsid w:val="00206EED"/>
    <w:rsid w:val="00207023"/>
    <w:rsid w:val="0020765F"/>
    <w:rsid w:val="00207674"/>
    <w:rsid w:val="002076D5"/>
    <w:rsid w:val="00207C9E"/>
    <w:rsid w:val="00210B8A"/>
    <w:rsid w:val="002111F3"/>
    <w:rsid w:val="002117F4"/>
    <w:rsid w:val="002118E8"/>
    <w:rsid w:val="00212024"/>
    <w:rsid w:val="00212116"/>
    <w:rsid w:val="002125AD"/>
    <w:rsid w:val="00212798"/>
    <w:rsid w:val="00213180"/>
    <w:rsid w:val="002136EF"/>
    <w:rsid w:val="00213A5A"/>
    <w:rsid w:val="00213C0E"/>
    <w:rsid w:val="00213D58"/>
    <w:rsid w:val="00213EB4"/>
    <w:rsid w:val="002142CA"/>
    <w:rsid w:val="0021481A"/>
    <w:rsid w:val="00214D1A"/>
    <w:rsid w:val="00214EEA"/>
    <w:rsid w:val="00214FBE"/>
    <w:rsid w:val="00215254"/>
    <w:rsid w:val="00215ADA"/>
    <w:rsid w:val="00216326"/>
    <w:rsid w:val="00216648"/>
    <w:rsid w:val="00216651"/>
    <w:rsid w:val="0021671E"/>
    <w:rsid w:val="00216AAD"/>
    <w:rsid w:val="00216C9A"/>
    <w:rsid w:val="00216D51"/>
    <w:rsid w:val="00217096"/>
    <w:rsid w:val="00217C7A"/>
    <w:rsid w:val="00217E93"/>
    <w:rsid w:val="00217FC2"/>
    <w:rsid w:val="00220265"/>
    <w:rsid w:val="0022027B"/>
    <w:rsid w:val="00220699"/>
    <w:rsid w:val="00220CF8"/>
    <w:rsid w:val="00220D8D"/>
    <w:rsid w:val="0022151A"/>
    <w:rsid w:val="002215FD"/>
    <w:rsid w:val="002216C7"/>
    <w:rsid w:val="00221E48"/>
    <w:rsid w:val="00222173"/>
    <w:rsid w:val="00222228"/>
    <w:rsid w:val="00222370"/>
    <w:rsid w:val="00222CBD"/>
    <w:rsid w:val="002233F8"/>
    <w:rsid w:val="00223892"/>
    <w:rsid w:val="00223940"/>
    <w:rsid w:val="00223C1B"/>
    <w:rsid w:val="00223F09"/>
    <w:rsid w:val="00223FDF"/>
    <w:rsid w:val="002245C8"/>
    <w:rsid w:val="0022465E"/>
    <w:rsid w:val="00224A58"/>
    <w:rsid w:val="00225164"/>
    <w:rsid w:val="00225168"/>
    <w:rsid w:val="00227A5C"/>
    <w:rsid w:val="0023041D"/>
    <w:rsid w:val="00231057"/>
    <w:rsid w:val="00231363"/>
    <w:rsid w:val="00231385"/>
    <w:rsid w:val="002313F3"/>
    <w:rsid w:val="002316E9"/>
    <w:rsid w:val="00231877"/>
    <w:rsid w:val="0023269D"/>
    <w:rsid w:val="002326C1"/>
    <w:rsid w:val="00232A8A"/>
    <w:rsid w:val="00233032"/>
    <w:rsid w:val="002332F7"/>
    <w:rsid w:val="00233986"/>
    <w:rsid w:val="00233D50"/>
    <w:rsid w:val="00234372"/>
    <w:rsid w:val="002346A5"/>
    <w:rsid w:val="002346FD"/>
    <w:rsid w:val="00234798"/>
    <w:rsid w:val="00236146"/>
    <w:rsid w:val="00240C29"/>
    <w:rsid w:val="00240C3D"/>
    <w:rsid w:val="00240D9B"/>
    <w:rsid w:val="002413A5"/>
    <w:rsid w:val="00241466"/>
    <w:rsid w:val="00241F56"/>
    <w:rsid w:val="002421FC"/>
    <w:rsid w:val="00242239"/>
    <w:rsid w:val="00242676"/>
    <w:rsid w:val="00243076"/>
    <w:rsid w:val="002433B0"/>
    <w:rsid w:val="002433D6"/>
    <w:rsid w:val="00243641"/>
    <w:rsid w:val="00243BE3"/>
    <w:rsid w:val="0024415B"/>
    <w:rsid w:val="00244642"/>
    <w:rsid w:val="00244D15"/>
    <w:rsid w:val="00244E1B"/>
    <w:rsid w:val="00245445"/>
    <w:rsid w:val="00245474"/>
    <w:rsid w:val="00245FB5"/>
    <w:rsid w:val="0024629F"/>
    <w:rsid w:val="002462FC"/>
    <w:rsid w:val="00246417"/>
    <w:rsid w:val="002466EF"/>
    <w:rsid w:val="00246916"/>
    <w:rsid w:val="00247270"/>
    <w:rsid w:val="0024752F"/>
    <w:rsid w:val="00247C3E"/>
    <w:rsid w:val="002500E6"/>
    <w:rsid w:val="00250178"/>
    <w:rsid w:val="00250302"/>
    <w:rsid w:val="002503BA"/>
    <w:rsid w:val="00250600"/>
    <w:rsid w:val="002509DA"/>
    <w:rsid w:val="00251005"/>
    <w:rsid w:val="0025173F"/>
    <w:rsid w:val="00251963"/>
    <w:rsid w:val="00251F57"/>
    <w:rsid w:val="0025203C"/>
    <w:rsid w:val="0025220D"/>
    <w:rsid w:val="002529E3"/>
    <w:rsid w:val="00252E78"/>
    <w:rsid w:val="00252F17"/>
    <w:rsid w:val="00253194"/>
    <w:rsid w:val="00253238"/>
    <w:rsid w:val="0025359A"/>
    <w:rsid w:val="002539F9"/>
    <w:rsid w:val="00253D47"/>
    <w:rsid w:val="002545AB"/>
    <w:rsid w:val="00254667"/>
    <w:rsid w:val="0025469B"/>
    <w:rsid w:val="00254BBE"/>
    <w:rsid w:val="00254DAC"/>
    <w:rsid w:val="00254F00"/>
    <w:rsid w:val="00255101"/>
    <w:rsid w:val="002553EF"/>
    <w:rsid w:val="0025556C"/>
    <w:rsid w:val="002555A1"/>
    <w:rsid w:val="002557F9"/>
    <w:rsid w:val="002559EF"/>
    <w:rsid w:val="0025637F"/>
    <w:rsid w:val="002567D3"/>
    <w:rsid w:val="00256C8E"/>
    <w:rsid w:val="00256E58"/>
    <w:rsid w:val="002572C6"/>
    <w:rsid w:val="00257669"/>
    <w:rsid w:val="00257837"/>
    <w:rsid w:val="00257A26"/>
    <w:rsid w:val="00257C58"/>
    <w:rsid w:val="002605A7"/>
    <w:rsid w:val="00260847"/>
    <w:rsid w:val="00261653"/>
    <w:rsid w:val="0026189C"/>
    <w:rsid w:val="002622CC"/>
    <w:rsid w:val="00262391"/>
    <w:rsid w:val="00263152"/>
    <w:rsid w:val="0026368D"/>
    <w:rsid w:val="00263A27"/>
    <w:rsid w:val="0026424C"/>
    <w:rsid w:val="002642FC"/>
    <w:rsid w:val="0026495C"/>
    <w:rsid w:val="0026544D"/>
    <w:rsid w:val="00265FB5"/>
    <w:rsid w:val="002669E7"/>
    <w:rsid w:val="00266AF5"/>
    <w:rsid w:val="00266D04"/>
    <w:rsid w:val="002672C4"/>
    <w:rsid w:val="002674FC"/>
    <w:rsid w:val="00267651"/>
    <w:rsid w:val="00267867"/>
    <w:rsid w:val="002701ED"/>
    <w:rsid w:val="0027076E"/>
    <w:rsid w:val="0027080C"/>
    <w:rsid w:val="00270FD8"/>
    <w:rsid w:val="002710FF"/>
    <w:rsid w:val="002715E5"/>
    <w:rsid w:val="00271642"/>
    <w:rsid w:val="00271A30"/>
    <w:rsid w:val="00271AF4"/>
    <w:rsid w:val="00272747"/>
    <w:rsid w:val="00272812"/>
    <w:rsid w:val="0027321F"/>
    <w:rsid w:val="00273557"/>
    <w:rsid w:val="00273AE1"/>
    <w:rsid w:val="00273AF1"/>
    <w:rsid w:val="00273EB1"/>
    <w:rsid w:val="002742C4"/>
    <w:rsid w:val="002744A6"/>
    <w:rsid w:val="002745D1"/>
    <w:rsid w:val="0027478C"/>
    <w:rsid w:val="002747FE"/>
    <w:rsid w:val="002749F4"/>
    <w:rsid w:val="00274CEA"/>
    <w:rsid w:val="00275441"/>
    <w:rsid w:val="00275BE1"/>
    <w:rsid w:val="002762BC"/>
    <w:rsid w:val="002763DB"/>
    <w:rsid w:val="00276E87"/>
    <w:rsid w:val="00277842"/>
    <w:rsid w:val="00277E99"/>
    <w:rsid w:val="00280101"/>
    <w:rsid w:val="00280569"/>
    <w:rsid w:val="002807FE"/>
    <w:rsid w:val="00281237"/>
    <w:rsid w:val="0028159B"/>
    <w:rsid w:val="002818C1"/>
    <w:rsid w:val="002822BC"/>
    <w:rsid w:val="00282934"/>
    <w:rsid w:val="00283343"/>
    <w:rsid w:val="00283475"/>
    <w:rsid w:val="00283765"/>
    <w:rsid w:val="002841B8"/>
    <w:rsid w:val="002843A3"/>
    <w:rsid w:val="00284488"/>
    <w:rsid w:val="0028457F"/>
    <w:rsid w:val="00284996"/>
    <w:rsid w:val="00284D15"/>
    <w:rsid w:val="00285044"/>
    <w:rsid w:val="002852B7"/>
    <w:rsid w:val="0028534D"/>
    <w:rsid w:val="00285594"/>
    <w:rsid w:val="00285654"/>
    <w:rsid w:val="00285B0D"/>
    <w:rsid w:val="00285BC7"/>
    <w:rsid w:val="0028636E"/>
    <w:rsid w:val="00286740"/>
    <w:rsid w:val="00286AC4"/>
    <w:rsid w:val="00286C29"/>
    <w:rsid w:val="00287643"/>
    <w:rsid w:val="00287F6C"/>
    <w:rsid w:val="002900F3"/>
    <w:rsid w:val="00290163"/>
    <w:rsid w:val="002904C4"/>
    <w:rsid w:val="002907AE"/>
    <w:rsid w:val="002907DC"/>
    <w:rsid w:val="00290876"/>
    <w:rsid w:val="00290C55"/>
    <w:rsid w:val="00290EE6"/>
    <w:rsid w:val="00291A08"/>
    <w:rsid w:val="00291FA2"/>
    <w:rsid w:val="002924AD"/>
    <w:rsid w:val="0029281E"/>
    <w:rsid w:val="00292884"/>
    <w:rsid w:val="00292971"/>
    <w:rsid w:val="00292EC1"/>
    <w:rsid w:val="00293051"/>
    <w:rsid w:val="00293385"/>
    <w:rsid w:val="0029338A"/>
    <w:rsid w:val="002939EB"/>
    <w:rsid w:val="00293D1E"/>
    <w:rsid w:val="00294726"/>
    <w:rsid w:val="0029481A"/>
    <w:rsid w:val="00294B02"/>
    <w:rsid w:val="00294C99"/>
    <w:rsid w:val="00294D83"/>
    <w:rsid w:val="00295917"/>
    <w:rsid w:val="0029593D"/>
    <w:rsid w:val="00295A11"/>
    <w:rsid w:val="00295C97"/>
    <w:rsid w:val="002961BB"/>
    <w:rsid w:val="0029628E"/>
    <w:rsid w:val="002968B1"/>
    <w:rsid w:val="002968FE"/>
    <w:rsid w:val="00296AE1"/>
    <w:rsid w:val="00296F46"/>
    <w:rsid w:val="0029717D"/>
    <w:rsid w:val="00297899"/>
    <w:rsid w:val="00297C07"/>
    <w:rsid w:val="002A1277"/>
    <w:rsid w:val="002A1772"/>
    <w:rsid w:val="002A204B"/>
    <w:rsid w:val="002A2161"/>
    <w:rsid w:val="002A29F2"/>
    <w:rsid w:val="002A33F6"/>
    <w:rsid w:val="002A3BD8"/>
    <w:rsid w:val="002A3C2E"/>
    <w:rsid w:val="002A4706"/>
    <w:rsid w:val="002A4845"/>
    <w:rsid w:val="002A4F45"/>
    <w:rsid w:val="002A50A9"/>
    <w:rsid w:val="002A561C"/>
    <w:rsid w:val="002A5F57"/>
    <w:rsid w:val="002A6CBF"/>
    <w:rsid w:val="002A6D63"/>
    <w:rsid w:val="002A7048"/>
    <w:rsid w:val="002A70B7"/>
    <w:rsid w:val="002A748F"/>
    <w:rsid w:val="002B0238"/>
    <w:rsid w:val="002B02E8"/>
    <w:rsid w:val="002B0384"/>
    <w:rsid w:val="002B05FE"/>
    <w:rsid w:val="002B1060"/>
    <w:rsid w:val="002B1377"/>
    <w:rsid w:val="002B14CD"/>
    <w:rsid w:val="002B2304"/>
    <w:rsid w:val="002B2551"/>
    <w:rsid w:val="002B25B2"/>
    <w:rsid w:val="002B25DE"/>
    <w:rsid w:val="002B2668"/>
    <w:rsid w:val="002B2B8E"/>
    <w:rsid w:val="002B2EF8"/>
    <w:rsid w:val="002B323C"/>
    <w:rsid w:val="002B3244"/>
    <w:rsid w:val="002B3E0D"/>
    <w:rsid w:val="002B3E89"/>
    <w:rsid w:val="002B484C"/>
    <w:rsid w:val="002B490A"/>
    <w:rsid w:val="002B4D3E"/>
    <w:rsid w:val="002B4F73"/>
    <w:rsid w:val="002B5227"/>
    <w:rsid w:val="002B5B7A"/>
    <w:rsid w:val="002B5C17"/>
    <w:rsid w:val="002B5D34"/>
    <w:rsid w:val="002B6133"/>
    <w:rsid w:val="002B6745"/>
    <w:rsid w:val="002B695A"/>
    <w:rsid w:val="002B6BB4"/>
    <w:rsid w:val="002B6E51"/>
    <w:rsid w:val="002B73E2"/>
    <w:rsid w:val="002B7904"/>
    <w:rsid w:val="002B79DA"/>
    <w:rsid w:val="002B7F97"/>
    <w:rsid w:val="002C0110"/>
    <w:rsid w:val="002C0304"/>
    <w:rsid w:val="002C079D"/>
    <w:rsid w:val="002C096A"/>
    <w:rsid w:val="002C12D6"/>
    <w:rsid w:val="002C12D9"/>
    <w:rsid w:val="002C18B7"/>
    <w:rsid w:val="002C1B26"/>
    <w:rsid w:val="002C1EB8"/>
    <w:rsid w:val="002C1F28"/>
    <w:rsid w:val="002C23BF"/>
    <w:rsid w:val="002C24D7"/>
    <w:rsid w:val="002C286D"/>
    <w:rsid w:val="002C2CAC"/>
    <w:rsid w:val="002C2F4E"/>
    <w:rsid w:val="002C30BA"/>
    <w:rsid w:val="002C33B7"/>
    <w:rsid w:val="002C3578"/>
    <w:rsid w:val="002C3AD2"/>
    <w:rsid w:val="002C3ED6"/>
    <w:rsid w:val="002C418B"/>
    <w:rsid w:val="002C4201"/>
    <w:rsid w:val="002C468E"/>
    <w:rsid w:val="002C4D33"/>
    <w:rsid w:val="002C522A"/>
    <w:rsid w:val="002C52BD"/>
    <w:rsid w:val="002C6075"/>
    <w:rsid w:val="002C64F3"/>
    <w:rsid w:val="002C6996"/>
    <w:rsid w:val="002C69F6"/>
    <w:rsid w:val="002C6C5B"/>
    <w:rsid w:val="002C7537"/>
    <w:rsid w:val="002C7F07"/>
    <w:rsid w:val="002D00C7"/>
    <w:rsid w:val="002D030C"/>
    <w:rsid w:val="002D0399"/>
    <w:rsid w:val="002D0882"/>
    <w:rsid w:val="002D0CBD"/>
    <w:rsid w:val="002D1067"/>
    <w:rsid w:val="002D11C6"/>
    <w:rsid w:val="002D1252"/>
    <w:rsid w:val="002D17E3"/>
    <w:rsid w:val="002D2739"/>
    <w:rsid w:val="002D2B07"/>
    <w:rsid w:val="002D2CAE"/>
    <w:rsid w:val="002D2DC4"/>
    <w:rsid w:val="002D2FA5"/>
    <w:rsid w:val="002D31D9"/>
    <w:rsid w:val="002D3AE3"/>
    <w:rsid w:val="002D3F6E"/>
    <w:rsid w:val="002D3FB5"/>
    <w:rsid w:val="002D4760"/>
    <w:rsid w:val="002D516B"/>
    <w:rsid w:val="002D51C1"/>
    <w:rsid w:val="002D527A"/>
    <w:rsid w:val="002D5811"/>
    <w:rsid w:val="002D5FBC"/>
    <w:rsid w:val="002D6978"/>
    <w:rsid w:val="002D6A0C"/>
    <w:rsid w:val="002D6A9D"/>
    <w:rsid w:val="002D72DE"/>
    <w:rsid w:val="002D7651"/>
    <w:rsid w:val="002D7656"/>
    <w:rsid w:val="002D7BAD"/>
    <w:rsid w:val="002D7BFC"/>
    <w:rsid w:val="002E029F"/>
    <w:rsid w:val="002E090F"/>
    <w:rsid w:val="002E0A5C"/>
    <w:rsid w:val="002E0E3A"/>
    <w:rsid w:val="002E11C3"/>
    <w:rsid w:val="002E130D"/>
    <w:rsid w:val="002E1ADD"/>
    <w:rsid w:val="002E1AFB"/>
    <w:rsid w:val="002E1EDB"/>
    <w:rsid w:val="002E20E4"/>
    <w:rsid w:val="002E2255"/>
    <w:rsid w:val="002E2470"/>
    <w:rsid w:val="002E2C27"/>
    <w:rsid w:val="002E2D64"/>
    <w:rsid w:val="002E2EA4"/>
    <w:rsid w:val="002E2F63"/>
    <w:rsid w:val="002E339C"/>
    <w:rsid w:val="002E4150"/>
    <w:rsid w:val="002E43D0"/>
    <w:rsid w:val="002E49A6"/>
    <w:rsid w:val="002E4C11"/>
    <w:rsid w:val="002E5800"/>
    <w:rsid w:val="002E5EF1"/>
    <w:rsid w:val="002E6B9E"/>
    <w:rsid w:val="002E6EAB"/>
    <w:rsid w:val="002E7799"/>
    <w:rsid w:val="002E7F57"/>
    <w:rsid w:val="002F013B"/>
    <w:rsid w:val="002F03EF"/>
    <w:rsid w:val="002F0511"/>
    <w:rsid w:val="002F0637"/>
    <w:rsid w:val="002F094A"/>
    <w:rsid w:val="002F0E98"/>
    <w:rsid w:val="002F1617"/>
    <w:rsid w:val="002F209C"/>
    <w:rsid w:val="002F2AA4"/>
    <w:rsid w:val="002F2D6B"/>
    <w:rsid w:val="002F37A8"/>
    <w:rsid w:val="002F37D0"/>
    <w:rsid w:val="002F3E25"/>
    <w:rsid w:val="002F4243"/>
    <w:rsid w:val="002F49EC"/>
    <w:rsid w:val="002F4E32"/>
    <w:rsid w:val="002F5021"/>
    <w:rsid w:val="002F50A5"/>
    <w:rsid w:val="002F50FC"/>
    <w:rsid w:val="002F5497"/>
    <w:rsid w:val="002F5679"/>
    <w:rsid w:val="002F56B6"/>
    <w:rsid w:val="002F58B5"/>
    <w:rsid w:val="002F5B09"/>
    <w:rsid w:val="002F6391"/>
    <w:rsid w:val="002F68BA"/>
    <w:rsid w:val="002F6AC3"/>
    <w:rsid w:val="002F6D4A"/>
    <w:rsid w:val="002F6DCF"/>
    <w:rsid w:val="002F748D"/>
    <w:rsid w:val="002F781A"/>
    <w:rsid w:val="002F7920"/>
    <w:rsid w:val="002F7EAC"/>
    <w:rsid w:val="00300566"/>
    <w:rsid w:val="003006DA"/>
    <w:rsid w:val="0030071E"/>
    <w:rsid w:val="00300C77"/>
    <w:rsid w:val="00300DE1"/>
    <w:rsid w:val="00300E8B"/>
    <w:rsid w:val="0030108C"/>
    <w:rsid w:val="003015BA"/>
    <w:rsid w:val="003016E2"/>
    <w:rsid w:val="00301C17"/>
    <w:rsid w:val="00301E6A"/>
    <w:rsid w:val="00301FBA"/>
    <w:rsid w:val="00302CD2"/>
    <w:rsid w:val="00302D9D"/>
    <w:rsid w:val="0030300D"/>
    <w:rsid w:val="00303208"/>
    <w:rsid w:val="00303427"/>
    <w:rsid w:val="0030350B"/>
    <w:rsid w:val="00303543"/>
    <w:rsid w:val="00303716"/>
    <w:rsid w:val="00303B0B"/>
    <w:rsid w:val="00303BB4"/>
    <w:rsid w:val="00303BC4"/>
    <w:rsid w:val="00303EAD"/>
    <w:rsid w:val="00304129"/>
    <w:rsid w:val="00304177"/>
    <w:rsid w:val="00304DDA"/>
    <w:rsid w:val="00304E0B"/>
    <w:rsid w:val="00304EE1"/>
    <w:rsid w:val="00305CF4"/>
    <w:rsid w:val="00305F56"/>
    <w:rsid w:val="003064E1"/>
    <w:rsid w:val="00306DB1"/>
    <w:rsid w:val="00307064"/>
    <w:rsid w:val="00307759"/>
    <w:rsid w:val="00307BFD"/>
    <w:rsid w:val="00307CF9"/>
    <w:rsid w:val="00307E09"/>
    <w:rsid w:val="00307E4B"/>
    <w:rsid w:val="00307F21"/>
    <w:rsid w:val="00310430"/>
    <w:rsid w:val="00310740"/>
    <w:rsid w:val="003114FA"/>
    <w:rsid w:val="00311BEA"/>
    <w:rsid w:val="00311D79"/>
    <w:rsid w:val="00312B38"/>
    <w:rsid w:val="00313799"/>
    <w:rsid w:val="003138A8"/>
    <w:rsid w:val="00313907"/>
    <w:rsid w:val="00313A44"/>
    <w:rsid w:val="00313E37"/>
    <w:rsid w:val="00314D1E"/>
    <w:rsid w:val="00315073"/>
    <w:rsid w:val="00315206"/>
    <w:rsid w:val="00315241"/>
    <w:rsid w:val="003153BB"/>
    <w:rsid w:val="003159D9"/>
    <w:rsid w:val="003168CD"/>
    <w:rsid w:val="00316A16"/>
    <w:rsid w:val="0031729F"/>
    <w:rsid w:val="003174F8"/>
    <w:rsid w:val="003175E9"/>
    <w:rsid w:val="00317FD8"/>
    <w:rsid w:val="00320487"/>
    <w:rsid w:val="003204FD"/>
    <w:rsid w:val="00320B2A"/>
    <w:rsid w:val="00320F20"/>
    <w:rsid w:val="00320F88"/>
    <w:rsid w:val="00321558"/>
    <w:rsid w:val="00321743"/>
    <w:rsid w:val="0032190B"/>
    <w:rsid w:val="00322176"/>
    <w:rsid w:val="00322BE4"/>
    <w:rsid w:val="00322F9A"/>
    <w:rsid w:val="00322FA8"/>
    <w:rsid w:val="00323599"/>
    <w:rsid w:val="0032450A"/>
    <w:rsid w:val="00324C8C"/>
    <w:rsid w:val="00324DD1"/>
    <w:rsid w:val="00325472"/>
    <w:rsid w:val="00325769"/>
    <w:rsid w:val="00325AC3"/>
    <w:rsid w:val="00326155"/>
    <w:rsid w:val="0032616B"/>
    <w:rsid w:val="003266F9"/>
    <w:rsid w:val="00326B55"/>
    <w:rsid w:val="003271C5"/>
    <w:rsid w:val="00327425"/>
    <w:rsid w:val="003275E0"/>
    <w:rsid w:val="00330207"/>
    <w:rsid w:val="00330509"/>
    <w:rsid w:val="003308A9"/>
    <w:rsid w:val="00330C3A"/>
    <w:rsid w:val="00330C3B"/>
    <w:rsid w:val="0033105F"/>
    <w:rsid w:val="003310A7"/>
    <w:rsid w:val="003311C5"/>
    <w:rsid w:val="00331432"/>
    <w:rsid w:val="00331492"/>
    <w:rsid w:val="00331696"/>
    <w:rsid w:val="00331D03"/>
    <w:rsid w:val="00332024"/>
    <w:rsid w:val="0033273D"/>
    <w:rsid w:val="00332972"/>
    <w:rsid w:val="00332FF3"/>
    <w:rsid w:val="0033309B"/>
    <w:rsid w:val="00333789"/>
    <w:rsid w:val="00333B5E"/>
    <w:rsid w:val="00334087"/>
    <w:rsid w:val="0033470F"/>
    <w:rsid w:val="00334766"/>
    <w:rsid w:val="00334776"/>
    <w:rsid w:val="00334B36"/>
    <w:rsid w:val="00334E1E"/>
    <w:rsid w:val="00335066"/>
    <w:rsid w:val="003352CE"/>
    <w:rsid w:val="00335348"/>
    <w:rsid w:val="00335F25"/>
    <w:rsid w:val="00336631"/>
    <w:rsid w:val="003368A9"/>
    <w:rsid w:val="00336E61"/>
    <w:rsid w:val="00337244"/>
    <w:rsid w:val="0033756B"/>
    <w:rsid w:val="00337793"/>
    <w:rsid w:val="00337851"/>
    <w:rsid w:val="00337863"/>
    <w:rsid w:val="00337CA7"/>
    <w:rsid w:val="00340786"/>
    <w:rsid w:val="00340CE0"/>
    <w:rsid w:val="003410AA"/>
    <w:rsid w:val="00341500"/>
    <w:rsid w:val="003418A7"/>
    <w:rsid w:val="00341B05"/>
    <w:rsid w:val="00342205"/>
    <w:rsid w:val="003423EB"/>
    <w:rsid w:val="00342901"/>
    <w:rsid w:val="003429F1"/>
    <w:rsid w:val="00342B71"/>
    <w:rsid w:val="00342EDD"/>
    <w:rsid w:val="0034309B"/>
    <w:rsid w:val="00343737"/>
    <w:rsid w:val="00343BB6"/>
    <w:rsid w:val="00344117"/>
    <w:rsid w:val="00344353"/>
    <w:rsid w:val="0034493D"/>
    <w:rsid w:val="00344A52"/>
    <w:rsid w:val="00344B38"/>
    <w:rsid w:val="00344F04"/>
    <w:rsid w:val="0034521D"/>
    <w:rsid w:val="003459AC"/>
    <w:rsid w:val="00345FA1"/>
    <w:rsid w:val="003464BD"/>
    <w:rsid w:val="00346D46"/>
    <w:rsid w:val="00346E32"/>
    <w:rsid w:val="0034755B"/>
    <w:rsid w:val="003475F8"/>
    <w:rsid w:val="00347982"/>
    <w:rsid w:val="00347A59"/>
    <w:rsid w:val="00347EC1"/>
    <w:rsid w:val="0035004A"/>
    <w:rsid w:val="00350336"/>
    <w:rsid w:val="00350EF3"/>
    <w:rsid w:val="003510C4"/>
    <w:rsid w:val="00351513"/>
    <w:rsid w:val="00351BD9"/>
    <w:rsid w:val="00351D96"/>
    <w:rsid w:val="003524F3"/>
    <w:rsid w:val="00352C2B"/>
    <w:rsid w:val="00352F76"/>
    <w:rsid w:val="0035338B"/>
    <w:rsid w:val="003533A4"/>
    <w:rsid w:val="0035368F"/>
    <w:rsid w:val="00353FDC"/>
    <w:rsid w:val="00354E8D"/>
    <w:rsid w:val="0035525B"/>
    <w:rsid w:val="003554A7"/>
    <w:rsid w:val="0035551E"/>
    <w:rsid w:val="00355651"/>
    <w:rsid w:val="00355C2D"/>
    <w:rsid w:val="00355C89"/>
    <w:rsid w:val="00355EBB"/>
    <w:rsid w:val="00356698"/>
    <w:rsid w:val="003566BC"/>
    <w:rsid w:val="00356CE8"/>
    <w:rsid w:val="00356E6D"/>
    <w:rsid w:val="00357974"/>
    <w:rsid w:val="003579F2"/>
    <w:rsid w:val="003579F9"/>
    <w:rsid w:val="00360058"/>
    <w:rsid w:val="00360470"/>
    <w:rsid w:val="00360BE6"/>
    <w:rsid w:val="00360D78"/>
    <w:rsid w:val="00361524"/>
    <w:rsid w:val="003615A7"/>
    <w:rsid w:val="00361EAF"/>
    <w:rsid w:val="00361FC7"/>
    <w:rsid w:val="00362463"/>
    <w:rsid w:val="0036257D"/>
    <w:rsid w:val="003628B0"/>
    <w:rsid w:val="00363014"/>
    <w:rsid w:val="0036316C"/>
    <w:rsid w:val="00363306"/>
    <w:rsid w:val="00363315"/>
    <w:rsid w:val="0036333F"/>
    <w:rsid w:val="003636BA"/>
    <w:rsid w:val="003637A5"/>
    <w:rsid w:val="00363C1A"/>
    <w:rsid w:val="00363D3D"/>
    <w:rsid w:val="00363E99"/>
    <w:rsid w:val="003641A6"/>
    <w:rsid w:val="00364563"/>
    <w:rsid w:val="00364580"/>
    <w:rsid w:val="00364D6E"/>
    <w:rsid w:val="00365690"/>
    <w:rsid w:val="0036577B"/>
    <w:rsid w:val="00365959"/>
    <w:rsid w:val="0036645D"/>
    <w:rsid w:val="00366ACD"/>
    <w:rsid w:val="00367033"/>
    <w:rsid w:val="00367362"/>
    <w:rsid w:val="003674D9"/>
    <w:rsid w:val="00367850"/>
    <w:rsid w:val="0037001F"/>
    <w:rsid w:val="0037017F"/>
    <w:rsid w:val="00370192"/>
    <w:rsid w:val="00370377"/>
    <w:rsid w:val="00370A1C"/>
    <w:rsid w:val="00370CE8"/>
    <w:rsid w:val="003710A2"/>
    <w:rsid w:val="00371321"/>
    <w:rsid w:val="00371384"/>
    <w:rsid w:val="00371EEF"/>
    <w:rsid w:val="00372965"/>
    <w:rsid w:val="00372C6F"/>
    <w:rsid w:val="00373A0B"/>
    <w:rsid w:val="00373E32"/>
    <w:rsid w:val="0037459F"/>
    <w:rsid w:val="003748CB"/>
    <w:rsid w:val="00374CB3"/>
    <w:rsid w:val="003750F8"/>
    <w:rsid w:val="00375136"/>
    <w:rsid w:val="00375A02"/>
    <w:rsid w:val="00375C31"/>
    <w:rsid w:val="00376467"/>
    <w:rsid w:val="0037671F"/>
    <w:rsid w:val="00376A38"/>
    <w:rsid w:val="00376DED"/>
    <w:rsid w:val="003770CC"/>
    <w:rsid w:val="0037735E"/>
    <w:rsid w:val="00377580"/>
    <w:rsid w:val="00377B9F"/>
    <w:rsid w:val="00377E04"/>
    <w:rsid w:val="00377FA0"/>
    <w:rsid w:val="00380210"/>
    <w:rsid w:val="00380F3E"/>
    <w:rsid w:val="00380F49"/>
    <w:rsid w:val="003810AB"/>
    <w:rsid w:val="00381745"/>
    <w:rsid w:val="00381764"/>
    <w:rsid w:val="00382167"/>
    <w:rsid w:val="003823D5"/>
    <w:rsid w:val="00382926"/>
    <w:rsid w:val="0038300C"/>
    <w:rsid w:val="0038363F"/>
    <w:rsid w:val="00383E33"/>
    <w:rsid w:val="003849E0"/>
    <w:rsid w:val="00384DDA"/>
    <w:rsid w:val="00385316"/>
    <w:rsid w:val="00385328"/>
    <w:rsid w:val="003854E9"/>
    <w:rsid w:val="0038577D"/>
    <w:rsid w:val="00385BBA"/>
    <w:rsid w:val="00385C8A"/>
    <w:rsid w:val="003862A1"/>
    <w:rsid w:val="00386827"/>
    <w:rsid w:val="00386BAA"/>
    <w:rsid w:val="003870FA"/>
    <w:rsid w:val="003873C6"/>
    <w:rsid w:val="0038746F"/>
    <w:rsid w:val="003878ED"/>
    <w:rsid w:val="00387FF5"/>
    <w:rsid w:val="00390575"/>
    <w:rsid w:val="003906CD"/>
    <w:rsid w:val="00390798"/>
    <w:rsid w:val="00391125"/>
    <w:rsid w:val="0039136E"/>
    <w:rsid w:val="003913BD"/>
    <w:rsid w:val="00391F0E"/>
    <w:rsid w:val="0039211A"/>
    <w:rsid w:val="003922B1"/>
    <w:rsid w:val="0039296F"/>
    <w:rsid w:val="00392AFB"/>
    <w:rsid w:val="00392B31"/>
    <w:rsid w:val="003930B5"/>
    <w:rsid w:val="0039334A"/>
    <w:rsid w:val="00393394"/>
    <w:rsid w:val="00393468"/>
    <w:rsid w:val="00393585"/>
    <w:rsid w:val="003935B9"/>
    <w:rsid w:val="003935CB"/>
    <w:rsid w:val="00395CCF"/>
    <w:rsid w:val="00396338"/>
    <w:rsid w:val="00396749"/>
    <w:rsid w:val="003967B0"/>
    <w:rsid w:val="003967F8"/>
    <w:rsid w:val="00396958"/>
    <w:rsid w:val="00396B1E"/>
    <w:rsid w:val="00396BCA"/>
    <w:rsid w:val="00396E17"/>
    <w:rsid w:val="0039723A"/>
    <w:rsid w:val="00397280"/>
    <w:rsid w:val="003973DD"/>
    <w:rsid w:val="00397536"/>
    <w:rsid w:val="00397654"/>
    <w:rsid w:val="003978B3"/>
    <w:rsid w:val="003A0314"/>
    <w:rsid w:val="003A06C5"/>
    <w:rsid w:val="003A0890"/>
    <w:rsid w:val="003A0A29"/>
    <w:rsid w:val="003A0C97"/>
    <w:rsid w:val="003A1AF7"/>
    <w:rsid w:val="003A221F"/>
    <w:rsid w:val="003A257E"/>
    <w:rsid w:val="003A25F4"/>
    <w:rsid w:val="003A295A"/>
    <w:rsid w:val="003A3159"/>
    <w:rsid w:val="003A39C7"/>
    <w:rsid w:val="003A3A4D"/>
    <w:rsid w:val="003A3AC4"/>
    <w:rsid w:val="003A3D0E"/>
    <w:rsid w:val="003A3D9A"/>
    <w:rsid w:val="003A409D"/>
    <w:rsid w:val="003A4129"/>
    <w:rsid w:val="003A420E"/>
    <w:rsid w:val="003A4801"/>
    <w:rsid w:val="003A48A3"/>
    <w:rsid w:val="003A4AAF"/>
    <w:rsid w:val="003A4B2E"/>
    <w:rsid w:val="003A50BB"/>
    <w:rsid w:val="003A54BC"/>
    <w:rsid w:val="003A5737"/>
    <w:rsid w:val="003A589B"/>
    <w:rsid w:val="003A58AF"/>
    <w:rsid w:val="003A6AAA"/>
    <w:rsid w:val="003A6CAE"/>
    <w:rsid w:val="003A7236"/>
    <w:rsid w:val="003A7320"/>
    <w:rsid w:val="003A7911"/>
    <w:rsid w:val="003B019B"/>
    <w:rsid w:val="003B01E4"/>
    <w:rsid w:val="003B088E"/>
    <w:rsid w:val="003B0AE3"/>
    <w:rsid w:val="003B0DA9"/>
    <w:rsid w:val="003B1014"/>
    <w:rsid w:val="003B106B"/>
    <w:rsid w:val="003B1188"/>
    <w:rsid w:val="003B1EA1"/>
    <w:rsid w:val="003B1F25"/>
    <w:rsid w:val="003B27DF"/>
    <w:rsid w:val="003B2E07"/>
    <w:rsid w:val="003B3656"/>
    <w:rsid w:val="003B3951"/>
    <w:rsid w:val="003B3BDF"/>
    <w:rsid w:val="003B43D8"/>
    <w:rsid w:val="003B44AF"/>
    <w:rsid w:val="003B46C7"/>
    <w:rsid w:val="003B4719"/>
    <w:rsid w:val="003B4787"/>
    <w:rsid w:val="003B4C32"/>
    <w:rsid w:val="003B4F0C"/>
    <w:rsid w:val="003B50BA"/>
    <w:rsid w:val="003B5452"/>
    <w:rsid w:val="003B5717"/>
    <w:rsid w:val="003B58FE"/>
    <w:rsid w:val="003B5B2E"/>
    <w:rsid w:val="003B5CAF"/>
    <w:rsid w:val="003B5EA5"/>
    <w:rsid w:val="003B6166"/>
    <w:rsid w:val="003B64E5"/>
    <w:rsid w:val="003B6534"/>
    <w:rsid w:val="003B6927"/>
    <w:rsid w:val="003B696F"/>
    <w:rsid w:val="003B6D41"/>
    <w:rsid w:val="003B768B"/>
    <w:rsid w:val="003B76CE"/>
    <w:rsid w:val="003B7749"/>
    <w:rsid w:val="003B7C7B"/>
    <w:rsid w:val="003B7CA4"/>
    <w:rsid w:val="003C0E58"/>
    <w:rsid w:val="003C0F84"/>
    <w:rsid w:val="003C11B2"/>
    <w:rsid w:val="003C12D2"/>
    <w:rsid w:val="003C1300"/>
    <w:rsid w:val="003C14B1"/>
    <w:rsid w:val="003C1591"/>
    <w:rsid w:val="003C199E"/>
    <w:rsid w:val="003C218F"/>
    <w:rsid w:val="003C2280"/>
    <w:rsid w:val="003C2AA7"/>
    <w:rsid w:val="003C2F47"/>
    <w:rsid w:val="003C3846"/>
    <w:rsid w:val="003C38C8"/>
    <w:rsid w:val="003C44D1"/>
    <w:rsid w:val="003C4733"/>
    <w:rsid w:val="003C48A1"/>
    <w:rsid w:val="003C4E8C"/>
    <w:rsid w:val="003C4F06"/>
    <w:rsid w:val="003C5A14"/>
    <w:rsid w:val="003C5D9C"/>
    <w:rsid w:val="003C5DE7"/>
    <w:rsid w:val="003C6080"/>
    <w:rsid w:val="003C634A"/>
    <w:rsid w:val="003C6592"/>
    <w:rsid w:val="003C667C"/>
    <w:rsid w:val="003C6AB1"/>
    <w:rsid w:val="003C717C"/>
    <w:rsid w:val="003C7335"/>
    <w:rsid w:val="003C7651"/>
    <w:rsid w:val="003C7879"/>
    <w:rsid w:val="003C79DB"/>
    <w:rsid w:val="003D029E"/>
    <w:rsid w:val="003D067C"/>
    <w:rsid w:val="003D0906"/>
    <w:rsid w:val="003D13D8"/>
    <w:rsid w:val="003D140A"/>
    <w:rsid w:val="003D15B7"/>
    <w:rsid w:val="003D15ED"/>
    <w:rsid w:val="003D1608"/>
    <w:rsid w:val="003D20E1"/>
    <w:rsid w:val="003D2486"/>
    <w:rsid w:val="003D295A"/>
    <w:rsid w:val="003D2A35"/>
    <w:rsid w:val="003D2A9A"/>
    <w:rsid w:val="003D2D5A"/>
    <w:rsid w:val="003D321B"/>
    <w:rsid w:val="003D35FA"/>
    <w:rsid w:val="003D39EF"/>
    <w:rsid w:val="003D41BA"/>
    <w:rsid w:val="003D41C7"/>
    <w:rsid w:val="003D420B"/>
    <w:rsid w:val="003D45E1"/>
    <w:rsid w:val="003D4CC1"/>
    <w:rsid w:val="003D529E"/>
    <w:rsid w:val="003D5427"/>
    <w:rsid w:val="003D6474"/>
    <w:rsid w:val="003D664F"/>
    <w:rsid w:val="003D6670"/>
    <w:rsid w:val="003D6A09"/>
    <w:rsid w:val="003D6B36"/>
    <w:rsid w:val="003D6F67"/>
    <w:rsid w:val="003D707F"/>
    <w:rsid w:val="003D71D5"/>
    <w:rsid w:val="003D74EF"/>
    <w:rsid w:val="003D7671"/>
    <w:rsid w:val="003D7C9F"/>
    <w:rsid w:val="003E0086"/>
    <w:rsid w:val="003E0CAF"/>
    <w:rsid w:val="003E1122"/>
    <w:rsid w:val="003E1207"/>
    <w:rsid w:val="003E12C9"/>
    <w:rsid w:val="003E1604"/>
    <w:rsid w:val="003E1766"/>
    <w:rsid w:val="003E1858"/>
    <w:rsid w:val="003E18F5"/>
    <w:rsid w:val="003E1A61"/>
    <w:rsid w:val="003E21C5"/>
    <w:rsid w:val="003E279B"/>
    <w:rsid w:val="003E2AB7"/>
    <w:rsid w:val="003E2F36"/>
    <w:rsid w:val="003E2FB3"/>
    <w:rsid w:val="003E37A0"/>
    <w:rsid w:val="003E393E"/>
    <w:rsid w:val="003E3CFE"/>
    <w:rsid w:val="003E4066"/>
    <w:rsid w:val="003E46CB"/>
    <w:rsid w:val="003E4AE0"/>
    <w:rsid w:val="003E507E"/>
    <w:rsid w:val="003E5394"/>
    <w:rsid w:val="003E54F0"/>
    <w:rsid w:val="003E5CF4"/>
    <w:rsid w:val="003E678B"/>
    <w:rsid w:val="003E6923"/>
    <w:rsid w:val="003E6CCA"/>
    <w:rsid w:val="003E6D5E"/>
    <w:rsid w:val="003E6D93"/>
    <w:rsid w:val="003E73AA"/>
    <w:rsid w:val="003E76C6"/>
    <w:rsid w:val="003E7FBC"/>
    <w:rsid w:val="003F0186"/>
    <w:rsid w:val="003F038A"/>
    <w:rsid w:val="003F0555"/>
    <w:rsid w:val="003F09E9"/>
    <w:rsid w:val="003F0D0F"/>
    <w:rsid w:val="003F11D8"/>
    <w:rsid w:val="003F1222"/>
    <w:rsid w:val="003F1303"/>
    <w:rsid w:val="003F1AAC"/>
    <w:rsid w:val="003F1C6D"/>
    <w:rsid w:val="003F1D12"/>
    <w:rsid w:val="003F1E3F"/>
    <w:rsid w:val="003F1ECD"/>
    <w:rsid w:val="003F2C12"/>
    <w:rsid w:val="003F3195"/>
    <w:rsid w:val="003F32A8"/>
    <w:rsid w:val="003F34C4"/>
    <w:rsid w:val="003F3673"/>
    <w:rsid w:val="003F3760"/>
    <w:rsid w:val="003F3F81"/>
    <w:rsid w:val="003F442C"/>
    <w:rsid w:val="003F465F"/>
    <w:rsid w:val="003F47AB"/>
    <w:rsid w:val="003F47D1"/>
    <w:rsid w:val="003F4B6C"/>
    <w:rsid w:val="003F4DAF"/>
    <w:rsid w:val="003F5A39"/>
    <w:rsid w:val="003F5EE6"/>
    <w:rsid w:val="003F6039"/>
    <w:rsid w:val="003F62B7"/>
    <w:rsid w:val="003F67D7"/>
    <w:rsid w:val="003F7144"/>
    <w:rsid w:val="003F74EF"/>
    <w:rsid w:val="003F769F"/>
    <w:rsid w:val="00400195"/>
    <w:rsid w:val="00400758"/>
    <w:rsid w:val="00400A77"/>
    <w:rsid w:val="00401262"/>
    <w:rsid w:val="00401B6E"/>
    <w:rsid w:val="0040291B"/>
    <w:rsid w:val="0040364C"/>
    <w:rsid w:val="00404123"/>
    <w:rsid w:val="00404550"/>
    <w:rsid w:val="00404B91"/>
    <w:rsid w:val="00404BB2"/>
    <w:rsid w:val="0040541F"/>
    <w:rsid w:val="00405424"/>
    <w:rsid w:val="00405C8A"/>
    <w:rsid w:val="00406889"/>
    <w:rsid w:val="00406DEE"/>
    <w:rsid w:val="00406E48"/>
    <w:rsid w:val="004072DC"/>
    <w:rsid w:val="004075B4"/>
    <w:rsid w:val="00407C6C"/>
    <w:rsid w:val="00410081"/>
    <w:rsid w:val="00410502"/>
    <w:rsid w:val="00410971"/>
    <w:rsid w:val="00410E96"/>
    <w:rsid w:val="00410F5C"/>
    <w:rsid w:val="00411C1D"/>
    <w:rsid w:val="00411FD7"/>
    <w:rsid w:val="0041213F"/>
    <w:rsid w:val="0041214B"/>
    <w:rsid w:val="0041242B"/>
    <w:rsid w:val="00412681"/>
    <w:rsid w:val="00412A04"/>
    <w:rsid w:val="00412C22"/>
    <w:rsid w:val="00412C54"/>
    <w:rsid w:val="00412DB7"/>
    <w:rsid w:val="0041307A"/>
    <w:rsid w:val="00413397"/>
    <w:rsid w:val="00413D02"/>
    <w:rsid w:val="00413DF7"/>
    <w:rsid w:val="004141EF"/>
    <w:rsid w:val="00414721"/>
    <w:rsid w:val="00414AA9"/>
    <w:rsid w:val="00414FC0"/>
    <w:rsid w:val="004150A8"/>
    <w:rsid w:val="0041538F"/>
    <w:rsid w:val="0041554C"/>
    <w:rsid w:val="004158E1"/>
    <w:rsid w:val="00415B20"/>
    <w:rsid w:val="00417B00"/>
    <w:rsid w:val="00417D0F"/>
    <w:rsid w:val="00417E9B"/>
    <w:rsid w:val="00417ECD"/>
    <w:rsid w:val="0042007E"/>
    <w:rsid w:val="00420473"/>
    <w:rsid w:val="00420694"/>
    <w:rsid w:val="00420703"/>
    <w:rsid w:val="0042081E"/>
    <w:rsid w:val="00420E0C"/>
    <w:rsid w:val="00421989"/>
    <w:rsid w:val="00421B40"/>
    <w:rsid w:val="00421C02"/>
    <w:rsid w:val="00422163"/>
    <w:rsid w:val="00422B00"/>
    <w:rsid w:val="00422F9A"/>
    <w:rsid w:val="0042331A"/>
    <w:rsid w:val="00423479"/>
    <w:rsid w:val="004240BB"/>
    <w:rsid w:val="00424B49"/>
    <w:rsid w:val="00424BC0"/>
    <w:rsid w:val="00424CD9"/>
    <w:rsid w:val="00424EE9"/>
    <w:rsid w:val="00424F6E"/>
    <w:rsid w:val="00425365"/>
    <w:rsid w:val="00425A9F"/>
    <w:rsid w:val="00425C82"/>
    <w:rsid w:val="004261C5"/>
    <w:rsid w:val="004267BD"/>
    <w:rsid w:val="00426D00"/>
    <w:rsid w:val="00427071"/>
    <w:rsid w:val="00427AC9"/>
    <w:rsid w:val="00427DF3"/>
    <w:rsid w:val="0043000A"/>
    <w:rsid w:val="0043033C"/>
    <w:rsid w:val="004304BD"/>
    <w:rsid w:val="00430A35"/>
    <w:rsid w:val="00430E1F"/>
    <w:rsid w:val="00431223"/>
    <w:rsid w:val="004312F7"/>
    <w:rsid w:val="004318F3"/>
    <w:rsid w:val="0043232C"/>
    <w:rsid w:val="00432C14"/>
    <w:rsid w:val="00432D80"/>
    <w:rsid w:val="00432EC8"/>
    <w:rsid w:val="00433ACC"/>
    <w:rsid w:val="004341E9"/>
    <w:rsid w:val="00434323"/>
    <w:rsid w:val="00434720"/>
    <w:rsid w:val="00434C76"/>
    <w:rsid w:val="00434CA4"/>
    <w:rsid w:val="00434F97"/>
    <w:rsid w:val="00435664"/>
    <w:rsid w:val="00436AF2"/>
    <w:rsid w:val="00436C1D"/>
    <w:rsid w:val="00436D44"/>
    <w:rsid w:val="00437233"/>
    <w:rsid w:val="004379FE"/>
    <w:rsid w:val="00440002"/>
    <w:rsid w:val="00440C07"/>
    <w:rsid w:val="00440C48"/>
    <w:rsid w:val="00440D0E"/>
    <w:rsid w:val="00440D83"/>
    <w:rsid w:val="00440E3B"/>
    <w:rsid w:val="0044111B"/>
    <w:rsid w:val="00441985"/>
    <w:rsid w:val="00441E7C"/>
    <w:rsid w:val="00441F13"/>
    <w:rsid w:val="00441FF4"/>
    <w:rsid w:val="004437DC"/>
    <w:rsid w:val="00443A4C"/>
    <w:rsid w:val="004443AB"/>
    <w:rsid w:val="00444624"/>
    <w:rsid w:val="0044486A"/>
    <w:rsid w:val="004448DB"/>
    <w:rsid w:val="004450D0"/>
    <w:rsid w:val="0044527B"/>
    <w:rsid w:val="00445D17"/>
    <w:rsid w:val="00445E64"/>
    <w:rsid w:val="00445F93"/>
    <w:rsid w:val="0044645D"/>
    <w:rsid w:val="00446746"/>
    <w:rsid w:val="00446778"/>
    <w:rsid w:val="00446AD1"/>
    <w:rsid w:val="00446FF5"/>
    <w:rsid w:val="004473E1"/>
    <w:rsid w:val="00447435"/>
    <w:rsid w:val="00447467"/>
    <w:rsid w:val="00447BE4"/>
    <w:rsid w:val="00447CC7"/>
    <w:rsid w:val="004501C4"/>
    <w:rsid w:val="0045342A"/>
    <w:rsid w:val="00453531"/>
    <w:rsid w:val="004539F3"/>
    <w:rsid w:val="00453E52"/>
    <w:rsid w:val="00453F61"/>
    <w:rsid w:val="00454DCF"/>
    <w:rsid w:val="00454F37"/>
    <w:rsid w:val="00455072"/>
    <w:rsid w:val="004551C5"/>
    <w:rsid w:val="0045526D"/>
    <w:rsid w:val="0045536D"/>
    <w:rsid w:val="0045563A"/>
    <w:rsid w:val="00455C0B"/>
    <w:rsid w:val="00455F0D"/>
    <w:rsid w:val="00455F76"/>
    <w:rsid w:val="0045615C"/>
    <w:rsid w:val="00456918"/>
    <w:rsid w:val="00457452"/>
    <w:rsid w:val="00457468"/>
    <w:rsid w:val="00457539"/>
    <w:rsid w:val="00460676"/>
    <w:rsid w:val="00460959"/>
    <w:rsid w:val="00460A2F"/>
    <w:rsid w:val="00460DFC"/>
    <w:rsid w:val="00461390"/>
    <w:rsid w:val="00462344"/>
    <w:rsid w:val="00462792"/>
    <w:rsid w:val="00462882"/>
    <w:rsid w:val="00462DBD"/>
    <w:rsid w:val="00462DFC"/>
    <w:rsid w:val="00462EC3"/>
    <w:rsid w:val="00463713"/>
    <w:rsid w:val="00464A54"/>
    <w:rsid w:val="00464B57"/>
    <w:rsid w:val="00464CB3"/>
    <w:rsid w:val="00464F15"/>
    <w:rsid w:val="00465E1C"/>
    <w:rsid w:val="00466288"/>
    <w:rsid w:val="00466633"/>
    <w:rsid w:val="00466917"/>
    <w:rsid w:val="00466A68"/>
    <w:rsid w:val="00466E1F"/>
    <w:rsid w:val="0046788A"/>
    <w:rsid w:val="00467A07"/>
    <w:rsid w:val="00467DDF"/>
    <w:rsid w:val="00467E6F"/>
    <w:rsid w:val="0047033D"/>
    <w:rsid w:val="0047087C"/>
    <w:rsid w:val="004709CF"/>
    <w:rsid w:val="00470D72"/>
    <w:rsid w:val="0047104F"/>
    <w:rsid w:val="004712BA"/>
    <w:rsid w:val="004715DB"/>
    <w:rsid w:val="004717FC"/>
    <w:rsid w:val="00471DBD"/>
    <w:rsid w:val="00472AD8"/>
    <w:rsid w:val="00472C6D"/>
    <w:rsid w:val="00472D57"/>
    <w:rsid w:val="0047319E"/>
    <w:rsid w:val="0047343D"/>
    <w:rsid w:val="004737AB"/>
    <w:rsid w:val="004737D2"/>
    <w:rsid w:val="00474861"/>
    <w:rsid w:val="004749D1"/>
    <w:rsid w:val="004750E2"/>
    <w:rsid w:val="004756A4"/>
    <w:rsid w:val="0047572F"/>
    <w:rsid w:val="004757DD"/>
    <w:rsid w:val="00475A00"/>
    <w:rsid w:val="00475DE8"/>
    <w:rsid w:val="0047620B"/>
    <w:rsid w:val="004765C1"/>
    <w:rsid w:val="00476839"/>
    <w:rsid w:val="00477156"/>
    <w:rsid w:val="00477658"/>
    <w:rsid w:val="00477886"/>
    <w:rsid w:val="00480042"/>
    <w:rsid w:val="00480314"/>
    <w:rsid w:val="00480836"/>
    <w:rsid w:val="0048093C"/>
    <w:rsid w:val="00480C6C"/>
    <w:rsid w:val="004813F4"/>
    <w:rsid w:val="00481755"/>
    <w:rsid w:val="00481909"/>
    <w:rsid w:val="0048269A"/>
    <w:rsid w:val="00483CE2"/>
    <w:rsid w:val="00483E6B"/>
    <w:rsid w:val="00483EBC"/>
    <w:rsid w:val="004842F9"/>
    <w:rsid w:val="004847E2"/>
    <w:rsid w:val="00484846"/>
    <w:rsid w:val="00484C46"/>
    <w:rsid w:val="004856FD"/>
    <w:rsid w:val="0048633C"/>
    <w:rsid w:val="004865F3"/>
    <w:rsid w:val="00486E0F"/>
    <w:rsid w:val="00487507"/>
    <w:rsid w:val="00487663"/>
    <w:rsid w:val="004877CE"/>
    <w:rsid w:val="00487AA1"/>
    <w:rsid w:val="00487AA5"/>
    <w:rsid w:val="00487D87"/>
    <w:rsid w:val="0049005A"/>
    <w:rsid w:val="0049089F"/>
    <w:rsid w:val="0049099D"/>
    <w:rsid w:val="00490E4A"/>
    <w:rsid w:val="00490E94"/>
    <w:rsid w:val="00490EE9"/>
    <w:rsid w:val="004913DD"/>
    <w:rsid w:val="004914C9"/>
    <w:rsid w:val="00491AF2"/>
    <w:rsid w:val="00491DE1"/>
    <w:rsid w:val="00491F25"/>
    <w:rsid w:val="00491FB0"/>
    <w:rsid w:val="00492077"/>
    <w:rsid w:val="004920BE"/>
    <w:rsid w:val="004922CB"/>
    <w:rsid w:val="004923E3"/>
    <w:rsid w:val="00492652"/>
    <w:rsid w:val="00492788"/>
    <w:rsid w:val="00492CC9"/>
    <w:rsid w:val="004930C9"/>
    <w:rsid w:val="004937B0"/>
    <w:rsid w:val="00493F13"/>
    <w:rsid w:val="00494169"/>
    <w:rsid w:val="00494702"/>
    <w:rsid w:val="004948F2"/>
    <w:rsid w:val="004954B5"/>
    <w:rsid w:val="00495607"/>
    <w:rsid w:val="00495774"/>
    <w:rsid w:val="00495F75"/>
    <w:rsid w:val="00496151"/>
    <w:rsid w:val="00496379"/>
    <w:rsid w:val="0049641A"/>
    <w:rsid w:val="004968A8"/>
    <w:rsid w:val="004969CB"/>
    <w:rsid w:val="00496CB2"/>
    <w:rsid w:val="00496D6D"/>
    <w:rsid w:val="00497689"/>
    <w:rsid w:val="00497861"/>
    <w:rsid w:val="00497B8B"/>
    <w:rsid w:val="00497DD4"/>
    <w:rsid w:val="004A0111"/>
    <w:rsid w:val="004A0A58"/>
    <w:rsid w:val="004A0E9E"/>
    <w:rsid w:val="004A0FBA"/>
    <w:rsid w:val="004A1431"/>
    <w:rsid w:val="004A16AC"/>
    <w:rsid w:val="004A1B28"/>
    <w:rsid w:val="004A1C37"/>
    <w:rsid w:val="004A20D4"/>
    <w:rsid w:val="004A2BF9"/>
    <w:rsid w:val="004A2C3A"/>
    <w:rsid w:val="004A39B3"/>
    <w:rsid w:val="004A3A16"/>
    <w:rsid w:val="004A443B"/>
    <w:rsid w:val="004A5BC6"/>
    <w:rsid w:val="004A606E"/>
    <w:rsid w:val="004A6087"/>
    <w:rsid w:val="004A67DF"/>
    <w:rsid w:val="004A69F3"/>
    <w:rsid w:val="004A73AA"/>
    <w:rsid w:val="004B014F"/>
    <w:rsid w:val="004B0A99"/>
    <w:rsid w:val="004B0B98"/>
    <w:rsid w:val="004B14D9"/>
    <w:rsid w:val="004B1BF9"/>
    <w:rsid w:val="004B20AC"/>
    <w:rsid w:val="004B2450"/>
    <w:rsid w:val="004B26C7"/>
    <w:rsid w:val="004B317D"/>
    <w:rsid w:val="004B32FC"/>
    <w:rsid w:val="004B3567"/>
    <w:rsid w:val="004B39AC"/>
    <w:rsid w:val="004B3A7D"/>
    <w:rsid w:val="004B3CEC"/>
    <w:rsid w:val="004B4071"/>
    <w:rsid w:val="004B41CA"/>
    <w:rsid w:val="004B41D3"/>
    <w:rsid w:val="004B4228"/>
    <w:rsid w:val="004B4767"/>
    <w:rsid w:val="004B4A3D"/>
    <w:rsid w:val="004B5ADF"/>
    <w:rsid w:val="004B5DC2"/>
    <w:rsid w:val="004B5EF3"/>
    <w:rsid w:val="004B6067"/>
    <w:rsid w:val="004B66C4"/>
    <w:rsid w:val="004B67FA"/>
    <w:rsid w:val="004B702C"/>
    <w:rsid w:val="004B7411"/>
    <w:rsid w:val="004B74DA"/>
    <w:rsid w:val="004B7A23"/>
    <w:rsid w:val="004B7C2B"/>
    <w:rsid w:val="004C009E"/>
    <w:rsid w:val="004C031E"/>
    <w:rsid w:val="004C0413"/>
    <w:rsid w:val="004C1928"/>
    <w:rsid w:val="004C1C10"/>
    <w:rsid w:val="004C1CED"/>
    <w:rsid w:val="004C1F3B"/>
    <w:rsid w:val="004C2707"/>
    <w:rsid w:val="004C30CA"/>
    <w:rsid w:val="004C376F"/>
    <w:rsid w:val="004C431E"/>
    <w:rsid w:val="004C43B3"/>
    <w:rsid w:val="004C458A"/>
    <w:rsid w:val="004C4C7A"/>
    <w:rsid w:val="004C4E08"/>
    <w:rsid w:val="004C4F65"/>
    <w:rsid w:val="004C5347"/>
    <w:rsid w:val="004C5DDA"/>
    <w:rsid w:val="004C5F4E"/>
    <w:rsid w:val="004C60F8"/>
    <w:rsid w:val="004C65C9"/>
    <w:rsid w:val="004C65F2"/>
    <w:rsid w:val="004C665A"/>
    <w:rsid w:val="004C6876"/>
    <w:rsid w:val="004C6BE5"/>
    <w:rsid w:val="004C6EDF"/>
    <w:rsid w:val="004C6F08"/>
    <w:rsid w:val="004C75F6"/>
    <w:rsid w:val="004C7DEF"/>
    <w:rsid w:val="004D0198"/>
    <w:rsid w:val="004D0314"/>
    <w:rsid w:val="004D0661"/>
    <w:rsid w:val="004D0892"/>
    <w:rsid w:val="004D0E36"/>
    <w:rsid w:val="004D0E83"/>
    <w:rsid w:val="004D15F0"/>
    <w:rsid w:val="004D1AD3"/>
    <w:rsid w:val="004D311F"/>
    <w:rsid w:val="004D377C"/>
    <w:rsid w:val="004D47C1"/>
    <w:rsid w:val="004D4B5F"/>
    <w:rsid w:val="004D4EF0"/>
    <w:rsid w:val="004D52E2"/>
    <w:rsid w:val="004D54BD"/>
    <w:rsid w:val="004D6524"/>
    <w:rsid w:val="004D68B9"/>
    <w:rsid w:val="004D68BE"/>
    <w:rsid w:val="004D6BD9"/>
    <w:rsid w:val="004D6CE6"/>
    <w:rsid w:val="004D6F25"/>
    <w:rsid w:val="004D7264"/>
    <w:rsid w:val="004D789A"/>
    <w:rsid w:val="004D7B89"/>
    <w:rsid w:val="004E0134"/>
    <w:rsid w:val="004E0695"/>
    <w:rsid w:val="004E081A"/>
    <w:rsid w:val="004E09DC"/>
    <w:rsid w:val="004E0C7A"/>
    <w:rsid w:val="004E0E50"/>
    <w:rsid w:val="004E0F90"/>
    <w:rsid w:val="004E1162"/>
    <w:rsid w:val="004E13CC"/>
    <w:rsid w:val="004E15AE"/>
    <w:rsid w:val="004E1731"/>
    <w:rsid w:val="004E1D47"/>
    <w:rsid w:val="004E20A2"/>
    <w:rsid w:val="004E24CA"/>
    <w:rsid w:val="004E2A05"/>
    <w:rsid w:val="004E31BA"/>
    <w:rsid w:val="004E3436"/>
    <w:rsid w:val="004E3872"/>
    <w:rsid w:val="004E3966"/>
    <w:rsid w:val="004E39F8"/>
    <w:rsid w:val="004E3AFB"/>
    <w:rsid w:val="004E3D62"/>
    <w:rsid w:val="004E3DBA"/>
    <w:rsid w:val="004E4295"/>
    <w:rsid w:val="004E43D2"/>
    <w:rsid w:val="004E45A3"/>
    <w:rsid w:val="004E4646"/>
    <w:rsid w:val="004E46DA"/>
    <w:rsid w:val="004E4A1A"/>
    <w:rsid w:val="004E4E79"/>
    <w:rsid w:val="004E59B2"/>
    <w:rsid w:val="004E5B4A"/>
    <w:rsid w:val="004E5E56"/>
    <w:rsid w:val="004E604F"/>
    <w:rsid w:val="004E73E8"/>
    <w:rsid w:val="004E74EC"/>
    <w:rsid w:val="004E7BF8"/>
    <w:rsid w:val="004E7DEA"/>
    <w:rsid w:val="004F03AF"/>
    <w:rsid w:val="004F04CD"/>
    <w:rsid w:val="004F0789"/>
    <w:rsid w:val="004F0914"/>
    <w:rsid w:val="004F141F"/>
    <w:rsid w:val="004F2000"/>
    <w:rsid w:val="004F2318"/>
    <w:rsid w:val="004F24FB"/>
    <w:rsid w:val="004F26ED"/>
    <w:rsid w:val="004F2A65"/>
    <w:rsid w:val="004F2AF2"/>
    <w:rsid w:val="004F2F44"/>
    <w:rsid w:val="004F2F68"/>
    <w:rsid w:val="004F3176"/>
    <w:rsid w:val="004F3D32"/>
    <w:rsid w:val="004F4735"/>
    <w:rsid w:val="004F51D3"/>
    <w:rsid w:val="004F539C"/>
    <w:rsid w:val="004F5B6B"/>
    <w:rsid w:val="004F5B94"/>
    <w:rsid w:val="004F5BC4"/>
    <w:rsid w:val="004F63B9"/>
    <w:rsid w:val="004F663C"/>
    <w:rsid w:val="004F6C88"/>
    <w:rsid w:val="004F709F"/>
    <w:rsid w:val="004F7288"/>
    <w:rsid w:val="004F767C"/>
    <w:rsid w:val="00500010"/>
    <w:rsid w:val="005001BC"/>
    <w:rsid w:val="00500BFA"/>
    <w:rsid w:val="00500DD6"/>
    <w:rsid w:val="005013E6"/>
    <w:rsid w:val="00501648"/>
    <w:rsid w:val="00501C83"/>
    <w:rsid w:val="005024E0"/>
    <w:rsid w:val="0050271A"/>
    <w:rsid w:val="00502E71"/>
    <w:rsid w:val="00502EA5"/>
    <w:rsid w:val="00503A88"/>
    <w:rsid w:val="005042A1"/>
    <w:rsid w:val="005042BC"/>
    <w:rsid w:val="00504C80"/>
    <w:rsid w:val="0050503C"/>
    <w:rsid w:val="00505568"/>
    <w:rsid w:val="0050598A"/>
    <w:rsid w:val="005061E5"/>
    <w:rsid w:val="005062B4"/>
    <w:rsid w:val="00506384"/>
    <w:rsid w:val="00506F08"/>
    <w:rsid w:val="005074FD"/>
    <w:rsid w:val="00507B6A"/>
    <w:rsid w:val="005104CF"/>
    <w:rsid w:val="00510E7E"/>
    <w:rsid w:val="00510F27"/>
    <w:rsid w:val="00511504"/>
    <w:rsid w:val="005119C0"/>
    <w:rsid w:val="00511B57"/>
    <w:rsid w:val="00511EE9"/>
    <w:rsid w:val="00512653"/>
    <w:rsid w:val="005133D4"/>
    <w:rsid w:val="00513759"/>
    <w:rsid w:val="005137A8"/>
    <w:rsid w:val="00514262"/>
    <w:rsid w:val="00514327"/>
    <w:rsid w:val="0051485D"/>
    <w:rsid w:val="00514D54"/>
    <w:rsid w:val="00515531"/>
    <w:rsid w:val="005156C2"/>
    <w:rsid w:val="005159CD"/>
    <w:rsid w:val="00515C6E"/>
    <w:rsid w:val="005160E2"/>
    <w:rsid w:val="005161AD"/>
    <w:rsid w:val="00516BBA"/>
    <w:rsid w:val="00516CBD"/>
    <w:rsid w:val="00516EB9"/>
    <w:rsid w:val="005170B4"/>
    <w:rsid w:val="0051752A"/>
    <w:rsid w:val="00517CD0"/>
    <w:rsid w:val="00517F39"/>
    <w:rsid w:val="00517FBF"/>
    <w:rsid w:val="005203E7"/>
    <w:rsid w:val="005210FA"/>
    <w:rsid w:val="005211AC"/>
    <w:rsid w:val="0052127C"/>
    <w:rsid w:val="00521371"/>
    <w:rsid w:val="00521401"/>
    <w:rsid w:val="005214E2"/>
    <w:rsid w:val="00521531"/>
    <w:rsid w:val="00521617"/>
    <w:rsid w:val="005217E8"/>
    <w:rsid w:val="00522945"/>
    <w:rsid w:val="00523070"/>
    <w:rsid w:val="00523380"/>
    <w:rsid w:val="005239B7"/>
    <w:rsid w:val="00523BC0"/>
    <w:rsid w:val="00523BD2"/>
    <w:rsid w:val="00523CBE"/>
    <w:rsid w:val="00523FAF"/>
    <w:rsid w:val="00524146"/>
    <w:rsid w:val="00524613"/>
    <w:rsid w:val="00524713"/>
    <w:rsid w:val="00524C53"/>
    <w:rsid w:val="00524CB9"/>
    <w:rsid w:val="00524E6C"/>
    <w:rsid w:val="00524EA5"/>
    <w:rsid w:val="00525071"/>
    <w:rsid w:val="00525257"/>
    <w:rsid w:val="00525343"/>
    <w:rsid w:val="00525345"/>
    <w:rsid w:val="00525B14"/>
    <w:rsid w:val="00525B7E"/>
    <w:rsid w:val="00525D95"/>
    <w:rsid w:val="005260E6"/>
    <w:rsid w:val="0052633F"/>
    <w:rsid w:val="0052674D"/>
    <w:rsid w:val="00526B74"/>
    <w:rsid w:val="00526DB4"/>
    <w:rsid w:val="0052707E"/>
    <w:rsid w:val="00527144"/>
    <w:rsid w:val="00527332"/>
    <w:rsid w:val="00527901"/>
    <w:rsid w:val="00527AC5"/>
    <w:rsid w:val="00527EDB"/>
    <w:rsid w:val="005300D2"/>
    <w:rsid w:val="0053043B"/>
    <w:rsid w:val="0053046E"/>
    <w:rsid w:val="00530B61"/>
    <w:rsid w:val="00530FDE"/>
    <w:rsid w:val="0053152B"/>
    <w:rsid w:val="00531A98"/>
    <w:rsid w:val="00531CF0"/>
    <w:rsid w:val="00531E6A"/>
    <w:rsid w:val="005320F7"/>
    <w:rsid w:val="00532623"/>
    <w:rsid w:val="0053266E"/>
    <w:rsid w:val="0053269F"/>
    <w:rsid w:val="0053288C"/>
    <w:rsid w:val="00532B67"/>
    <w:rsid w:val="00532B8D"/>
    <w:rsid w:val="00532E70"/>
    <w:rsid w:val="00533A1F"/>
    <w:rsid w:val="005342A1"/>
    <w:rsid w:val="005349F6"/>
    <w:rsid w:val="00534CF1"/>
    <w:rsid w:val="0053580A"/>
    <w:rsid w:val="0053590B"/>
    <w:rsid w:val="00535D0B"/>
    <w:rsid w:val="0053607E"/>
    <w:rsid w:val="00536119"/>
    <w:rsid w:val="00536390"/>
    <w:rsid w:val="0053646A"/>
    <w:rsid w:val="0053674A"/>
    <w:rsid w:val="00536EB8"/>
    <w:rsid w:val="0053709A"/>
    <w:rsid w:val="0053720F"/>
    <w:rsid w:val="00537407"/>
    <w:rsid w:val="00537415"/>
    <w:rsid w:val="00537739"/>
    <w:rsid w:val="00537E6A"/>
    <w:rsid w:val="00540A25"/>
    <w:rsid w:val="00540B24"/>
    <w:rsid w:val="005415DB"/>
    <w:rsid w:val="005416BB"/>
    <w:rsid w:val="005418E2"/>
    <w:rsid w:val="00541A87"/>
    <w:rsid w:val="00541CC7"/>
    <w:rsid w:val="00541D3C"/>
    <w:rsid w:val="005420B3"/>
    <w:rsid w:val="00542445"/>
    <w:rsid w:val="005426DA"/>
    <w:rsid w:val="0054272F"/>
    <w:rsid w:val="00542F7E"/>
    <w:rsid w:val="00543B10"/>
    <w:rsid w:val="00543FE7"/>
    <w:rsid w:val="00544139"/>
    <w:rsid w:val="00544D59"/>
    <w:rsid w:val="00545235"/>
    <w:rsid w:val="005452F5"/>
    <w:rsid w:val="00545A46"/>
    <w:rsid w:val="00545DC6"/>
    <w:rsid w:val="00546054"/>
    <w:rsid w:val="005466DD"/>
    <w:rsid w:val="00546765"/>
    <w:rsid w:val="00546871"/>
    <w:rsid w:val="00547229"/>
    <w:rsid w:val="00547850"/>
    <w:rsid w:val="00547879"/>
    <w:rsid w:val="005478E6"/>
    <w:rsid w:val="005479F1"/>
    <w:rsid w:val="00547B59"/>
    <w:rsid w:val="00547D22"/>
    <w:rsid w:val="00547E58"/>
    <w:rsid w:val="00547FD8"/>
    <w:rsid w:val="00550288"/>
    <w:rsid w:val="005509A3"/>
    <w:rsid w:val="00550D79"/>
    <w:rsid w:val="005517D2"/>
    <w:rsid w:val="00551840"/>
    <w:rsid w:val="00551A8A"/>
    <w:rsid w:val="00551AB3"/>
    <w:rsid w:val="00551D2E"/>
    <w:rsid w:val="00552143"/>
    <w:rsid w:val="005523C9"/>
    <w:rsid w:val="00552767"/>
    <w:rsid w:val="0055294B"/>
    <w:rsid w:val="005529F1"/>
    <w:rsid w:val="00552DD1"/>
    <w:rsid w:val="00553279"/>
    <w:rsid w:val="0055332C"/>
    <w:rsid w:val="0055349C"/>
    <w:rsid w:val="005536CF"/>
    <w:rsid w:val="0055394B"/>
    <w:rsid w:val="00553C93"/>
    <w:rsid w:val="00553FA6"/>
    <w:rsid w:val="0055409C"/>
    <w:rsid w:val="00554124"/>
    <w:rsid w:val="0055413D"/>
    <w:rsid w:val="005544B3"/>
    <w:rsid w:val="005548D7"/>
    <w:rsid w:val="00554D59"/>
    <w:rsid w:val="00554E40"/>
    <w:rsid w:val="00554F97"/>
    <w:rsid w:val="00554FAB"/>
    <w:rsid w:val="005550E1"/>
    <w:rsid w:val="005554C2"/>
    <w:rsid w:val="00555ED2"/>
    <w:rsid w:val="00556745"/>
    <w:rsid w:val="00556C0A"/>
    <w:rsid w:val="00557038"/>
    <w:rsid w:val="00557071"/>
    <w:rsid w:val="005571CE"/>
    <w:rsid w:val="0055775F"/>
    <w:rsid w:val="00557B21"/>
    <w:rsid w:val="00557E0E"/>
    <w:rsid w:val="00557E48"/>
    <w:rsid w:val="00560B35"/>
    <w:rsid w:val="00560BE0"/>
    <w:rsid w:val="005613FE"/>
    <w:rsid w:val="00561891"/>
    <w:rsid w:val="00562A60"/>
    <w:rsid w:val="00562AE4"/>
    <w:rsid w:val="00563B11"/>
    <w:rsid w:val="00564889"/>
    <w:rsid w:val="00564B27"/>
    <w:rsid w:val="00564C46"/>
    <w:rsid w:val="00564C9B"/>
    <w:rsid w:val="00564DE4"/>
    <w:rsid w:val="00564EF6"/>
    <w:rsid w:val="00564FA7"/>
    <w:rsid w:val="00565365"/>
    <w:rsid w:val="00565386"/>
    <w:rsid w:val="0056542C"/>
    <w:rsid w:val="005655D3"/>
    <w:rsid w:val="005657D7"/>
    <w:rsid w:val="00565A20"/>
    <w:rsid w:val="00565BA1"/>
    <w:rsid w:val="00565BFE"/>
    <w:rsid w:val="005661AF"/>
    <w:rsid w:val="005668D1"/>
    <w:rsid w:val="0056691D"/>
    <w:rsid w:val="00567355"/>
    <w:rsid w:val="0056756C"/>
    <w:rsid w:val="005679D6"/>
    <w:rsid w:val="00567D22"/>
    <w:rsid w:val="00567F9E"/>
    <w:rsid w:val="00567FC1"/>
    <w:rsid w:val="00570058"/>
    <w:rsid w:val="0057013D"/>
    <w:rsid w:val="0057038E"/>
    <w:rsid w:val="00570A13"/>
    <w:rsid w:val="00570B11"/>
    <w:rsid w:val="005710C0"/>
    <w:rsid w:val="005718EC"/>
    <w:rsid w:val="00571C23"/>
    <w:rsid w:val="00572252"/>
    <w:rsid w:val="00572297"/>
    <w:rsid w:val="00572482"/>
    <w:rsid w:val="005727F7"/>
    <w:rsid w:val="005728D8"/>
    <w:rsid w:val="00572C96"/>
    <w:rsid w:val="00572D93"/>
    <w:rsid w:val="005730AB"/>
    <w:rsid w:val="005730C8"/>
    <w:rsid w:val="00573521"/>
    <w:rsid w:val="00573774"/>
    <w:rsid w:val="00573EAB"/>
    <w:rsid w:val="0057434E"/>
    <w:rsid w:val="005748E5"/>
    <w:rsid w:val="005750C2"/>
    <w:rsid w:val="0057515A"/>
    <w:rsid w:val="00575BC1"/>
    <w:rsid w:val="005766AA"/>
    <w:rsid w:val="00576B32"/>
    <w:rsid w:val="00576DE4"/>
    <w:rsid w:val="00576FB2"/>
    <w:rsid w:val="00577129"/>
    <w:rsid w:val="00577721"/>
    <w:rsid w:val="005777C5"/>
    <w:rsid w:val="0058007A"/>
    <w:rsid w:val="00580937"/>
    <w:rsid w:val="00580CD8"/>
    <w:rsid w:val="00580F61"/>
    <w:rsid w:val="00580F93"/>
    <w:rsid w:val="00581832"/>
    <w:rsid w:val="00582103"/>
    <w:rsid w:val="005828F1"/>
    <w:rsid w:val="00582E34"/>
    <w:rsid w:val="00582F0A"/>
    <w:rsid w:val="005830F2"/>
    <w:rsid w:val="005835DA"/>
    <w:rsid w:val="00583C3B"/>
    <w:rsid w:val="005843CD"/>
    <w:rsid w:val="005854A0"/>
    <w:rsid w:val="00585A77"/>
    <w:rsid w:val="00585ABE"/>
    <w:rsid w:val="00585DEE"/>
    <w:rsid w:val="00585E2D"/>
    <w:rsid w:val="00585EBF"/>
    <w:rsid w:val="00585F7D"/>
    <w:rsid w:val="00585FAF"/>
    <w:rsid w:val="0058606B"/>
    <w:rsid w:val="00586239"/>
    <w:rsid w:val="0058649D"/>
    <w:rsid w:val="005868D0"/>
    <w:rsid w:val="00586FF6"/>
    <w:rsid w:val="0058712F"/>
    <w:rsid w:val="005873D4"/>
    <w:rsid w:val="005875DB"/>
    <w:rsid w:val="00587800"/>
    <w:rsid w:val="00587993"/>
    <w:rsid w:val="00587B01"/>
    <w:rsid w:val="0059095A"/>
    <w:rsid w:val="00590BA5"/>
    <w:rsid w:val="00590F0B"/>
    <w:rsid w:val="00591077"/>
    <w:rsid w:val="005912B0"/>
    <w:rsid w:val="005914A0"/>
    <w:rsid w:val="0059164A"/>
    <w:rsid w:val="00591C47"/>
    <w:rsid w:val="00591C73"/>
    <w:rsid w:val="005922B5"/>
    <w:rsid w:val="005923EC"/>
    <w:rsid w:val="00592581"/>
    <w:rsid w:val="00592725"/>
    <w:rsid w:val="005928C5"/>
    <w:rsid w:val="00592E63"/>
    <w:rsid w:val="0059324C"/>
    <w:rsid w:val="00593297"/>
    <w:rsid w:val="005932E4"/>
    <w:rsid w:val="005935DA"/>
    <w:rsid w:val="0059381A"/>
    <w:rsid w:val="00593C34"/>
    <w:rsid w:val="00594879"/>
    <w:rsid w:val="005948A6"/>
    <w:rsid w:val="00594D73"/>
    <w:rsid w:val="00594E6B"/>
    <w:rsid w:val="00595AB2"/>
    <w:rsid w:val="00596854"/>
    <w:rsid w:val="00597031"/>
    <w:rsid w:val="005978A0"/>
    <w:rsid w:val="00597A30"/>
    <w:rsid w:val="00597A74"/>
    <w:rsid w:val="00597E5D"/>
    <w:rsid w:val="00597FA3"/>
    <w:rsid w:val="005A0129"/>
    <w:rsid w:val="005A0464"/>
    <w:rsid w:val="005A0EFB"/>
    <w:rsid w:val="005A1885"/>
    <w:rsid w:val="005A21BC"/>
    <w:rsid w:val="005A2571"/>
    <w:rsid w:val="005A2B2D"/>
    <w:rsid w:val="005A3963"/>
    <w:rsid w:val="005A3CA5"/>
    <w:rsid w:val="005A44CA"/>
    <w:rsid w:val="005A4CCA"/>
    <w:rsid w:val="005A53AD"/>
    <w:rsid w:val="005A5A32"/>
    <w:rsid w:val="005A5C2A"/>
    <w:rsid w:val="005A5C9B"/>
    <w:rsid w:val="005A6AC4"/>
    <w:rsid w:val="005A6AE8"/>
    <w:rsid w:val="005A7007"/>
    <w:rsid w:val="005A72D7"/>
    <w:rsid w:val="005A73B5"/>
    <w:rsid w:val="005A7911"/>
    <w:rsid w:val="005A7BE4"/>
    <w:rsid w:val="005A7EBB"/>
    <w:rsid w:val="005B035A"/>
    <w:rsid w:val="005B0468"/>
    <w:rsid w:val="005B0BCF"/>
    <w:rsid w:val="005B10D9"/>
    <w:rsid w:val="005B1589"/>
    <w:rsid w:val="005B197F"/>
    <w:rsid w:val="005B1C5D"/>
    <w:rsid w:val="005B2017"/>
    <w:rsid w:val="005B2434"/>
    <w:rsid w:val="005B2748"/>
    <w:rsid w:val="005B2B3E"/>
    <w:rsid w:val="005B2C29"/>
    <w:rsid w:val="005B2DF0"/>
    <w:rsid w:val="005B32E1"/>
    <w:rsid w:val="005B3401"/>
    <w:rsid w:val="005B3653"/>
    <w:rsid w:val="005B3700"/>
    <w:rsid w:val="005B372F"/>
    <w:rsid w:val="005B3AF5"/>
    <w:rsid w:val="005B4024"/>
    <w:rsid w:val="005B4114"/>
    <w:rsid w:val="005B415D"/>
    <w:rsid w:val="005B41BF"/>
    <w:rsid w:val="005B4374"/>
    <w:rsid w:val="005B4559"/>
    <w:rsid w:val="005B4689"/>
    <w:rsid w:val="005B4C2D"/>
    <w:rsid w:val="005B5237"/>
    <w:rsid w:val="005B54E9"/>
    <w:rsid w:val="005B5773"/>
    <w:rsid w:val="005B5BCD"/>
    <w:rsid w:val="005B6604"/>
    <w:rsid w:val="005B6999"/>
    <w:rsid w:val="005B6C1F"/>
    <w:rsid w:val="005B7212"/>
    <w:rsid w:val="005B77C7"/>
    <w:rsid w:val="005B79D1"/>
    <w:rsid w:val="005B7B29"/>
    <w:rsid w:val="005B7BF4"/>
    <w:rsid w:val="005B7D06"/>
    <w:rsid w:val="005C0F0A"/>
    <w:rsid w:val="005C109C"/>
    <w:rsid w:val="005C1D39"/>
    <w:rsid w:val="005C1D42"/>
    <w:rsid w:val="005C2439"/>
    <w:rsid w:val="005C2746"/>
    <w:rsid w:val="005C2B9F"/>
    <w:rsid w:val="005C2F7B"/>
    <w:rsid w:val="005C32A6"/>
    <w:rsid w:val="005C3A1E"/>
    <w:rsid w:val="005C3FEE"/>
    <w:rsid w:val="005C408D"/>
    <w:rsid w:val="005C4796"/>
    <w:rsid w:val="005C4CC2"/>
    <w:rsid w:val="005C4E3B"/>
    <w:rsid w:val="005C4F64"/>
    <w:rsid w:val="005C5566"/>
    <w:rsid w:val="005C5AE4"/>
    <w:rsid w:val="005C5C59"/>
    <w:rsid w:val="005C5E87"/>
    <w:rsid w:val="005C5F0E"/>
    <w:rsid w:val="005C60CB"/>
    <w:rsid w:val="005C63FC"/>
    <w:rsid w:val="005C64A4"/>
    <w:rsid w:val="005C6A2F"/>
    <w:rsid w:val="005C70EE"/>
    <w:rsid w:val="005C71AA"/>
    <w:rsid w:val="005C72C3"/>
    <w:rsid w:val="005C73FB"/>
    <w:rsid w:val="005C7C55"/>
    <w:rsid w:val="005C7FB2"/>
    <w:rsid w:val="005D051A"/>
    <w:rsid w:val="005D0878"/>
    <w:rsid w:val="005D08F9"/>
    <w:rsid w:val="005D0A1C"/>
    <w:rsid w:val="005D114B"/>
    <w:rsid w:val="005D1767"/>
    <w:rsid w:val="005D2250"/>
    <w:rsid w:val="005D25CB"/>
    <w:rsid w:val="005D30DB"/>
    <w:rsid w:val="005D3640"/>
    <w:rsid w:val="005D3712"/>
    <w:rsid w:val="005D3747"/>
    <w:rsid w:val="005D4088"/>
    <w:rsid w:val="005D43CB"/>
    <w:rsid w:val="005D4951"/>
    <w:rsid w:val="005D6209"/>
    <w:rsid w:val="005D6312"/>
    <w:rsid w:val="005D6890"/>
    <w:rsid w:val="005D707E"/>
    <w:rsid w:val="005D7574"/>
    <w:rsid w:val="005D7577"/>
    <w:rsid w:val="005D77BD"/>
    <w:rsid w:val="005D7867"/>
    <w:rsid w:val="005D7AF3"/>
    <w:rsid w:val="005D7EEA"/>
    <w:rsid w:val="005D7F1C"/>
    <w:rsid w:val="005E019A"/>
    <w:rsid w:val="005E0670"/>
    <w:rsid w:val="005E0989"/>
    <w:rsid w:val="005E09E5"/>
    <w:rsid w:val="005E0A3F"/>
    <w:rsid w:val="005E0EE0"/>
    <w:rsid w:val="005E0F68"/>
    <w:rsid w:val="005E0F9B"/>
    <w:rsid w:val="005E0FB0"/>
    <w:rsid w:val="005E12E0"/>
    <w:rsid w:val="005E1717"/>
    <w:rsid w:val="005E1A9F"/>
    <w:rsid w:val="005E1E33"/>
    <w:rsid w:val="005E2907"/>
    <w:rsid w:val="005E2B9E"/>
    <w:rsid w:val="005E3057"/>
    <w:rsid w:val="005E3375"/>
    <w:rsid w:val="005E3957"/>
    <w:rsid w:val="005E3A2A"/>
    <w:rsid w:val="005E3EA2"/>
    <w:rsid w:val="005E42E3"/>
    <w:rsid w:val="005E5002"/>
    <w:rsid w:val="005E50DF"/>
    <w:rsid w:val="005E53B2"/>
    <w:rsid w:val="005E53F6"/>
    <w:rsid w:val="005E59EE"/>
    <w:rsid w:val="005E5D7B"/>
    <w:rsid w:val="005E6014"/>
    <w:rsid w:val="005E6143"/>
    <w:rsid w:val="005E618A"/>
    <w:rsid w:val="005E6419"/>
    <w:rsid w:val="005E6475"/>
    <w:rsid w:val="005E661E"/>
    <w:rsid w:val="005E670D"/>
    <w:rsid w:val="005E6B8D"/>
    <w:rsid w:val="005E6F26"/>
    <w:rsid w:val="005E6FE6"/>
    <w:rsid w:val="005E7AC0"/>
    <w:rsid w:val="005E7BE5"/>
    <w:rsid w:val="005E7E1E"/>
    <w:rsid w:val="005F09AA"/>
    <w:rsid w:val="005F0E48"/>
    <w:rsid w:val="005F120A"/>
    <w:rsid w:val="005F1247"/>
    <w:rsid w:val="005F12B4"/>
    <w:rsid w:val="005F162B"/>
    <w:rsid w:val="005F1F3A"/>
    <w:rsid w:val="005F282D"/>
    <w:rsid w:val="005F32FC"/>
    <w:rsid w:val="005F33C2"/>
    <w:rsid w:val="005F374A"/>
    <w:rsid w:val="005F3781"/>
    <w:rsid w:val="005F3C83"/>
    <w:rsid w:val="005F4066"/>
    <w:rsid w:val="005F411A"/>
    <w:rsid w:val="005F480E"/>
    <w:rsid w:val="005F49D8"/>
    <w:rsid w:val="005F4CC4"/>
    <w:rsid w:val="005F4EE3"/>
    <w:rsid w:val="005F5068"/>
    <w:rsid w:val="005F585D"/>
    <w:rsid w:val="005F5AD1"/>
    <w:rsid w:val="005F5F63"/>
    <w:rsid w:val="005F6133"/>
    <w:rsid w:val="005F65F9"/>
    <w:rsid w:val="005F661F"/>
    <w:rsid w:val="005F6BAB"/>
    <w:rsid w:val="005F6D10"/>
    <w:rsid w:val="005F6E29"/>
    <w:rsid w:val="005F6EDE"/>
    <w:rsid w:val="005F7245"/>
    <w:rsid w:val="005F76BD"/>
    <w:rsid w:val="005F770F"/>
    <w:rsid w:val="005F7C0E"/>
    <w:rsid w:val="0060032E"/>
    <w:rsid w:val="006004E2"/>
    <w:rsid w:val="006006E5"/>
    <w:rsid w:val="00600794"/>
    <w:rsid w:val="00600C91"/>
    <w:rsid w:val="0060171A"/>
    <w:rsid w:val="00601B4A"/>
    <w:rsid w:val="00601BD0"/>
    <w:rsid w:val="00601C10"/>
    <w:rsid w:val="00601C6D"/>
    <w:rsid w:val="00601D77"/>
    <w:rsid w:val="00601E0C"/>
    <w:rsid w:val="00601E59"/>
    <w:rsid w:val="00601F31"/>
    <w:rsid w:val="006029EF"/>
    <w:rsid w:val="00602B13"/>
    <w:rsid w:val="006031AD"/>
    <w:rsid w:val="00603524"/>
    <w:rsid w:val="00603C32"/>
    <w:rsid w:val="00603C8F"/>
    <w:rsid w:val="00603D3A"/>
    <w:rsid w:val="006040AB"/>
    <w:rsid w:val="006043AE"/>
    <w:rsid w:val="00604699"/>
    <w:rsid w:val="006046D4"/>
    <w:rsid w:val="0060482E"/>
    <w:rsid w:val="00604F99"/>
    <w:rsid w:val="00605251"/>
    <w:rsid w:val="00605D5C"/>
    <w:rsid w:val="00606298"/>
    <w:rsid w:val="006062A6"/>
    <w:rsid w:val="00606840"/>
    <w:rsid w:val="00606DF1"/>
    <w:rsid w:val="006073CE"/>
    <w:rsid w:val="0060764B"/>
    <w:rsid w:val="00607658"/>
    <w:rsid w:val="00607B0C"/>
    <w:rsid w:val="00607CA2"/>
    <w:rsid w:val="00610BF6"/>
    <w:rsid w:val="00610DF4"/>
    <w:rsid w:val="00610E61"/>
    <w:rsid w:val="00611140"/>
    <w:rsid w:val="006114AE"/>
    <w:rsid w:val="00611FC1"/>
    <w:rsid w:val="006124DD"/>
    <w:rsid w:val="006127AB"/>
    <w:rsid w:val="0061290D"/>
    <w:rsid w:val="00612DE7"/>
    <w:rsid w:val="006130EE"/>
    <w:rsid w:val="00613123"/>
    <w:rsid w:val="006131CE"/>
    <w:rsid w:val="006138C0"/>
    <w:rsid w:val="00613A29"/>
    <w:rsid w:val="00613AA5"/>
    <w:rsid w:val="00613EF5"/>
    <w:rsid w:val="0061441E"/>
    <w:rsid w:val="00614434"/>
    <w:rsid w:val="006147E5"/>
    <w:rsid w:val="006149DB"/>
    <w:rsid w:val="00615836"/>
    <w:rsid w:val="00615D2C"/>
    <w:rsid w:val="00615DFD"/>
    <w:rsid w:val="00615E6C"/>
    <w:rsid w:val="00616104"/>
    <w:rsid w:val="0061611D"/>
    <w:rsid w:val="00616AAF"/>
    <w:rsid w:val="00616BDD"/>
    <w:rsid w:val="00616F74"/>
    <w:rsid w:val="006173C1"/>
    <w:rsid w:val="00617584"/>
    <w:rsid w:val="006176D9"/>
    <w:rsid w:val="00617B03"/>
    <w:rsid w:val="00617B9C"/>
    <w:rsid w:val="00617E61"/>
    <w:rsid w:val="0062059F"/>
    <w:rsid w:val="00620605"/>
    <w:rsid w:val="00620751"/>
    <w:rsid w:val="006207FA"/>
    <w:rsid w:val="00620ACB"/>
    <w:rsid w:val="006211CD"/>
    <w:rsid w:val="00621247"/>
    <w:rsid w:val="006226A2"/>
    <w:rsid w:val="00622BD3"/>
    <w:rsid w:val="00622E44"/>
    <w:rsid w:val="00623453"/>
    <w:rsid w:val="00623C52"/>
    <w:rsid w:val="00623CD9"/>
    <w:rsid w:val="00623E83"/>
    <w:rsid w:val="00624692"/>
    <w:rsid w:val="006248CA"/>
    <w:rsid w:val="00624A65"/>
    <w:rsid w:val="00625445"/>
    <w:rsid w:val="00625876"/>
    <w:rsid w:val="0062612B"/>
    <w:rsid w:val="006267F7"/>
    <w:rsid w:val="0062731C"/>
    <w:rsid w:val="006308FC"/>
    <w:rsid w:val="006309E0"/>
    <w:rsid w:val="006311F1"/>
    <w:rsid w:val="006314C2"/>
    <w:rsid w:val="00631843"/>
    <w:rsid w:val="00631C37"/>
    <w:rsid w:val="0063209E"/>
    <w:rsid w:val="006320EC"/>
    <w:rsid w:val="0063233E"/>
    <w:rsid w:val="0063260C"/>
    <w:rsid w:val="006326C5"/>
    <w:rsid w:val="00632A6F"/>
    <w:rsid w:val="00632AF3"/>
    <w:rsid w:val="00633754"/>
    <w:rsid w:val="006337E6"/>
    <w:rsid w:val="00633965"/>
    <w:rsid w:val="0063405A"/>
    <w:rsid w:val="00635029"/>
    <w:rsid w:val="00635743"/>
    <w:rsid w:val="00635AD4"/>
    <w:rsid w:val="00636B48"/>
    <w:rsid w:val="00636CD7"/>
    <w:rsid w:val="00636CE4"/>
    <w:rsid w:val="0063794E"/>
    <w:rsid w:val="00637AF9"/>
    <w:rsid w:val="00640454"/>
    <w:rsid w:val="0064046C"/>
    <w:rsid w:val="006406EE"/>
    <w:rsid w:val="00641023"/>
    <w:rsid w:val="006412EB"/>
    <w:rsid w:val="00641482"/>
    <w:rsid w:val="00641A26"/>
    <w:rsid w:val="00641E21"/>
    <w:rsid w:val="0064274E"/>
    <w:rsid w:val="00642AF6"/>
    <w:rsid w:val="00642E5B"/>
    <w:rsid w:val="00642EEF"/>
    <w:rsid w:val="0064302D"/>
    <w:rsid w:val="006438FE"/>
    <w:rsid w:val="006440AB"/>
    <w:rsid w:val="00644788"/>
    <w:rsid w:val="00644D2E"/>
    <w:rsid w:val="006459AD"/>
    <w:rsid w:val="00645E9B"/>
    <w:rsid w:val="00646469"/>
    <w:rsid w:val="006464AC"/>
    <w:rsid w:val="006466C6"/>
    <w:rsid w:val="006469C2"/>
    <w:rsid w:val="00646A3A"/>
    <w:rsid w:val="00646F69"/>
    <w:rsid w:val="00647013"/>
    <w:rsid w:val="00647516"/>
    <w:rsid w:val="00647C7E"/>
    <w:rsid w:val="00650178"/>
    <w:rsid w:val="006502ED"/>
    <w:rsid w:val="006505BB"/>
    <w:rsid w:val="00650C67"/>
    <w:rsid w:val="006512F0"/>
    <w:rsid w:val="00651354"/>
    <w:rsid w:val="0065135E"/>
    <w:rsid w:val="006517D3"/>
    <w:rsid w:val="00651ADF"/>
    <w:rsid w:val="00651FFE"/>
    <w:rsid w:val="006525FA"/>
    <w:rsid w:val="00652861"/>
    <w:rsid w:val="00652911"/>
    <w:rsid w:val="00652B05"/>
    <w:rsid w:val="00652BF0"/>
    <w:rsid w:val="00652F60"/>
    <w:rsid w:val="00652FB4"/>
    <w:rsid w:val="00653B3C"/>
    <w:rsid w:val="00653F1C"/>
    <w:rsid w:val="0065423E"/>
    <w:rsid w:val="006544D0"/>
    <w:rsid w:val="00654637"/>
    <w:rsid w:val="0065486D"/>
    <w:rsid w:val="00654A03"/>
    <w:rsid w:val="00654CF7"/>
    <w:rsid w:val="00654D82"/>
    <w:rsid w:val="00654FEE"/>
    <w:rsid w:val="0065544D"/>
    <w:rsid w:val="006554E5"/>
    <w:rsid w:val="00655915"/>
    <w:rsid w:val="00656380"/>
    <w:rsid w:val="00656AE0"/>
    <w:rsid w:val="00656BDE"/>
    <w:rsid w:val="00656DBF"/>
    <w:rsid w:val="00657160"/>
    <w:rsid w:val="006573F5"/>
    <w:rsid w:val="006576B5"/>
    <w:rsid w:val="006577D7"/>
    <w:rsid w:val="006577FA"/>
    <w:rsid w:val="006600B7"/>
    <w:rsid w:val="00660629"/>
    <w:rsid w:val="006608F8"/>
    <w:rsid w:val="00660987"/>
    <w:rsid w:val="00660C93"/>
    <w:rsid w:val="00661B4C"/>
    <w:rsid w:val="00661BE3"/>
    <w:rsid w:val="00662282"/>
    <w:rsid w:val="006629AB"/>
    <w:rsid w:val="00662ECD"/>
    <w:rsid w:val="0066339D"/>
    <w:rsid w:val="006637F7"/>
    <w:rsid w:val="00663E3B"/>
    <w:rsid w:val="00663ECC"/>
    <w:rsid w:val="00664431"/>
    <w:rsid w:val="00664474"/>
    <w:rsid w:val="0066448E"/>
    <w:rsid w:val="0066459B"/>
    <w:rsid w:val="00664D95"/>
    <w:rsid w:val="00664FC5"/>
    <w:rsid w:val="00665539"/>
    <w:rsid w:val="00665594"/>
    <w:rsid w:val="0066586D"/>
    <w:rsid w:val="006658F0"/>
    <w:rsid w:val="00665DDF"/>
    <w:rsid w:val="00665F0E"/>
    <w:rsid w:val="006662BA"/>
    <w:rsid w:val="00666332"/>
    <w:rsid w:val="0066642F"/>
    <w:rsid w:val="006666FD"/>
    <w:rsid w:val="00666DDF"/>
    <w:rsid w:val="006673D9"/>
    <w:rsid w:val="00667620"/>
    <w:rsid w:val="006678C9"/>
    <w:rsid w:val="00667962"/>
    <w:rsid w:val="00667C1A"/>
    <w:rsid w:val="00667D51"/>
    <w:rsid w:val="00667DB3"/>
    <w:rsid w:val="006703D5"/>
    <w:rsid w:val="00670491"/>
    <w:rsid w:val="00670B23"/>
    <w:rsid w:val="00670F01"/>
    <w:rsid w:val="00670F08"/>
    <w:rsid w:val="00671112"/>
    <w:rsid w:val="006711CD"/>
    <w:rsid w:val="00671274"/>
    <w:rsid w:val="006714CE"/>
    <w:rsid w:val="00671C11"/>
    <w:rsid w:val="00671FC2"/>
    <w:rsid w:val="00672021"/>
    <w:rsid w:val="006724B7"/>
    <w:rsid w:val="00672626"/>
    <w:rsid w:val="00672876"/>
    <w:rsid w:val="006729FC"/>
    <w:rsid w:val="00672DD5"/>
    <w:rsid w:val="00672F78"/>
    <w:rsid w:val="0067339C"/>
    <w:rsid w:val="006734BE"/>
    <w:rsid w:val="006735F3"/>
    <w:rsid w:val="00673A06"/>
    <w:rsid w:val="00673C08"/>
    <w:rsid w:val="00673D32"/>
    <w:rsid w:val="00674859"/>
    <w:rsid w:val="00675366"/>
    <w:rsid w:val="006759CB"/>
    <w:rsid w:val="006759E0"/>
    <w:rsid w:val="00675D32"/>
    <w:rsid w:val="00675E99"/>
    <w:rsid w:val="006760DF"/>
    <w:rsid w:val="0067611A"/>
    <w:rsid w:val="00676157"/>
    <w:rsid w:val="0067626D"/>
    <w:rsid w:val="0067642C"/>
    <w:rsid w:val="00676777"/>
    <w:rsid w:val="00676A74"/>
    <w:rsid w:val="00676B58"/>
    <w:rsid w:val="00676BDC"/>
    <w:rsid w:val="00676D5D"/>
    <w:rsid w:val="00680148"/>
    <w:rsid w:val="0068057F"/>
    <w:rsid w:val="00680F5B"/>
    <w:rsid w:val="006815AE"/>
    <w:rsid w:val="00682164"/>
    <w:rsid w:val="006821A3"/>
    <w:rsid w:val="0068230C"/>
    <w:rsid w:val="0068246C"/>
    <w:rsid w:val="00682617"/>
    <w:rsid w:val="00682BA5"/>
    <w:rsid w:val="00682FA5"/>
    <w:rsid w:val="0068316A"/>
    <w:rsid w:val="006834D8"/>
    <w:rsid w:val="006835B1"/>
    <w:rsid w:val="00683AC0"/>
    <w:rsid w:val="00683CCE"/>
    <w:rsid w:val="00683DEA"/>
    <w:rsid w:val="00683F05"/>
    <w:rsid w:val="006843EE"/>
    <w:rsid w:val="00684B43"/>
    <w:rsid w:val="00684D70"/>
    <w:rsid w:val="0068510C"/>
    <w:rsid w:val="006858F0"/>
    <w:rsid w:val="00685937"/>
    <w:rsid w:val="00685DBD"/>
    <w:rsid w:val="0068612F"/>
    <w:rsid w:val="00686EF0"/>
    <w:rsid w:val="00687B93"/>
    <w:rsid w:val="00687E4C"/>
    <w:rsid w:val="00687F21"/>
    <w:rsid w:val="0069072A"/>
    <w:rsid w:val="00690A36"/>
    <w:rsid w:val="00690B2B"/>
    <w:rsid w:val="00690C85"/>
    <w:rsid w:val="0069106C"/>
    <w:rsid w:val="0069113C"/>
    <w:rsid w:val="00691433"/>
    <w:rsid w:val="006914E7"/>
    <w:rsid w:val="006916AA"/>
    <w:rsid w:val="00691C48"/>
    <w:rsid w:val="00691D6E"/>
    <w:rsid w:val="00692436"/>
    <w:rsid w:val="00692D16"/>
    <w:rsid w:val="00692FF7"/>
    <w:rsid w:val="006930BD"/>
    <w:rsid w:val="0069324C"/>
    <w:rsid w:val="006932EF"/>
    <w:rsid w:val="006935B3"/>
    <w:rsid w:val="0069394E"/>
    <w:rsid w:val="006943A2"/>
    <w:rsid w:val="00694761"/>
    <w:rsid w:val="00694840"/>
    <w:rsid w:val="00694B05"/>
    <w:rsid w:val="00694DF8"/>
    <w:rsid w:val="00694E7F"/>
    <w:rsid w:val="0069509B"/>
    <w:rsid w:val="006951E2"/>
    <w:rsid w:val="00695A32"/>
    <w:rsid w:val="006960FC"/>
    <w:rsid w:val="006964C6"/>
    <w:rsid w:val="00696852"/>
    <w:rsid w:val="00696EFE"/>
    <w:rsid w:val="00696F4C"/>
    <w:rsid w:val="00697379"/>
    <w:rsid w:val="00697393"/>
    <w:rsid w:val="006976BB"/>
    <w:rsid w:val="006977BF"/>
    <w:rsid w:val="006978ED"/>
    <w:rsid w:val="00697A85"/>
    <w:rsid w:val="00697AF3"/>
    <w:rsid w:val="006A015F"/>
    <w:rsid w:val="006A02AE"/>
    <w:rsid w:val="006A09C3"/>
    <w:rsid w:val="006A114F"/>
    <w:rsid w:val="006A1624"/>
    <w:rsid w:val="006A184C"/>
    <w:rsid w:val="006A2C78"/>
    <w:rsid w:val="006A3481"/>
    <w:rsid w:val="006A361D"/>
    <w:rsid w:val="006A3870"/>
    <w:rsid w:val="006A3AF9"/>
    <w:rsid w:val="006A433E"/>
    <w:rsid w:val="006A454B"/>
    <w:rsid w:val="006A46C0"/>
    <w:rsid w:val="006A4D83"/>
    <w:rsid w:val="006A4E72"/>
    <w:rsid w:val="006A4F97"/>
    <w:rsid w:val="006A52EE"/>
    <w:rsid w:val="006A5859"/>
    <w:rsid w:val="006A6E5D"/>
    <w:rsid w:val="006A756A"/>
    <w:rsid w:val="006A770E"/>
    <w:rsid w:val="006A7E3F"/>
    <w:rsid w:val="006B012B"/>
    <w:rsid w:val="006B01DA"/>
    <w:rsid w:val="006B020C"/>
    <w:rsid w:val="006B07A9"/>
    <w:rsid w:val="006B0BAB"/>
    <w:rsid w:val="006B1105"/>
    <w:rsid w:val="006B1158"/>
    <w:rsid w:val="006B15AD"/>
    <w:rsid w:val="006B1B76"/>
    <w:rsid w:val="006B1C5D"/>
    <w:rsid w:val="006B21C9"/>
    <w:rsid w:val="006B3446"/>
    <w:rsid w:val="006B38BE"/>
    <w:rsid w:val="006B3921"/>
    <w:rsid w:val="006B3D8C"/>
    <w:rsid w:val="006B4618"/>
    <w:rsid w:val="006B4AFB"/>
    <w:rsid w:val="006B4F01"/>
    <w:rsid w:val="006B58A1"/>
    <w:rsid w:val="006B5C2D"/>
    <w:rsid w:val="006B618C"/>
    <w:rsid w:val="006B70F4"/>
    <w:rsid w:val="006B7470"/>
    <w:rsid w:val="006B74D3"/>
    <w:rsid w:val="006B7656"/>
    <w:rsid w:val="006B7810"/>
    <w:rsid w:val="006B7845"/>
    <w:rsid w:val="006B7867"/>
    <w:rsid w:val="006C00BB"/>
    <w:rsid w:val="006C0638"/>
    <w:rsid w:val="006C09E4"/>
    <w:rsid w:val="006C0B2A"/>
    <w:rsid w:val="006C0ED8"/>
    <w:rsid w:val="006C102B"/>
    <w:rsid w:val="006C1144"/>
    <w:rsid w:val="006C1185"/>
    <w:rsid w:val="006C16F4"/>
    <w:rsid w:val="006C1B63"/>
    <w:rsid w:val="006C1F97"/>
    <w:rsid w:val="006C2872"/>
    <w:rsid w:val="006C2881"/>
    <w:rsid w:val="006C2E25"/>
    <w:rsid w:val="006C2EB8"/>
    <w:rsid w:val="006C3147"/>
    <w:rsid w:val="006C3181"/>
    <w:rsid w:val="006C3DDE"/>
    <w:rsid w:val="006C4C5E"/>
    <w:rsid w:val="006C54A6"/>
    <w:rsid w:val="006C57B2"/>
    <w:rsid w:val="006C6503"/>
    <w:rsid w:val="006C6B6F"/>
    <w:rsid w:val="006C722C"/>
    <w:rsid w:val="006C7528"/>
    <w:rsid w:val="006C77ED"/>
    <w:rsid w:val="006C783F"/>
    <w:rsid w:val="006C798A"/>
    <w:rsid w:val="006C7A48"/>
    <w:rsid w:val="006C7E40"/>
    <w:rsid w:val="006D05DB"/>
    <w:rsid w:val="006D0894"/>
    <w:rsid w:val="006D1564"/>
    <w:rsid w:val="006D179A"/>
    <w:rsid w:val="006D1C4F"/>
    <w:rsid w:val="006D1EAB"/>
    <w:rsid w:val="006D21E9"/>
    <w:rsid w:val="006D21EB"/>
    <w:rsid w:val="006D22F6"/>
    <w:rsid w:val="006D257F"/>
    <w:rsid w:val="006D303B"/>
    <w:rsid w:val="006D311A"/>
    <w:rsid w:val="006D341F"/>
    <w:rsid w:val="006D35EA"/>
    <w:rsid w:val="006D37AF"/>
    <w:rsid w:val="006D3A1F"/>
    <w:rsid w:val="006D3A52"/>
    <w:rsid w:val="006D4177"/>
    <w:rsid w:val="006D4403"/>
    <w:rsid w:val="006D4720"/>
    <w:rsid w:val="006D47E1"/>
    <w:rsid w:val="006D4DF2"/>
    <w:rsid w:val="006D4FA9"/>
    <w:rsid w:val="006D5019"/>
    <w:rsid w:val="006D501E"/>
    <w:rsid w:val="006D50CD"/>
    <w:rsid w:val="006D5274"/>
    <w:rsid w:val="006D539F"/>
    <w:rsid w:val="006D5A63"/>
    <w:rsid w:val="006D5B26"/>
    <w:rsid w:val="006D5D56"/>
    <w:rsid w:val="006D66F4"/>
    <w:rsid w:val="006D6D49"/>
    <w:rsid w:val="006D6DB7"/>
    <w:rsid w:val="006D70E0"/>
    <w:rsid w:val="006D7856"/>
    <w:rsid w:val="006D7A8B"/>
    <w:rsid w:val="006E0181"/>
    <w:rsid w:val="006E0F71"/>
    <w:rsid w:val="006E13AE"/>
    <w:rsid w:val="006E16AA"/>
    <w:rsid w:val="006E1F6D"/>
    <w:rsid w:val="006E1F92"/>
    <w:rsid w:val="006E2A14"/>
    <w:rsid w:val="006E3227"/>
    <w:rsid w:val="006E3498"/>
    <w:rsid w:val="006E34A1"/>
    <w:rsid w:val="006E3841"/>
    <w:rsid w:val="006E3C64"/>
    <w:rsid w:val="006E3D8A"/>
    <w:rsid w:val="006E4199"/>
    <w:rsid w:val="006E43F6"/>
    <w:rsid w:val="006E450A"/>
    <w:rsid w:val="006E46D5"/>
    <w:rsid w:val="006E4CA2"/>
    <w:rsid w:val="006E4D80"/>
    <w:rsid w:val="006E4E3E"/>
    <w:rsid w:val="006E50B6"/>
    <w:rsid w:val="006E532B"/>
    <w:rsid w:val="006E5464"/>
    <w:rsid w:val="006E5EE8"/>
    <w:rsid w:val="006E6B3E"/>
    <w:rsid w:val="006E6D3C"/>
    <w:rsid w:val="006E6E49"/>
    <w:rsid w:val="006E7108"/>
    <w:rsid w:val="006E718A"/>
    <w:rsid w:val="006E71F1"/>
    <w:rsid w:val="006E72B3"/>
    <w:rsid w:val="006E78A2"/>
    <w:rsid w:val="006E7D1E"/>
    <w:rsid w:val="006F061A"/>
    <w:rsid w:val="006F0766"/>
    <w:rsid w:val="006F0B1D"/>
    <w:rsid w:val="006F0C05"/>
    <w:rsid w:val="006F0F53"/>
    <w:rsid w:val="006F195F"/>
    <w:rsid w:val="006F1CEE"/>
    <w:rsid w:val="006F1F96"/>
    <w:rsid w:val="006F21DA"/>
    <w:rsid w:val="006F2870"/>
    <w:rsid w:val="006F28CA"/>
    <w:rsid w:val="006F2A14"/>
    <w:rsid w:val="006F2CB5"/>
    <w:rsid w:val="006F2D05"/>
    <w:rsid w:val="006F2DD0"/>
    <w:rsid w:val="006F3552"/>
    <w:rsid w:val="006F3AED"/>
    <w:rsid w:val="006F3F61"/>
    <w:rsid w:val="006F402B"/>
    <w:rsid w:val="006F434D"/>
    <w:rsid w:val="006F5A43"/>
    <w:rsid w:val="006F618D"/>
    <w:rsid w:val="006F61DF"/>
    <w:rsid w:val="006F650B"/>
    <w:rsid w:val="006F67AF"/>
    <w:rsid w:val="006F69CF"/>
    <w:rsid w:val="006F70EF"/>
    <w:rsid w:val="007014EC"/>
    <w:rsid w:val="007018F0"/>
    <w:rsid w:val="007019F6"/>
    <w:rsid w:val="00701BBC"/>
    <w:rsid w:val="00701F04"/>
    <w:rsid w:val="007024FD"/>
    <w:rsid w:val="0070267F"/>
    <w:rsid w:val="00702733"/>
    <w:rsid w:val="00702CAB"/>
    <w:rsid w:val="00703521"/>
    <w:rsid w:val="00703732"/>
    <w:rsid w:val="0070383F"/>
    <w:rsid w:val="00703DA0"/>
    <w:rsid w:val="0070438D"/>
    <w:rsid w:val="00704407"/>
    <w:rsid w:val="0070493B"/>
    <w:rsid w:val="00704983"/>
    <w:rsid w:val="00704D58"/>
    <w:rsid w:val="00704FF7"/>
    <w:rsid w:val="007052B0"/>
    <w:rsid w:val="00705558"/>
    <w:rsid w:val="00705B86"/>
    <w:rsid w:val="00705E27"/>
    <w:rsid w:val="00705F5D"/>
    <w:rsid w:val="007061E9"/>
    <w:rsid w:val="007064D2"/>
    <w:rsid w:val="00706583"/>
    <w:rsid w:val="007069ED"/>
    <w:rsid w:val="007077AD"/>
    <w:rsid w:val="00707AA3"/>
    <w:rsid w:val="00707B2E"/>
    <w:rsid w:val="00707DF0"/>
    <w:rsid w:val="00707FBE"/>
    <w:rsid w:val="007102A7"/>
    <w:rsid w:val="007103DD"/>
    <w:rsid w:val="007107DF"/>
    <w:rsid w:val="007108F1"/>
    <w:rsid w:val="00710FA6"/>
    <w:rsid w:val="00710FBC"/>
    <w:rsid w:val="007110D8"/>
    <w:rsid w:val="00711275"/>
    <w:rsid w:val="0071162B"/>
    <w:rsid w:val="00711F81"/>
    <w:rsid w:val="0071251B"/>
    <w:rsid w:val="007125DE"/>
    <w:rsid w:val="00712750"/>
    <w:rsid w:val="00712967"/>
    <w:rsid w:val="00712E4D"/>
    <w:rsid w:val="0071312F"/>
    <w:rsid w:val="0071384D"/>
    <w:rsid w:val="00713A49"/>
    <w:rsid w:val="00713A52"/>
    <w:rsid w:val="00713B49"/>
    <w:rsid w:val="00713BA4"/>
    <w:rsid w:val="00713BAD"/>
    <w:rsid w:val="00713CCA"/>
    <w:rsid w:val="00713ED4"/>
    <w:rsid w:val="00713EF8"/>
    <w:rsid w:val="00714427"/>
    <w:rsid w:val="007144E6"/>
    <w:rsid w:val="00714741"/>
    <w:rsid w:val="00714C37"/>
    <w:rsid w:val="00714C8E"/>
    <w:rsid w:val="007156A6"/>
    <w:rsid w:val="0071574D"/>
    <w:rsid w:val="00715DF7"/>
    <w:rsid w:val="00715E0F"/>
    <w:rsid w:val="00716094"/>
    <w:rsid w:val="00716262"/>
    <w:rsid w:val="00716567"/>
    <w:rsid w:val="00716847"/>
    <w:rsid w:val="00716F33"/>
    <w:rsid w:val="0071747F"/>
    <w:rsid w:val="00717754"/>
    <w:rsid w:val="00717B7A"/>
    <w:rsid w:val="00720327"/>
    <w:rsid w:val="00720B5B"/>
    <w:rsid w:val="00720BDD"/>
    <w:rsid w:val="00720E66"/>
    <w:rsid w:val="0072101F"/>
    <w:rsid w:val="007212CB"/>
    <w:rsid w:val="0072166A"/>
    <w:rsid w:val="00721ACD"/>
    <w:rsid w:val="00721EE9"/>
    <w:rsid w:val="00721FB6"/>
    <w:rsid w:val="007220FA"/>
    <w:rsid w:val="00722732"/>
    <w:rsid w:val="007233EF"/>
    <w:rsid w:val="0072369E"/>
    <w:rsid w:val="007238A9"/>
    <w:rsid w:val="00723B94"/>
    <w:rsid w:val="00723E35"/>
    <w:rsid w:val="00723E43"/>
    <w:rsid w:val="00724089"/>
    <w:rsid w:val="007240EE"/>
    <w:rsid w:val="007243FC"/>
    <w:rsid w:val="00724512"/>
    <w:rsid w:val="00724D36"/>
    <w:rsid w:val="00724E80"/>
    <w:rsid w:val="00724F48"/>
    <w:rsid w:val="00724FD0"/>
    <w:rsid w:val="00725400"/>
    <w:rsid w:val="0072547C"/>
    <w:rsid w:val="00725EF0"/>
    <w:rsid w:val="0072604F"/>
    <w:rsid w:val="007263D3"/>
    <w:rsid w:val="007267EC"/>
    <w:rsid w:val="00726BFF"/>
    <w:rsid w:val="00727213"/>
    <w:rsid w:val="0072742F"/>
    <w:rsid w:val="00727F78"/>
    <w:rsid w:val="007303D5"/>
    <w:rsid w:val="00730E54"/>
    <w:rsid w:val="0073139C"/>
    <w:rsid w:val="0073154D"/>
    <w:rsid w:val="0073162B"/>
    <w:rsid w:val="00731881"/>
    <w:rsid w:val="00731913"/>
    <w:rsid w:val="00731DB2"/>
    <w:rsid w:val="007321D1"/>
    <w:rsid w:val="0073226A"/>
    <w:rsid w:val="007326BB"/>
    <w:rsid w:val="00732B3D"/>
    <w:rsid w:val="00733045"/>
    <w:rsid w:val="0073326B"/>
    <w:rsid w:val="007337E1"/>
    <w:rsid w:val="00733F24"/>
    <w:rsid w:val="00733FA3"/>
    <w:rsid w:val="00734032"/>
    <w:rsid w:val="007342AC"/>
    <w:rsid w:val="00734713"/>
    <w:rsid w:val="00734AE3"/>
    <w:rsid w:val="00734D2F"/>
    <w:rsid w:val="00734DD9"/>
    <w:rsid w:val="00734F0F"/>
    <w:rsid w:val="0073510D"/>
    <w:rsid w:val="0073518A"/>
    <w:rsid w:val="00735226"/>
    <w:rsid w:val="00735609"/>
    <w:rsid w:val="007358D6"/>
    <w:rsid w:val="00735BBB"/>
    <w:rsid w:val="00735C53"/>
    <w:rsid w:val="00736743"/>
    <w:rsid w:val="00736E50"/>
    <w:rsid w:val="007373FD"/>
    <w:rsid w:val="00737A7A"/>
    <w:rsid w:val="00737FE5"/>
    <w:rsid w:val="007401D9"/>
    <w:rsid w:val="00740460"/>
    <w:rsid w:val="0074051D"/>
    <w:rsid w:val="00740F24"/>
    <w:rsid w:val="00741B45"/>
    <w:rsid w:val="00741D80"/>
    <w:rsid w:val="00741E2F"/>
    <w:rsid w:val="00741EC9"/>
    <w:rsid w:val="00742082"/>
    <w:rsid w:val="0074246F"/>
    <w:rsid w:val="007429ED"/>
    <w:rsid w:val="00742A67"/>
    <w:rsid w:val="007430CA"/>
    <w:rsid w:val="007436A4"/>
    <w:rsid w:val="00743C7B"/>
    <w:rsid w:val="00743DC3"/>
    <w:rsid w:val="00743F94"/>
    <w:rsid w:val="007443B6"/>
    <w:rsid w:val="00744E39"/>
    <w:rsid w:val="00744F5B"/>
    <w:rsid w:val="007450A7"/>
    <w:rsid w:val="00745692"/>
    <w:rsid w:val="007464FB"/>
    <w:rsid w:val="00746832"/>
    <w:rsid w:val="0074694C"/>
    <w:rsid w:val="0074704B"/>
    <w:rsid w:val="007474DC"/>
    <w:rsid w:val="00747741"/>
    <w:rsid w:val="00747A9B"/>
    <w:rsid w:val="00747C42"/>
    <w:rsid w:val="00747D86"/>
    <w:rsid w:val="007501D2"/>
    <w:rsid w:val="0075064B"/>
    <w:rsid w:val="00750C6B"/>
    <w:rsid w:val="00750DF9"/>
    <w:rsid w:val="00750EB3"/>
    <w:rsid w:val="00751212"/>
    <w:rsid w:val="0075198E"/>
    <w:rsid w:val="00751A2A"/>
    <w:rsid w:val="00751C4D"/>
    <w:rsid w:val="00751DEC"/>
    <w:rsid w:val="00752066"/>
    <w:rsid w:val="00752071"/>
    <w:rsid w:val="007529C8"/>
    <w:rsid w:val="007534AC"/>
    <w:rsid w:val="00753B48"/>
    <w:rsid w:val="00753D5A"/>
    <w:rsid w:val="00753E9C"/>
    <w:rsid w:val="00753EB2"/>
    <w:rsid w:val="0075428E"/>
    <w:rsid w:val="007542B0"/>
    <w:rsid w:val="00754429"/>
    <w:rsid w:val="00754696"/>
    <w:rsid w:val="00754B16"/>
    <w:rsid w:val="00754D0A"/>
    <w:rsid w:val="007553B1"/>
    <w:rsid w:val="00756772"/>
    <w:rsid w:val="00756A0A"/>
    <w:rsid w:val="0075719C"/>
    <w:rsid w:val="0075766C"/>
    <w:rsid w:val="007577CE"/>
    <w:rsid w:val="007579E1"/>
    <w:rsid w:val="00757B91"/>
    <w:rsid w:val="00757EC1"/>
    <w:rsid w:val="007607CE"/>
    <w:rsid w:val="00760AD3"/>
    <w:rsid w:val="00760DF0"/>
    <w:rsid w:val="00760F06"/>
    <w:rsid w:val="007615E4"/>
    <w:rsid w:val="0076186B"/>
    <w:rsid w:val="00761AEA"/>
    <w:rsid w:val="00761E0D"/>
    <w:rsid w:val="00762133"/>
    <w:rsid w:val="0076230C"/>
    <w:rsid w:val="00762DD6"/>
    <w:rsid w:val="00762F71"/>
    <w:rsid w:val="00762FDB"/>
    <w:rsid w:val="00763152"/>
    <w:rsid w:val="00763529"/>
    <w:rsid w:val="00763648"/>
    <w:rsid w:val="00763693"/>
    <w:rsid w:val="00763A62"/>
    <w:rsid w:val="007640A5"/>
    <w:rsid w:val="007642FF"/>
    <w:rsid w:val="0076489E"/>
    <w:rsid w:val="007648E6"/>
    <w:rsid w:val="00764B7C"/>
    <w:rsid w:val="007650A2"/>
    <w:rsid w:val="00765995"/>
    <w:rsid w:val="00765E01"/>
    <w:rsid w:val="00765E98"/>
    <w:rsid w:val="00766416"/>
    <w:rsid w:val="00766422"/>
    <w:rsid w:val="00766B23"/>
    <w:rsid w:val="00766B5F"/>
    <w:rsid w:val="00766CA5"/>
    <w:rsid w:val="00767582"/>
    <w:rsid w:val="00767697"/>
    <w:rsid w:val="00767736"/>
    <w:rsid w:val="00767D7B"/>
    <w:rsid w:val="00767F3E"/>
    <w:rsid w:val="00770427"/>
    <w:rsid w:val="0077045B"/>
    <w:rsid w:val="00770887"/>
    <w:rsid w:val="007708DC"/>
    <w:rsid w:val="00770982"/>
    <w:rsid w:val="00771C2B"/>
    <w:rsid w:val="007727F1"/>
    <w:rsid w:val="00772CAA"/>
    <w:rsid w:val="00772D55"/>
    <w:rsid w:val="00772EF8"/>
    <w:rsid w:val="007730CC"/>
    <w:rsid w:val="0077322E"/>
    <w:rsid w:val="00773772"/>
    <w:rsid w:val="00774020"/>
    <w:rsid w:val="00774716"/>
    <w:rsid w:val="0077484D"/>
    <w:rsid w:val="00774DE7"/>
    <w:rsid w:val="007752F8"/>
    <w:rsid w:val="0077546D"/>
    <w:rsid w:val="007759E0"/>
    <w:rsid w:val="00775AF6"/>
    <w:rsid w:val="00776409"/>
    <w:rsid w:val="007766A4"/>
    <w:rsid w:val="00776784"/>
    <w:rsid w:val="007767C5"/>
    <w:rsid w:val="00776B05"/>
    <w:rsid w:val="007770A7"/>
    <w:rsid w:val="0077785A"/>
    <w:rsid w:val="00777E17"/>
    <w:rsid w:val="00780319"/>
    <w:rsid w:val="007803D0"/>
    <w:rsid w:val="00780ABC"/>
    <w:rsid w:val="00780C15"/>
    <w:rsid w:val="00780EBC"/>
    <w:rsid w:val="0078138E"/>
    <w:rsid w:val="007815EB"/>
    <w:rsid w:val="00781659"/>
    <w:rsid w:val="0078251F"/>
    <w:rsid w:val="00782523"/>
    <w:rsid w:val="007827F1"/>
    <w:rsid w:val="00783029"/>
    <w:rsid w:val="007830F5"/>
    <w:rsid w:val="007832BD"/>
    <w:rsid w:val="0078359E"/>
    <w:rsid w:val="007837AB"/>
    <w:rsid w:val="00783ECE"/>
    <w:rsid w:val="007841D6"/>
    <w:rsid w:val="00784A2F"/>
    <w:rsid w:val="00784CD2"/>
    <w:rsid w:val="00784D35"/>
    <w:rsid w:val="00784E3D"/>
    <w:rsid w:val="007850B5"/>
    <w:rsid w:val="00785EEE"/>
    <w:rsid w:val="00786292"/>
    <w:rsid w:val="00786515"/>
    <w:rsid w:val="007866E5"/>
    <w:rsid w:val="00786C75"/>
    <w:rsid w:val="00787276"/>
    <w:rsid w:val="0078727E"/>
    <w:rsid w:val="00787CCA"/>
    <w:rsid w:val="00790251"/>
    <w:rsid w:val="00790C39"/>
    <w:rsid w:val="00791101"/>
    <w:rsid w:val="00791215"/>
    <w:rsid w:val="0079130C"/>
    <w:rsid w:val="007919BA"/>
    <w:rsid w:val="00791EE4"/>
    <w:rsid w:val="00792348"/>
    <w:rsid w:val="00792849"/>
    <w:rsid w:val="00792BF4"/>
    <w:rsid w:val="00792C85"/>
    <w:rsid w:val="00792F8D"/>
    <w:rsid w:val="00793281"/>
    <w:rsid w:val="007950CE"/>
    <w:rsid w:val="007957B6"/>
    <w:rsid w:val="007961AA"/>
    <w:rsid w:val="0079645D"/>
    <w:rsid w:val="00796BDD"/>
    <w:rsid w:val="00796C8D"/>
    <w:rsid w:val="00797250"/>
    <w:rsid w:val="007975CA"/>
    <w:rsid w:val="00797675"/>
    <w:rsid w:val="007977B0"/>
    <w:rsid w:val="00797848"/>
    <w:rsid w:val="00797A09"/>
    <w:rsid w:val="00797A1F"/>
    <w:rsid w:val="007A0867"/>
    <w:rsid w:val="007A098C"/>
    <w:rsid w:val="007A0DF3"/>
    <w:rsid w:val="007A10A3"/>
    <w:rsid w:val="007A126F"/>
    <w:rsid w:val="007A12F9"/>
    <w:rsid w:val="007A1518"/>
    <w:rsid w:val="007A1642"/>
    <w:rsid w:val="007A1BEE"/>
    <w:rsid w:val="007A2B3E"/>
    <w:rsid w:val="007A3260"/>
    <w:rsid w:val="007A3376"/>
    <w:rsid w:val="007A34B2"/>
    <w:rsid w:val="007A38E9"/>
    <w:rsid w:val="007A41D4"/>
    <w:rsid w:val="007A4208"/>
    <w:rsid w:val="007A445E"/>
    <w:rsid w:val="007A4A89"/>
    <w:rsid w:val="007A4EC2"/>
    <w:rsid w:val="007A50B2"/>
    <w:rsid w:val="007A627D"/>
    <w:rsid w:val="007A62E3"/>
    <w:rsid w:val="007A6536"/>
    <w:rsid w:val="007A6B37"/>
    <w:rsid w:val="007A7191"/>
    <w:rsid w:val="007A7205"/>
    <w:rsid w:val="007A7314"/>
    <w:rsid w:val="007A78EA"/>
    <w:rsid w:val="007B008F"/>
    <w:rsid w:val="007B04F5"/>
    <w:rsid w:val="007B10F3"/>
    <w:rsid w:val="007B110E"/>
    <w:rsid w:val="007B24B5"/>
    <w:rsid w:val="007B3315"/>
    <w:rsid w:val="007B3369"/>
    <w:rsid w:val="007B3549"/>
    <w:rsid w:val="007B3621"/>
    <w:rsid w:val="007B36EF"/>
    <w:rsid w:val="007B442C"/>
    <w:rsid w:val="007B4A82"/>
    <w:rsid w:val="007B523F"/>
    <w:rsid w:val="007B52A7"/>
    <w:rsid w:val="007B6007"/>
    <w:rsid w:val="007B626B"/>
    <w:rsid w:val="007B64AA"/>
    <w:rsid w:val="007B7198"/>
    <w:rsid w:val="007B71FE"/>
    <w:rsid w:val="007B7302"/>
    <w:rsid w:val="007B7451"/>
    <w:rsid w:val="007B7497"/>
    <w:rsid w:val="007B776B"/>
    <w:rsid w:val="007B7D81"/>
    <w:rsid w:val="007B7F69"/>
    <w:rsid w:val="007C0D38"/>
    <w:rsid w:val="007C1025"/>
    <w:rsid w:val="007C1321"/>
    <w:rsid w:val="007C16FE"/>
    <w:rsid w:val="007C1790"/>
    <w:rsid w:val="007C18CB"/>
    <w:rsid w:val="007C1FFB"/>
    <w:rsid w:val="007C2392"/>
    <w:rsid w:val="007C24EE"/>
    <w:rsid w:val="007C2A25"/>
    <w:rsid w:val="007C2E28"/>
    <w:rsid w:val="007C2E2E"/>
    <w:rsid w:val="007C3B8A"/>
    <w:rsid w:val="007C4568"/>
    <w:rsid w:val="007C4657"/>
    <w:rsid w:val="007C5818"/>
    <w:rsid w:val="007C5910"/>
    <w:rsid w:val="007C5951"/>
    <w:rsid w:val="007C59F7"/>
    <w:rsid w:val="007C618E"/>
    <w:rsid w:val="007C6C83"/>
    <w:rsid w:val="007C6DCF"/>
    <w:rsid w:val="007C6E65"/>
    <w:rsid w:val="007C73AC"/>
    <w:rsid w:val="007C7737"/>
    <w:rsid w:val="007C7A6C"/>
    <w:rsid w:val="007C7BB9"/>
    <w:rsid w:val="007C7C33"/>
    <w:rsid w:val="007C7F1F"/>
    <w:rsid w:val="007D0044"/>
    <w:rsid w:val="007D06F4"/>
    <w:rsid w:val="007D125B"/>
    <w:rsid w:val="007D17CC"/>
    <w:rsid w:val="007D18FE"/>
    <w:rsid w:val="007D1FA3"/>
    <w:rsid w:val="007D2455"/>
    <w:rsid w:val="007D32B4"/>
    <w:rsid w:val="007D3AF7"/>
    <w:rsid w:val="007D434E"/>
    <w:rsid w:val="007D45C8"/>
    <w:rsid w:val="007D4BA8"/>
    <w:rsid w:val="007D4C28"/>
    <w:rsid w:val="007D4DEE"/>
    <w:rsid w:val="007D569F"/>
    <w:rsid w:val="007D59BC"/>
    <w:rsid w:val="007D5B05"/>
    <w:rsid w:val="007D653F"/>
    <w:rsid w:val="007D6A22"/>
    <w:rsid w:val="007D6F9A"/>
    <w:rsid w:val="007D716C"/>
    <w:rsid w:val="007D79D5"/>
    <w:rsid w:val="007E00E9"/>
    <w:rsid w:val="007E04BF"/>
    <w:rsid w:val="007E0DBB"/>
    <w:rsid w:val="007E0F97"/>
    <w:rsid w:val="007E100E"/>
    <w:rsid w:val="007E127A"/>
    <w:rsid w:val="007E1753"/>
    <w:rsid w:val="007E1904"/>
    <w:rsid w:val="007E1B84"/>
    <w:rsid w:val="007E1DD6"/>
    <w:rsid w:val="007E1F9F"/>
    <w:rsid w:val="007E2108"/>
    <w:rsid w:val="007E22C2"/>
    <w:rsid w:val="007E28C4"/>
    <w:rsid w:val="007E2B0A"/>
    <w:rsid w:val="007E2F61"/>
    <w:rsid w:val="007E301B"/>
    <w:rsid w:val="007E323F"/>
    <w:rsid w:val="007E35E4"/>
    <w:rsid w:val="007E376B"/>
    <w:rsid w:val="007E3A9E"/>
    <w:rsid w:val="007E3CBB"/>
    <w:rsid w:val="007E413C"/>
    <w:rsid w:val="007E41FB"/>
    <w:rsid w:val="007E474B"/>
    <w:rsid w:val="007E4B68"/>
    <w:rsid w:val="007E4CC0"/>
    <w:rsid w:val="007E4DD3"/>
    <w:rsid w:val="007E56AE"/>
    <w:rsid w:val="007E59CA"/>
    <w:rsid w:val="007E5F7B"/>
    <w:rsid w:val="007E66D8"/>
    <w:rsid w:val="007E75C0"/>
    <w:rsid w:val="007E786E"/>
    <w:rsid w:val="007F052C"/>
    <w:rsid w:val="007F07F3"/>
    <w:rsid w:val="007F1203"/>
    <w:rsid w:val="007F1230"/>
    <w:rsid w:val="007F178D"/>
    <w:rsid w:val="007F1A1F"/>
    <w:rsid w:val="007F1D41"/>
    <w:rsid w:val="007F1F03"/>
    <w:rsid w:val="007F24B0"/>
    <w:rsid w:val="007F2625"/>
    <w:rsid w:val="007F2766"/>
    <w:rsid w:val="007F29F1"/>
    <w:rsid w:val="007F2F76"/>
    <w:rsid w:val="007F35DF"/>
    <w:rsid w:val="007F3E5C"/>
    <w:rsid w:val="007F406A"/>
    <w:rsid w:val="007F45BC"/>
    <w:rsid w:val="007F4EEF"/>
    <w:rsid w:val="007F5114"/>
    <w:rsid w:val="007F54B2"/>
    <w:rsid w:val="007F54DE"/>
    <w:rsid w:val="007F5506"/>
    <w:rsid w:val="007F5609"/>
    <w:rsid w:val="007F59DB"/>
    <w:rsid w:val="007F6592"/>
    <w:rsid w:val="007F65F9"/>
    <w:rsid w:val="007F65FF"/>
    <w:rsid w:val="007F68B7"/>
    <w:rsid w:val="007F6C61"/>
    <w:rsid w:val="007F6E44"/>
    <w:rsid w:val="007F78D5"/>
    <w:rsid w:val="007F7902"/>
    <w:rsid w:val="007F7CD3"/>
    <w:rsid w:val="007F7F48"/>
    <w:rsid w:val="0080016B"/>
    <w:rsid w:val="00800DAF"/>
    <w:rsid w:val="00801259"/>
    <w:rsid w:val="00801265"/>
    <w:rsid w:val="008013CE"/>
    <w:rsid w:val="00801843"/>
    <w:rsid w:val="00801A73"/>
    <w:rsid w:val="008024AE"/>
    <w:rsid w:val="00802E04"/>
    <w:rsid w:val="0080396D"/>
    <w:rsid w:val="00803CEE"/>
    <w:rsid w:val="00803F6D"/>
    <w:rsid w:val="00803F9C"/>
    <w:rsid w:val="00804350"/>
    <w:rsid w:val="0080444A"/>
    <w:rsid w:val="008045CF"/>
    <w:rsid w:val="008045ED"/>
    <w:rsid w:val="00805103"/>
    <w:rsid w:val="008051F0"/>
    <w:rsid w:val="00805E97"/>
    <w:rsid w:val="00805FD3"/>
    <w:rsid w:val="00805FFE"/>
    <w:rsid w:val="00806119"/>
    <w:rsid w:val="00806131"/>
    <w:rsid w:val="00806800"/>
    <w:rsid w:val="008069A6"/>
    <w:rsid w:val="00806CC1"/>
    <w:rsid w:val="00807560"/>
    <w:rsid w:val="00810546"/>
    <w:rsid w:val="00810653"/>
    <w:rsid w:val="00810935"/>
    <w:rsid w:val="00810B19"/>
    <w:rsid w:val="00810D7B"/>
    <w:rsid w:val="00810DC0"/>
    <w:rsid w:val="00810E3C"/>
    <w:rsid w:val="00811441"/>
    <w:rsid w:val="00811799"/>
    <w:rsid w:val="00812597"/>
    <w:rsid w:val="00812786"/>
    <w:rsid w:val="008128C4"/>
    <w:rsid w:val="00813038"/>
    <w:rsid w:val="008134F1"/>
    <w:rsid w:val="008138E4"/>
    <w:rsid w:val="00813BBB"/>
    <w:rsid w:val="00813F65"/>
    <w:rsid w:val="00815063"/>
    <w:rsid w:val="00815198"/>
    <w:rsid w:val="008153F6"/>
    <w:rsid w:val="00815CEC"/>
    <w:rsid w:val="008168A5"/>
    <w:rsid w:val="00816D7C"/>
    <w:rsid w:val="00817036"/>
    <w:rsid w:val="008170E9"/>
    <w:rsid w:val="00817314"/>
    <w:rsid w:val="00817AEB"/>
    <w:rsid w:val="00817C76"/>
    <w:rsid w:val="0082004A"/>
    <w:rsid w:val="008202BA"/>
    <w:rsid w:val="008202F3"/>
    <w:rsid w:val="0082037E"/>
    <w:rsid w:val="0082079C"/>
    <w:rsid w:val="00820875"/>
    <w:rsid w:val="00820962"/>
    <w:rsid w:val="00820BE6"/>
    <w:rsid w:val="008210D3"/>
    <w:rsid w:val="008213AF"/>
    <w:rsid w:val="00821444"/>
    <w:rsid w:val="008215B9"/>
    <w:rsid w:val="008216BC"/>
    <w:rsid w:val="00821747"/>
    <w:rsid w:val="00821749"/>
    <w:rsid w:val="00821B89"/>
    <w:rsid w:val="0082235A"/>
    <w:rsid w:val="00822B95"/>
    <w:rsid w:val="00822EDB"/>
    <w:rsid w:val="008234DD"/>
    <w:rsid w:val="0082393B"/>
    <w:rsid w:val="00823976"/>
    <w:rsid w:val="00823B36"/>
    <w:rsid w:val="00823C82"/>
    <w:rsid w:val="00823E43"/>
    <w:rsid w:val="00823F07"/>
    <w:rsid w:val="00824070"/>
    <w:rsid w:val="008241D8"/>
    <w:rsid w:val="008242AC"/>
    <w:rsid w:val="0082454A"/>
    <w:rsid w:val="00825F9C"/>
    <w:rsid w:val="00826094"/>
    <w:rsid w:val="008262D2"/>
    <w:rsid w:val="0082661D"/>
    <w:rsid w:val="00826E50"/>
    <w:rsid w:val="00830151"/>
    <w:rsid w:val="0083023D"/>
    <w:rsid w:val="00830423"/>
    <w:rsid w:val="008306CF"/>
    <w:rsid w:val="0083082F"/>
    <w:rsid w:val="00830D15"/>
    <w:rsid w:val="00830E17"/>
    <w:rsid w:val="008314D1"/>
    <w:rsid w:val="0083168F"/>
    <w:rsid w:val="00831EED"/>
    <w:rsid w:val="00832056"/>
    <w:rsid w:val="00832190"/>
    <w:rsid w:val="008326E7"/>
    <w:rsid w:val="008328E3"/>
    <w:rsid w:val="00832DEB"/>
    <w:rsid w:val="00833836"/>
    <w:rsid w:val="00834161"/>
    <w:rsid w:val="00834BCD"/>
    <w:rsid w:val="00834FB3"/>
    <w:rsid w:val="00835288"/>
    <w:rsid w:val="008354B6"/>
    <w:rsid w:val="00835CC8"/>
    <w:rsid w:val="00835DBD"/>
    <w:rsid w:val="0083601A"/>
    <w:rsid w:val="00836054"/>
    <w:rsid w:val="0083607D"/>
    <w:rsid w:val="008360FD"/>
    <w:rsid w:val="00836272"/>
    <w:rsid w:val="008362B6"/>
    <w:rsid w:val="00836D0F"/>
    <w:rsid w:val="008374FC"/>
    <w:rsid w:val="00837BEB"/>
    <w:rsid w:val="00840198"/>
    <w:rsid w:val="00840441"/>
    <w:rsid w:val="008405E0"/>
    <w:rsid w:val="00840BC5"/>
    <w:rsid w:val="00840C3C"/>
    <w:rsid w:val="00840F7F"/>
    <w:rsid w:val="00841150"/>
    <w:rsid w:val="0084199D"/>
    <w:rsid w:val="00841CA2"/>
    <w:rsid w:val="00841D85"/>
    <w:rsid w:val="00841F1E"/>
    <w:rsid w:val="00842771"/>
    <w:rsid w:val="00842B7D"/>
    <w:rsid w:val="00842ECE"/>
    <w:rsid w:val="00842FDA"/>
    <w:rsid w:val="00843CBA"/>
    <w:rsid w:val="00843EAC"/>
    <w:rsid w:val="008442D2"/>
    <w:rsid w:val="00844697"/>
    <w:rsid w:val="00844985"/>
    <w:rsid w:val="00844A9F"/>
    <w:rsid w:val="00844E9A"/>
    <w:rsid w:val="00845606"/>
    <w:rsid w:val="0084568A"/>
    <w:rsid w:val="00845BDB"/>
    <w:rsid w:val="008461BF"/>
    <w:rsid w:val="008461C8"/>
    <w:rsid w:val="008469B1"/>
    <w:rsid w:val="00846A1C"/>
    <w:rsid w:val="00846E82"/>
    <w:rsid w:val="00846F2F"/>
    <w:rsid w:val="00847A74"/>
    <w:rsid w:val="00847E54"/>
    <w:rsid w:val="00850A7B"/>
    <w:rsid w:val="00850E23"/>
    <w:rsid w:val="00850FB1"/>
    <w:rsid w:val="00850FB2"/>
    <w:rsid w:val="00851388"/>
    <w:rsid w:val="008519BC"/>
    <w:rsid w:val="00851BF8"/>
    <w:rsid w:val="00851E6C"/>
    <w:rsid w:val="00851F93"/>
    <w:rsid w:val="00852345"/>
    <w:rsid w:val="00852638"/>
    <w:rsid w:val="00852D5C"/>
    <w:rsid w:val="00852F05"/>
    <w:rsid w:val="00853090"/>
    <w:rsid w:val="00853329"/>
    <w:rsid w:val="00853509"/>
    <w:rsid w:val="00853ABB"/>
    <w:rsid w:val="00853AF2"/>
    <w:rsid w:val="00853B02"/>
    <w:rsid w:val="00853BC8"/>
    <w:rsid w:val="0085437C"/>
    <w:rsid w:val="008549B5"/>
    <w:rsid w:val="00854CCB"/>
    <w:rsid w:val="0085580B"/>
    <w:rsid w:val="008559B2"/>
    <w:rsid w:val="00855C1C"/>
    <w:rsid w:val="00856043"/>
    <w:rsid w:val="008562F6"/>
    <w:rsid w:val="00856595"/>
    <w:rsid w:val="00856D8A"/>
    <w:rsid w:val="00856F53"/>
    <w:rsid w:val="00856FC6"/>
    <w:rsid w:val="0085756E"/>
    <w:rsid w:val="008575D8"/>
    <w:rsid w:val="008576D3"/>
    <w:rsid w:val="00860156"/>
    <w:rsid w:val="00860F01"/>
    <w:rsid w:val="00860F36"/>
    <w:rsid w:val="00861072"/>
    <w:rsid w:val="008612A8"/>
    <w:rsid w:val="008625C0"/>
    <w:rsid w:val="008629B1"/>
    <w:rsid w:val="00862B00"/>
    <w:rsid w:val="008634DA"/>
    <w:rsid w:val="00863FA2"/>
    <w:rsid w:val="00864133"/>
    <w:rsid w:val="00864189"/>
    <w:rsid w:val="0086438A"/>
    <w:rsid w:val="00864BAC"/>
    <w:rsid w:val="00864C1A"/>
    <w:rsid w:val="00865223"/>
    <w:rsid w:val="00865250"/>
    <w:rsid w:val="00865264"/>
    <w:rsid w:val="0086592B"/>
    <w:rsid w:val="00865D8C"/>
    <w:rsid w:val="00866142"/>
    <w:rsid w:val="0086660F"/>
    <w:rsid w:val="00866972"/>
    <w:rsid w:val="00867040"/>
    <w:rsid w:val="00867071"/>
    <w:rsid w:val="00867198"/>
    <w:rsid w:val="0086751D"/>
    <w:rsid w:val="00867903"/>
    <w:rsid w:val="00867EE1"/>
    <w:rsid w:val="00870084"/>
    <w:rsid w:val="00870638"/>
    <w:rsid w:val="0087081F"/>
    <w:rsid w:val="00870888"/>
    <w:rsid w:val="00870FA2"/>
    <w:rsid w:val="008714DD"/>
    <w:rsid w:val="00871528"/>
    <w:rsid w:val="0087158E"/>
    <w:rsid w:val="008715A1"/>
    <w:rsid w:val="0087193A"/>
    <w:rsid w:val="00871B9F"/>
    <w:rsid w:val="00871CA8"/>
    <w:rsid w:val="008722DD"/>
    <w:rsid w:val="00872D49"/>
    <w:rsid w:val="008734C1"/>
    <w:rsid w:val="00873DED"/>
    <w:rsid w:val="00874500"/>
    <w:rsid w:val="0087488B"/>
    <w:rsid w:val="00874A2B"/>
    <w:rsid w:val="00874B1E"/>
    <w:rsid w:val="00874BAA"/>
    <w:rsid w:val="00875CB8"/>
    <w:rsid w:val="00876531"/>
    <w:rsid w:val="00876987"/>
    <w:rsid w:val="00877628"/>
    <w:rsid w:val="008777AC"/>
    <w:rsid w:val="00877A4E"/>
    <w:rsid w:val="00877F55"/>
    <w:rsid w:val="00880721"/>
    <w:rsid w:val="00880CE6"/>
    <w:rsid w:val="008811AC"/>
    <w:rsid w:val="00881978"/>
    <w:rsid w:val="00881A32"/>
    <w:rsid w:val="00881C12"/>
    <w:rsid w:val="00881DA0"/>
    <w:rsid w:val="008820D1"/>
    <w:rsid w:val="008828B3"/>
    <w:rsid w:val="00882DCD"/>
    <w:rsid w:val="00883399"/>
    <w:rsid w:val="0088368D"/>
    <w:rsid w:val="00883A3D"/>
    <w:rsid w:val="00883A43"/>
    <w:rsid w:val="00884394"/>
    <w:rsid w:val="008844D2"/>
    <w:rsid w:val="0088475C"/>
    <w:rsid w:val="00884DE1"/>
    <w:rsid w:val="008856FD"/>
    <w:rsid w:val="00885C38"/>
    <w:rsid w:val="00886376"/>
    <w:rsid w:val="00886723"/>
    <w:rsid w:val="00886D08"/>
    <w:rsid w:val="00887157"/>
    <w:rsid w:val="00887FDF"/>
    <w:rsid w:val="00891B29"/>
    <w:rsid w:val="00892422"/>
    <w:rsid w:val="0089296D"/>
    <w:rsid w:val="008930F0"/>
    <w:rsid w:val="008936B4"/>
    <w:rsid w:val="00893D2C"/>
    <w:rsid w:val="00893F6D"/>
    <w:rsid w:val="008943A7"/>
    <w:rsid w:val="008947AD"/>
    <w:rsid w:val="00895BF3"/>
    <w:rsid w:val="008967D5"/>
    <w:rsid w:val="008969AB"/>
    <w:rsid w:val="00896B3C"/>
    <w:rsid w:val="00896D37"/>
    <w:rsid w:val="008971B1"/>
    <w:rsid w:val="00897432"/>
    <w:rsid w:val="00897E53"/>
    <w:rsid w:val="008A0382"/>
    <w:rsid w:val="008A0606"/>
    <w:rsid w:val="008A0A31"/>
    <w:rsid w:val="008A0DA6"/>
    <w:rsid w:val="008A0FDF"/>
    <w:rsid w:val="008A10A4"/>
    <w:rsid w:val="008A1600"/>
    <w:rsid w:val="008A1EBC"/>
    <w:rsid w:val="008A1FA2"/>
    <w:rsid w:val="008A2293"/>
    <w:rsid w:val="008A2E1E"/>
    <w:rsid w:val="008A2E6F"/>
    <w:rsid w:val="008A33BB"/>
    <w:rsid w:val="008A3859"/>
    <w:rsid w:val="008A40CE"/>
    <w:rsid w:val="008A443A"/>
    <w:rsid w:val="008A4C9D"/>
    <w:rsid w:val="008A4F5D"/>
    <w:rsid w:val="008A4FD2"/>
    <w:rsid w:val="008A50AB"/>
    <w:rsid w:val="008A5701"/>
    <w:rsid w:val="008A5DC0"/>
    <w:rsid w:val="008A680B"/>
    <w:rsid w:val="008A68CE"/>
    <w:rsid w:val="008A6F20"/>
    <w:rsid w:val="008A7090"/>
    <w:rsid w:val="008B012C"/>
    <w:rsid w:val="008B0190"/>
    <w:rsid w:val="008B041F"/>
    <w:rsid w:val="008B0629"/>
    <w:rsid w:val="008B07BC"/>
    <w:rsid w:val="008B0922"/>
    <w:rsid w:val="008B1242"/>
    <w:rsid w:val="008B165E"/>
    <w:rsid w:val="008B16CD"/>
    <w:rsid w:val="008B173A"/>
    <w:rsid w:val="008B19FD"/>
    <w:rsid w:val="008B1D39"/>
    <w:rsid w:val="008B21AD"/>
    <w:rsid w:val="008B2795"/>
    <w:rsid w:val="008B27CF"/>
    <w:rsid w:val="008B2B3C"/>
    <w:rsid w:val="008B30B0"/>
    <w:rsid w:val="008B320A"/>
    <w:rsid w:val="008B327D"/>
    <w:rsid w:val="008B3C26"/>
    <w:rsid w:val="008B44A8"/>
    <w:rsid w:val="008B4705"/>
    <w:rsid w:val="008B4957"/>
    <w:rsid w:val="008B53F4"/>
    <w:rsid w:val="008B5D4B"/>
    <w:rsid w:val="008B6A86"/>
    <w:rsid w:val="008B70EF"/>
    <w:rsid w:val="008B7125"/>
    <w:rsid w:val="008C01D1"/>
    <w:rsid w:val="008C022C"/>
    <w:rsid w:val="008C0A2D"/>
    <w:rsid w:val="008C0F0C"/>
    <w:rsid w:val="008C1E94"/>
    <w:rsid w:val="008C248C"/>
    <w:rsid w:val="008C298A"/>
    <w:rsid w:val="008C2C08"/>
    <w:rsid w:val="008C2F0D"/>
    <w:rsid w:val="008C30EB"/>
    <w:rsid w:val="008C326F"/>
    <w:rsid w:val="008C34B2"/>
    <w:rsid w:val="008C3788"/>
    <w:rsid w:val="008C3C39"/>
    <w:rsid w:val="008C46BF"/>
    <w:rsid w:val="008C48B0"/>
    <w:rsid w:val="008C50E6"/>
    <w:rsid w:val="008C541E"/>
    <w:rsid w:val="008C57A8"/>
    <w:rsid w:val="008C635B"/>
    <w:rsid w:val="008C6976"/>
    <w:rsid w:val="008C6B7D"/>
    <w:rsid w:val="008C7074"/>
    <w:rsid w:val="008C73F7"/>
    <w:rsid w:val="008C750D"/>
    <w:rsid w:val="008C7604"/>
    <w:rsid w:val="008C7A40"/>
    <w:rsid w:val="008D006B"/>
    <w:rsid w:val="008D02CD"/>
    <w:rsid w:val="008D0DFE"/>
    <w:rsid w:val="008D1038"/>
    <w:rsid w:val="008D1112"/>
    <w:rsid w:val="008D14BB"/>
    <w:rsid w:val="008D176B"/>
    <w:rsid w:val="008D196A"/>
    <w:rsid w:val="008D1A01"/>
    <w:rsid w:val="008D1F29"/>
    <w:rsid w:val="008D22DF"/>
    <w:rsid w:val="008D25B4"/>
    <w:rsid w:val="008D2835"/>
    <w:rsid w:val="008D2E4C"/>
    <w:rsid w:val="008D2F84"/>
    <w:rsid w:val="008D3836"/>
    <w:rsid w:val="008D3DDA"/>
    <w:rsid w:val="008D3FF4"/>
    <w:rsid w:val="008D4678"/>
    <w:rsid w:val="008D4831"/>
    <w:rsid w:val="008D48C6"/>
    <w:rsid w:val="008D53C2"/>
    <w:rsid w:val="008D53D8"/>
    <w:rsid w:val="008D5C9C"/>
    <w:rsid w:val="008D60BA"/>
    <w:rsid w:val="008D653F"/>
    <w:rsid w:val="008D67E9"/>
    <w:rsid w:val="008D7032"/>
    <w:rsid w:val="008D73C3"/>
    <w:rsid w:val="008D73D2"/>
    <w:rsid w:val="008D78AA"/>
    <w:rsid w:val="008E09C3"/>
    <w:rsid w:val="008E0ACA"/>
    <w:rsid w:val="008E0C42"/>
    <w:rsid w:val="008E1192"/>
    <w:rsid w:val="008E13BD"/>
    <w:rsid w:val="008E16C7"/>
    <w:rsid w:val="008E182C"/>
    <w:rsid w:val="008E1C6A"/>
    <w:rsid w:val="008E20FF"/>
    <w:rsid w:val="008E272A"/>
    <w:rsid w:val="008E3521"/>
    <w:rsid w:val="008E3A2F"/>
    <w:rsid w:val="008E3AED"/>
    <w:rsid w:val="008E3C48"/>
    <w:rsid w:val="008E3CF5"/>
    <w:rsid w:val="008E3DEE"/>
    <w:rsid w:val="008E41B5"/>
    <w:rsid w:val="008E4C75"/>
    <w:rsid w:val="008E513C"/>
    <w:rsid w:val="008E56F4"/>
    <w:rsid w:val="008E69DA"/>
    <w:rsid w:val="008E6F55"/>
    <w:rsid w:val="008E7038"/>
    <w:rsid w:val="008E72DC"/>
    <w:rsid w:val="008E75BF"/>
    <w:rsid w:val="008E7703"/>
    <w:rsid w:val="008F0837"/>
    <w:rsid w:val="008F0D04"/>
    <w:rsid w:val="008F0DD5"/>
    <w:rsid w:val="008F1113"/>
    <w:rsid w:val="008F1134"/>
    <w:rsid w:val="008F1581"/>
    <w:rsid w:val="008F15D8"/>
    <w:rsid w:val="008F160D"/>
    <w:rsid w:val="008F1B20"/>
    <w:rsid w:val="008F1CA8"/>
    <w:rsid w:val="008F1D9B"/>
    <w:rsid w:val="008F1EA8"/>
    <w:rsid w:val="008F1EB5"/>
    <w:rsid w:val="008F209F"/>
    <w:rsid w:val="008F21BA"/>
    <w:rsid w:val="008F222A"/>
    <w:rsid w:val="008F29DC"/>
    <w:rsid w:val="008F2B13"/>
    <w:rsid w:val="008F2C55"/>
    <w:rsid w:val="008F3684"/>
    <w:rsid w:val="008F3E98"/>
    <w:rsid w:val="008F4D07"/>
    <w:rsid w:val="008F4F70"/>
    <w:rsid w:val="008F5136"/>
    <w:rsid w:val="008F51BB"/>
    <w:rsid w:val="008F542D"/>
    <w:rsid w:val="008F57F6"/>
    <w:rsid w:val="008F5D76"/>
    <w:rsid w:val="008F5E15"/>
    <w:rsid w:val="008F62EF"/>
    <w:rsid w:val="008F6AA6"/>
    <w:rsid w:val="008F6CD8"/>
    <w:rsid w:val="008F6D8B"/>
    <w:rsid w:val="008F6F6F"/>
    <w:rsid w:val="008F7938"/>
    <w:rsid w:val="008F7B9C"/>
    <w:rsid w:val="008F7EBE"/>
    <w:rsid w:val="008F7F2C"/>
    <w:rsid w:val="009006AA"/>
    <w:rsid w:val="009012FB"/>
    <w:rsid w:val="009013FC"/>
    <w:rsid w:val="009020AD"/>
    <w:rsid w:val="009020C8"/>
    <w:rsid w:val="0090215C"/>
    <w:rsid w:val="00902DFD"/>
    <w:rsid w:val="00902F75"/>
    <w:rsid w:val="00903093"/>
    <w:rsid w:val="0090310A"/>
    <w:rsid w:val="009039C4"/>
    <w:rsid w:val="00903E34"/>
    <w:rsid w:val="0090512C"/>
    <w:rsid w:val="009051FB"/>
    <w:rsid w:val="0090557C"/>
    <w:rsid w:val="0090562D"/>
    <w:rsid w:val="00905B1C"/>
    <w:rsid w:val="00905E17"/>
    <w:rsid w:val="0090633F"/>
    <w:rsid w:val="0090641A"/>
    <w:rsid w:val="0090737E"/>
    <w:rsid w:val="00907E49"/>
    <w:rsid w:val="009108E1"/>
    <w:rsid w:val="00910E84"/>
    <w:rsid w:val="00911411"/>
    <w:rsid w:val="00911B8C"/>
    <w:rsid w:val="00911DA0"/>
    <w:rsid w:val="0091226D"/>
    <w:rsid w:val="0091286D"/>
    <w:rsid w:val="00913197"/>
    <w:rsid w:val="0091353B"/>
    <w:rsid w:val="0091366D"/>
    <w:rsid w:val="00913A18"/>
    <w:rsid w:val="00913C26"/>
    <w:rsid w:val="00914035"/>
    <w:rsid w:val="00914399"/>
    <w:rsid w:val="009144A5"/>
    <w:rsid w:val="009145A3"/>
    <w:rsid w:val="00914882"/>
    <w:rsid w:val="009149DD"/>
    <w:rsid w:val="00914A25"/>
    <w:rsid w:val="00914E08"/>
    <w:rsid w:val="0091562C"/>
    <w:rsid w:val="00915C6E"/>
    <w:rsid w:val="00915CB5"/>
    <w:rsid w:val="00915EB0"/>
    <w:rsid w:val="009160C9"/>
    <w:rsid w:val="0091667E"/>
    <w:rsid w:val="009167E2"/>
    <w:rsid w:val="0091680A"/>
    <w:rsid w:val="00916D65"/>
    <w:rsid w:val="00916F6B"/>
    <w:rsid w:val="00917990"/>
    <w:rsid w:val="00917A2E"/>
    <w:rsid w:val="00917A63"/>
    <w:rsid w:val="00917BC5"/>
    <w:rsid w:val="00920649"/>
    <w:rsid w:val="00921262"/>
    <w:rsid w:val="00921588"/>
    <w:rsid w:val="009223FB"/>
    <w:rsid w:val="00922902"/>
    <w:rsid w:val="00922FE6"/>
    <w:rsid w:val="009231A5"/>
    <w:rsid w:val="0092343F"/>
    <w:rsid w:val="00923559"/>
    <w:rsid w:val="009236A4"/>
    <w:rsid w:val="009240F6"/>
    <w:rsid w:val="0092429A"/>
    <w:rsid w:val="00924745"/>
    <w:rsid w:val="00924C97"/>
    <w:rsid w:val="0092503F"/>
    <w:rsid w:val="00925C80"/>
    <w:rsid w:val="00925E60"/>
    <w:rsid w:val="00926944"/>
    <w:rsid w:val="009269F4"/>
    <w:rsid w:val="00927292"/>
    <w:rsid w:val="009272C0"/>
    <w:rsid w:val="00927717"/>
    <w:rsid w:val="00927E90"/>
    <w:rsid w:val="00927EF1"/>
    <w:rsid w:val="0093004F"/>
    <w:rsid w:val="0093040B"/>
    <w:rsid w:val="00930DB4"/>
    <w:rsid w:val="00930E6C"/>
    <w:rsid w:val="0093163C"/>
    <w:rsid w:val="00931682"/>
    <w:rsid w:val="00931C83"/>
    <w:rsid w:val="0093211F"/>
    <w:rsid w:val="00932186"/>
    <w:rsid w:val="00932464"/>
    <w:rsid w:val="009325A8"/>
    <w:rsid w:val="00932897"/>
    <w:rsid w:val="0093296D"/>
    <w:rsid w:val="00932987"/>
    <w:rsid w:val="00932FB8"/>
    <w:rsid w:val="009333DC"/>
    <w:rsid w:val="009337DB"/>
    <w:rsid w:val="00933BBE"/>
    <w:rsid w:val="00934030"/>
    <w:rsid w:val="009343A4"/>
    <w:rsid w:val="009344DC"/>
    <w:rsid w:val="00934F91"/>
    <w:rsid w:val="00935767"/>
    <w:rsid w:val="00935852"/>
    <w:rsid w:val="009362C3"/>
    <w:rsid w:val="0093657A"/>
    <w:rsid w:val="0093667C"/>
    <w:rsid w:val="009366D4"/>
    <w:rsid w:val="009367C4"/>
    <w:rsid w:val="00936CD8"/>
    <w:rsid w:val="00937069"/>
    <w:rsid w:val="00937178"/>
    <w:rsid w:val="00937331"/>
    <w:rsid w:val="00937702"/>
    <w:rsid w:val="00937A89"/>
    <w:rsid w:val="00937E06"/>
    <w:rsid w:val="00937F0C"/>
    <w:rsid w:val="00940328"/>
    <w:rsid w:val="009403AD"/>
    <w:rsid w:val="00940EA8"/>
    <w:rsid w:val="00940FE5"/>
    <w:rsid w:val="00941E99"/>
    <w:rsid w:val="009420B2"/>
    <w:rsid w:val="009426F7"/>
    <w:rsid w:val="009427EB"/>
    <w:rsid w:val="00942C9B"/>
    <w:rsid w:val="0094308D"/>
    <w:rsid w:val="0094318A"/>
    <w:rsid w:val="009440AF"/>
    <w:rsid w:val="00944627"/>
    <w:rsid w:val="00944890"/>
    <w:rsid w:val="009448F8"/>
    <w:rsid w:val="00944B8F"/>
    <w:rsid w:val="0094633A"/>
    <w:rsid w:val="009463C3"/>
    <w:rsid w:val="00946883"/>
    <w:rsid w:val="009474E7"/>
    <w:rsid w:val="00947D06"/>
    <w:rsid w:val="009501B4"/>
    <w:rsid w:val="0095039D"/>
    <w:rsid w:val="009507B3"/>
    <w:rsid w:val="0095090A"/>
    <w:rsid w:val="00950CAC"/>
    <w:rsid w:val="00951176"/>
    <w:rsid w:val="009519A6"/>
    <w:rsid w:val="00951C14"/>
    <w:rsid w:val="00951D98"/>
    <w:rsid w:val="00951E83"/>
    <w:rsid w:val="0095270C"/>
    <w:rsid w:val="00952CF9"/>
    <w:rsid w:val="00952D62"/>
    <w:rsid w:val="00953AB5"/>
    <w:rsid w:val="00953E5F"/>
    <w:rsid w:val="009544DF"/>
    <w:rsid w:val="00954BBF"/>
    <w:rsid w:val="00954CB6"/>
    <w:rsid w:val="00954CE2"/>
    <w:rsid w:val="00954FCD"/>
    <w:rsid w:val="009556AA"/>
    <w:rsid w:val="009557AE"/>
    <w:rsid w:val="009557EA"/>
    <w:rsid w:val="00955A05"/>
    <w:rsid w:val="00955C91"/>
    <w:rsid w:val="00955DC8"/>
    <w:rsid w:val="00955F05"/>
    <w:rsid w:val="00955F7B"/>
    <w:rsid w:val="009567AC"/>
    <w:rsid w:val="00956C35"/>
    <w:rsid w:val="00956CC1"/>
    <w:rsid w:val="00956D57"/>
    <w:rsid w:val="00956E59"/>
    <w:rsid w:val="00957AC8"/>
    <w:rsid w:val="0096006A"/>
    <w:rsid w:val="009606FD"/>
    <w:rsid w:val="00960E05"/>
    <w:rsid w:val="00961073"/>
    <w:rsid w:val="0096184C"/>
    <w:rsid w:val="009619E6"/>
    <w:rsid w:val="00961C92"/>
    <w:rsid w:val="00961D25"/>
    <w:rsid w:val="00962004"/>
    <w:rsid w:val="00962749"/>
    <w:rsid w:val="0096283A"/>
    <w:rsid w:val="00962D3D"/>
    <w:rsid w:val="00962F63"/>
    <w:rsid w:val="00962FD6"/>
    <w:rsid w:val="009635FF"/>
    <w:rsid w:val="00963633"/>
    <w:rsid w:val="00963799"/>
    <w:rsid w:val="00963E5A"/>
    <w:rsid w:val="00964232"/>
    <w:rsid w:val="009645CF"/>
    <w:rsid w:val="00964A12"/>
    <w:rsid w:val="0096512C"/>
    <w:rsid w:val="009651FA"/>
    <w:rsid w:val="009660E5"/>
    <w:rsid w:val="0096612D"/>
    <w:rsid w:val="009661FC"/>
    <w:rsid w:val="0096631B"/>
    <w:rsid w:val="00966977"/>
    <w:rsid w:val="00966F1B"/>
    <w:rsid w:val="009672EC"/>
    <w:rsid w:val="00967BB9"/>
    <w:rsid w:val="00967E84"/>
    <w:rsid w:val="00970EB8"/>
    <w:rsid w:val="00970FB3"/>
    <w:rsid w:val="00971228"/>
    <w:rsid w:val="00971857"/>
    <w:rsid w:val="00971C40"/>
    <w:rsid w:val="009722F3"/>
    <w:rsid w:val="0097264F"/>
    <w:rsid w:val="009727C2"/>
    <w:rsid w:val="00972B22"/>
    <w:rsid w:val="00973445"/>
    <w:rsid w:val="00973733"/>
    <w:rsid w:val="0097384D"/>
    <w:rsid w:val="00973902"/>
    <w:rsid w:val="00973B1F"/>
    <w:rsid w:val="009749AD"/>
    <w:rsid w:val="009750CE"/>
    <w:rsid w:val="00975816"/>
    <w:rsid w:val="00975E09"/>
    <w:rsid w:val="00976910"/>
    <w:rsid w:val="00976DCD"/>
    <w:rsid w:val="00976EDA"/>
    <w:rsid w:val="009772CA"/>
    <w:rsid w:val="009772D1"/>
    <w:rsid w:val="0097747C"/>
    <w:rsid w:val="0097778D"/>
    <w:rsid w:val="009802F0"/>
    <w:rsid w:val="00980500"/>
    <w:rsid w:val="0098069D"/>
    <w:rsid w:val="00980A59"/>
    <w:rsid w:val="00980BA8"/>
    <w:rsid w:val="009810FB"/>
    <w:rsid w:val="00981316"/>
    <w:rsid w:val="009814F8"/>
    <w:rsid w:val="009819FE"/>
    <w:rsid w:val="00982109"/>
    <w:rsid w:val="00982E94"/>
    <w:rsid w:val="0098306A"/>
    <w:rsid w:val="00983265"/>
    <w:rsid w:val="00983505"/>
    <w:rsid w:val="00983D5B"/>
    <w:rsid w:val="00983F71"/>
    <w:rsid w:val="0098489A"/>
    <w:rsid w:val="0098490F"/>
    <w:rsid w:val="00984AA2"/>
    <w:rsid w:val="0098552E"/>
    <w:rsid w:val="00985622"/>
    <w:rsid w:val="00986786"/>
    <w:rsid w:val="00986D0F"/>
    <w:rsid w:val="00986FE2"/>
    <w:rsid w:val="009875A2"/>
    <w:rsid w:val="009879E8"/>
    <w:rsid w:val="00987A25"/>
    <w:rsid w:val="00987A4B"/>
    <w:rsid w:val="00987AE4"/>
    <w:rsid w:val="00987CE4"/>
    <w:rsid w:val="00987D06"/>
    <w:rsid w:val="00987F6E"/>
    <w:rsid w:val="00990210"/>
    <w:rsid w:val="00990212"/>
    <w:rsid w:val="00990A2E"/>
    <w:rsid w:val="00990D38"/>
    <w:rsid w:val="00991234"/>
    <w:rsid w:val="00991439"/>
    <w:rsid w:val="00991448"/>
    <w:rsid w:val="00991AB2"/>
    <w:rsid w:val="00991CB3"/>
    <w:rsid w:val="0099209A"/>
    <w:rsid w:val="00992478"/>
    <w:rsid w:val="009926DE"/>
    <w:rsid w:val="00992DC4"/>
    <w:rsid w:val="00992F41"/>
    <w:rsid w:val="00992FD7"/>
    <w:rsid w:val="0099311B"/>
    <w:rsid w:val="009931B5"/>
    <w:rsid w:val="009933E4"/>
    <w:rsid w:val="0099382C"/>
    <w:rsid w:val="00994293"/>
    <w:rsid w:val="009947C7"/>
    <w:rsid w:val="00994811"/>
    <w:rsid w:val="00994F58"/>
    <w:rsid w:val="009953A7"/>
    <w:rsid w:val="009955F2"/>
    <w:rsid w:val="00995B87"/>
    <w:rsid w:val="00995EA7"/>
    <w:rsid w:val="00995F2D"/>
    <w:rsid w:val="00996230"/>
    <w:rsid w:val="009965E2"/>
    <w:rsid w:val="00996BA8"/>
    <w:rsid w:val="00996DD7"/>
    <w:rsid w:val="00996FC9"/>
    <w:rsid w:val="009970F9"/>
    <w:rsid w:val="00997295"/>
    <w:rsid w:val="009973BB"/>
    <w:rsid w:val="009975EC"/>
    <w:rsid w:val="00997A43"/>
    <w:rsid w:val="00997C45"/>
    <w:rsid w:val="009A03A7"/>
    <w:rsid w:val="009A044E"/>
    <w:rsid w:val="009A067C"/>
    <w:rsid w:val="009A08C8"/>
    <w:rsid w:val="009A0A8A"/>
    <w:rsid w:val="009A1227"/>
    <w:rsid w:val="009A1307"/>
    <w:rsid w:val="009A158A"/>
    <w:rsid w:val="009A1E9B"/>
    <w:rsid w:val="009A2220"/>
    <w:rsid w:val="009A2248"/>
    <w:rsid w:val="009A269C"/>
    <w:rsid w:val="009A2AD3"/>
    <w:rsid w:val="009A2D3C"/>
    <w:rsid w:val="009A36B2"/>
    <w:rsid w:val="009A38EA"/>
    <w:rsid w:val="009A3E8B"/>
    <w:rsid w:val="009A3FA1"/>
    <w:rsid w:val="009A407E"/>
    <w:rsid w:val="009A4373"/>
    <w:rsid w:val="009A4971"/>
    <w:rsid w:val="009A4AC9"/>
    <w:rsid w:val="009A4D08"/>
    <w:rsid w:val="009A4E0F"/>
    <w:rsid w:val="009A50B6"/>
    <w:rsid w:val="009A5168"/>
    <w:rsid w:val="009A52F8"/>
    <w:rsid w:val="009A55D4"/>
    <w:rsid w:val="009A57DC"/>
    <w:rsid w:val="009A5B5D"/>
    <w:rsid w:val="009A5BBF"/>
    <w:rsid w:val="009A5BCC"/>
    <w:rsid w:val="009A5D58"/>
    <w:rsid w:val="009A5E4F"/>
    <w:rsid w:val="009A6453"/>
    <w:rsid w:val="009A7350"/>
    <w:rsid w:val="009A76FE"/>
    <w:rsid w:val="009A7BBC"/>
    <w:rsid w:val="009A7CDC"/>
    <w:rsid w:val="009B0036"/>
    <w:rsid w:val="009B02F4"/>
    <w:rsid w:val="009B0519"/>
    <w:rsid w:val="009B051D"/>
    <w:rsid w:val="009B0738"/>
    <w:rsid w:val="009B08B9"/>
    <w:rsid w:val="009B08E4"/>
    <w:rsid w:val="009B0977"/>
    <w:rsid w:val="009B09EA"/>
    <w:rsid w:val="009B0A14"/>
    <w:rsid w:val="009B15F6"/>
    <w:rsid w:val="009B1713"/>
    <w:rsid w:val="009B1721"/>
    <w:rsid w:val="009B183A"/>
    <w:rsid w:val="009B18F4"/>
    <w:rsid w:val="009B1E96"/>
    <w:rsid w:val="009B23DC"/>
    <w:rsid w:val="009B25F5"/>
    <w:rsid w:val="009B27F7"/>
    <w:rsid w:val="009B2E77"/>
    <w:rsid w:val="009B2FC4"/>
    <w:rsid w:val="009B3383"/>
    <w:rsid w:val="009B367E"/>
    <w:rsid w:val="009B3F96"/>
    <w:rsid w:val="009B45A3"/>
    <w:rsid w:val="009B462D"/>
    <w:rsid w:val="009B46C0"/>
    <w:rsid w:val="009B479F"/>
    <w:rsid w:val="009B4DFD"/>
    <w:rsid w:val="009B50FB"/>
    <w:rsid w:val="009B536C"/>
    <w:rsid w:val="009B62F2"/>
    <w:rsid w:val="009B6D9A"/>
    <w:rsid w:val="009B6FE6"/>
    <w:rsid w:val="009B724D"/>
    <w:rsid w:val="009B753E"/>
    <w:rsid w:val="009B78BC"/>
    <w:rsid w:val="009C0765"/>
    <w:rsid w:val="009C0F63"/>
    <w:rsid w:val="009C114E"/>
    <w:rsid w:val="009C12E9"/>
    <w:rsid w:val="009C1784"/>
    <w:rsid w:val="009C2054"/>
    <w:rsid w:val="009C2226"/>
    <w:rsid w:val="009C24EB"/>
    <w:rsid w:val="009C2594"/>
    <w:rsid w:val="009C2A6B"/>
    <w:rsid w:val="009C2BC1"/>
    <w:rsid w:val="009C2C3F"/>
    <w:rsid w:val="009C2DE0"/>
    <w:rsid w:val="009C2E5A"/>
    <w:rsid w:val="009C30A3"/>
    <w:rsid w:val="009C318D"/>
    <w:rsid w:val="009C341D"/>
    <w:rsid w:val="009C3B6A"/>
    <w:rsid w:val="009C3FD0"/>
    <w:rsid w:val="009C451B"/>
    <w:rsid w:val="009C547C"/>
    <w:rsid w:val="009C5806"/>
    <w:rsid w:val="009C5F2F"/>
    <w:rsid w:val="009C6341"/>
    <w:rsid w:val="009C653D"/>
    <w:rsid w:val="009C68D1"/>
    <w:rsid w:val="009C6A9E"/>
    <w:rsid w:val="009C6C06"/>
    <w:rsid w:val="009C721E"/>
    <w:rsid w:val="009C7B7E"/>
    <w:rsid w:val="009C7E43"/>
    <w:rsid w:val="009D0188"/>
    <w:rsid w:val="009D01BB"/>
    <w:rsid w:val="009D06E2"/>
    <w:rsid w:val="009D0ADA"/>
    <w:rsid w:val="009D0CF2"/>
    <w:rsid w:val="009D1292"/>
    <w:rsid w:val="009D192F"/>
    <w:rsid w:val="009D1F2C"/>
    <w:rsid w:val="009D1F8D"/>
    <w:rsid w:val="009D1FAB"/>
    <w:rsid w:val="009D2787"/>
    <w:rsid w:val="009D2C24"/>
    <w:rsid w:val="009D3660"/>
    <w:rsid w:val="009D3A22"/>
    <w:rsid w:val="009D3E39"/>
    <w:rsid w:val="009D4399"/>
    <w:rsid w:val="009D444A"/>
    <w:rsid w:val="009D464E"/>
    <w:rsid w:val="009D47D5"/>
    <w:rsid w:val="009D4E74"/>
    <w:rsid w:val="009D4F20"/>
    <w:rsid w:val="009D4F9E"/>
    <w:rsid w:val="009D56E3"/>
    <w:rsid w:val="009D59A8"/>
    <w:rsid w:val="009D5B81"/>
    <w:rsid w:val="009D62F2"/>
    <w:rsid w:val="009D6BBC"/>
    <w:rsid w:val="009D7B2B"/>
    <w:rsid w:val="009E0201"/>
    <w:rsid w:val="009E05D6"/>
    <w:rsid w:val="009E0DD4"/>
    <w:rsid w:val="009E0DED"/>
    <w:rsid w:val="009E12C8"/>
    <w:rsid w:val="009E13D7"/>
    <w:rsid w:val="009E1E3D"/>
    <w:rsid w:val="009E202C"/>
    <w:rsid w:val="009E28B9"/>
    <w:rsid w:val="009E2A8F"/>
    <w:rsid w:val="009E2E3B"/>
    <w:rsid w:val="009E3980"/>
    <w:rsid w:val="009E3B55"/>
    <w:rsid w:val="009E43F8"/>
    <w:rsid w:val="009E4599"/>
    <w:rsid w:val="009E469A"/>
    <w:rsid w:val="009E5646"/>
    <w:rsid w:val="009E5682"/>
    <w:rsid w:val="009E5806"/>
    <w:rsid w:val="009E6012"/>
    <w:rsid w:val="009E6B24"/>
    <w:rsid w:val="009E7B1F"/>
    <w:rsid w:val="009E7C7C"/>
    <w:rsid w:val="009E7EDD"/>
    <w:rsid w:val="009F0907"/>
    <w:rsid w:val="009F0AA2"/>
    <w:rsid w:val="009F1097"/>
    <w:rsid w:val="009F13D5"/>
    <w:rsid w:val="009F1983"/>
    <w:rsid w:val="009F1F41"/>
    <w:rsid w:val="009F208D"/>
    <w:rsid w:val="009F23BD"/>
    <w:rsid w:val="009F24FC"/>
    <w:rsid w:val="009F2652"/>
    <w:rsid w:val="009F28DA"/>
    <w:rsid w:val="009F2913"/>
    <w:rsid w:val="009F2F4A"/>
    <w:rsid w:val="009F38CE"/>
    <w:rsid w:val="009F3C50"/>
    <w:rsid w:val="009F3FDB"/>
    <w:rsid w:val="009F421A"/>
    <w:rsid w:val="009F425D"/>
    <w:rsid w:val="009F42B3"/>
    <w:rsid w:val="009F48AA"/>
    <w:rsid w:val="009F4ACA"/>
    <w:rsid w:val="009F4E34"/>
    <w:rsid w:val="009F532D"/>
    <w:rsid w:val="009F583B"/>
    <w:rsid w:val="009F5ABB"/>
    <w:rsid w:val="009F6253"/>
    <w:rsid w:val="009F6ACC"/>
    <w:rsid w:val="009F6B67"/>
    <w:rsid w:val="009F7087"/>
    <w:rsid w:val="009F73A1"/>
    <w:rsid w:val="009F76C4"/>
    <w:rsid w:val="009F7DA5"/>
    <w:rsid w:val="009F7F00"/>
    <w:rsid w:val="00A00330"/>
    <w:rsid w:val="00A00672"/>
    <w:rsid w:val="00A00F9E"/>
    <w:rsid w:val="00A012DB"/>
    <w:rsid w:val="00A01594"/>
    <w:rsid w:val="00A01832"/>
    <w:rsid w:val="00A01A2C"/>
    <w:rsid w:val="00A01B11"/>
    <w:rsid w:val="00A0283A"/>
    <w:rsid w:val="00A02887"/>
    <w:rsid w:val="00A02F1E"/>
    <w:rsid w:val="00A02FCC"/>
    <w:rsid w:val="00A03F4D"/>
    <w:rsid w:val="00A04017"/>
    <w:rsid w:val="00A04318"/>
    <w:rsid w:val="00A0457F"/>
    <w:rsid w:val="00A04927"/>
    <w:rsid w:val="00A0497C"/>
    <w:rsid w:val="00A04BBC"/>
    <w:rsid w:val="00A04BE9"/>
    <w:rsid w:val="00A04F4B"/>
    <w:rsid w:val="00A04FFB"/>
    <w:rsid w:val="00A0585A"/>
    <w:rsid w:val="00A05CBF"/>
    <w:rsid w:val="00A05E5A"/>
    <w:rsid w:val="00A0695D"/>
    <w:rsid w:val="00A06E12"/>
    <w:rsid w:val="00A07483"/>
    <w:rsid w:val="00A07554"/>
    <w:rsid w:val="00A10AC7"/>
    <w:rsid w:val="00A10AEE"/>
    <w:rsid w:val="00A10B0B"/>
    <w:rsid w:val="00A10D9D"/>
    <w:rsid w:val="00A10DA5"/>
    <w:rsid w:val="00A11319"/>
    <w:rsid w:val="00A11A60"/>
    <w:rsid w:val="00A1248A"/>
    <w:rsid w:val="00A12A2D"/>
    <w:rsid w:val="00A12E81"/>
    <w:rsid w:val="00A13915"/>
    <w:rsid w:val="00A13C4E"/>
    <w:rsid w:val="00A13F87"/>
    <w:rsid w:val="00A14560"/>
    <w:rsid w:val="00A14628"/>
    <w:rsid w:val="00A14D7C"/>
    <w:rsid w:val="00A14E53"/>
    <w:rsid w:val="00A15418"/>
    <w:rsid w:val="00A16B7B"/>
    <w:rsid w:val="00A178E7"/>
    <w:rsid w:val="00A178FD"/>
    <w:rsid w:val="00A17F7B"/>
    <w:rsid w:val="00A20195"/>
    <w:rsid w:val="00A2025F"/>
    <w:rsid w:val="00A20303"/>
    <w:rsid w:val="00A2032E"/>
    <w:rsid w:val="00A20829"/>
    <w:rsid w:val="00A20C72"/>
    <w:rsid w:val="00A22357"/>
    <w:rsid w:val="00A225C6"/>
    <w:rsid w:val="00A23B92"/>
    <w:rsid w:val="00A23F13"/>
    <w:rsid w:val="00A240BF"/>
    <w:rsid w:val="00A242E1"/>
    <w:rsid w:val="00A24643"/>
    <w:rsid w:val="00A248CA"/>
    <w:rsid w:val="00A249A0"/>
    <w:rsid w:val="00A249F7"/>
    <w:rsid w:val="00A24B24"/>
    <w:rsid w:val="00A24B51"/>
    <w:rsid w:val="00A24C80"/>
    <w:rsid w:val="00A24E4F"/>
    <w:rsid w:val="00A252C3"/>
    <w:rsid w:val="00A252CE"/>
    <w:rsid w:val="00A26FE8"/>
    <w:rsid w:val="00A2728D"/>
    <w:rsid w:val="00A2746B"/>
    <w:rsid w:val="00A27EC4"/>
    <w:rsid w:val="00A27F83"/>
    <w:rsid w:val="00A3027C"/>
    <w:rsid w:val="00A307B9"/>
    <w:rsid w:val="00A30A76"/>
    <w:rsid w:val="00A30E02"/>
    <w:rsid w:val="00A30EB9"/>
    <w:rsid w:val="00A311AB"/>
    <w:rsid w:val="00A31367"/>
    <w:rsid w:val="00A3186F"/>
    <w:rsid w:val="00A31ED0"/>
    <w:rsid w:val="00A32CAE"/>
    <w:rsid w:val="00A3371D"/>
    <w:rsid w:val="00A33C2B"/>
    <w:rsid w:val="00A33EE9"/>
    <w:rsid w:val="00A341C0"/>
    <w:rsid w:val="00A348D3"/>
    <w:rsid w:val="00A34F21"/>
    <w:rsid w:val="00A34FA2"/>
    <w:rsid w:val="00A35037"/>
    <w:rsid w:val="00A3523E"/>
    <w:rsid w:val="00A352BC"/>
    <w:rsid w:val="00A35521"/>
    <w:rsid w:val="00A35C4E"/>
    <w:rsid w:val="00A3673A"/>
    <w:rsid w:val="00A367E1"/>
    <w:rsid w:val="00A36884"/>
    <w:rsid w:val="00A3707D"/>
    <w:rsid w:val="00A37822"/>
    <w:rsid w:val="00A37C8C"/>
    <w:rsid w:val="00A37DB5"/>
    <w:rsid w:val="00A37E59"/>
    <w:rsid w:val="00A37FEC"/>
    <w:rsid w:val="00A40757"/>
    <w:rsid w:val="00A4079A"/>
    <w:rsid w:val="00A40A62"/>
    <w:rsid w:val="00A40BF6"/>
    <w:rsid w:val="00A40C5B"/>
    <w:rsid w:val="00A40D9E"/>
    <w:rsid w:val="00A40E17"/>
    <w:rsid w:val="00A40FEF"/>
    <w:rsid w:val="00A412B4"/>
    <w:rsid w:val="00A415A9"/>
    <w:rsid w:val="00A41767"/>
    <w:rsid w:val="00A417AF"/>
    <w:rsid w:val="00A41EE2"/>
    <w:rsid w:val="00A42538"/>
    <w:rsid w:val="00A42AAE"/>
    <w:rsid w:val="00A42BE2"/>
    <w:rsid w:val="00A43680"/>
    <w:rsid w:val="00A43CB2"/>
    <w:rsid w:val="00A4422A"/>
    <w:rsid w:val="00A44286"/>
    <w:rsid w:val="00A4460E"/>
    <w:rsid w:val="00A446ED"/>
    <w:rsid w:val="00A44794"/>
    <w:rsid w:val="00A448EF"/>
    <w:rsid w:val="00A44E0A"/>
    <w:rsid w:val="00A44F16"/>
    <w:rsid w:val="00A4514A"/>
    <w:rsid w:val="00A4544B"/>
    <w:rsid w:val="00A45793"/>
    <w:rsid w:val="00A45AAA"/>
    <w:rsid w:val="00A4612A"/>
    <w:rsid w:val="00A461A9"/>
    <w:rsid w:val="00A463B8"/>
    <w:rsid w:val="00A46541"/>
    <w:rsid w:val="00A473A0"/>
    <w:rsid w:val="00A47613"/>
    <w:rsid w:val="00A50017"/>
    <w:rsid w:val="00A5097F"/>
    <w:rsid w:val="00A50A2F"/>
    <w:rsid w:val="00A51505"/>
    <w:rsid w:val="00A517D9"/>
    <w:rsid w:val="00A51A64"/>
    <w:rsid w:val="00A51A85"/>
    <w:rsid w:val="00A53E27"/>
    <w:rsid w:val="00A543EB"/>
    <w:rsid w:val="00A54707"/>
    <w:rsid w:val="00A54930"/>
    <w:rsid w:val="00A5527F"/>
    <w:rsid w:val="00A555A6"/>
    <w:rsid w:val="00A555DC"/>
    <w:rsid w:val="00A556DE"/>
    <w:rsid w:val="00A55B03"/>
    <w:rsid w:val="00A55DC7"/>
    <w:rsid w:val="00A56028"/>
    <w:rsid w:val="00A562E6"/>
    <w:rsid w:val="00A56DCA"/>
    <w:rsid w:val="00A56EB0"/>
    <w:rsid w:val="00A57135"/>
    <w:rsid w:val="00A57514"/>
    <w:rsid w:val="00A57602"/>
    <w:rsid w:val="00A57824"/>
    <w:rsid w:val="00A606AE"/>
    <w:rsid w:val="00A608D2"/>
    <w:rsid w:val="00A60A7C"/>
    <w:rsid w:val="00A60AD2"/>
    <w:rsid w:val="00A60DB5"/>
    <w:rsid w:val="00A60DE3"/>
    <w:rsid w:val="00A60EDD"/>
    <w:rsid w:val="00A62BA4"/>
    <w:rsid w:val="00A62F1B"/>
    <w:rsid w:val="00A63118"/>
    <w:rsid w:val="00A63947"/>
    <w:rsid w:val="00A63F11"/>
    <w:rsid w:val="00A64063"/>
    <w:rsid w:val="00A64B40"/>
    <w:rsid w:val="00A64DD4"/>
    <w:rsid w:val="00A6525E"/>
    <w:rsid w:val="00A6526E"/>
    <w:rsid w:val="00A6574A"/>
    <w:rsid w:val="00A66962"/>
    <w:rsid w:val="00A6696C"/>
    <w:rsid w:val="00A66988"/>
    <w:rsid w:val="00A66C6F"/>
    <w:rsid w:val="00A66F0B"/>
    <w:rsid w:val="00A674A2"/>
    <w:rsid w:val="00A67BA0"/>
    <w:rsid w:val="00A70049"/>
    <w:rsid w:val="00A700D2"/>
    <w:rsid w:val="00A71831"/>
    <w:rsid w:val="00A72295"/>
    <w:rsid w:val="00A722AF"/>
    <w:rsid w:val="00A72310"/>
    <w:rsid w:val="00A72611"/>
    <w:rsid w:val="00A72FE5"/>
    <w:rsid w:val="00A73091"/>
    <w:rsid w:val="00A73156"/>
    <w:rsid w:val="00A7328B"/>
    <w:rsid w:val="00A7388F"/>
    <w:rsid w:val="00A73DA1"/>
    <w:rsid w:val="00A73EF0"/>
    <w:rsid w:val="00A74112"/>
    <w:rsid w:val="00A74B3D"/>
    <w:rsid w:val="00A74E2A"/>
    <w:rsid w:val="00A7504B"/>
    <w:rsid w:val="00A75A7C"/>
    <w:rsid w:val="00A76160"/>
    <w:rsid w:val="00A76521"/>
    <w:rsid w:val="00A77154"/>
    <w:rsid w:val="00A77462"/>
    <w:rsid w:val="00A775F1"/>
    <w:rsid w:val="00A7792B"/>
    <w:rsid w:val="00A77A58"/>
    <w:rsid w:val="00A77E37"/>
    <w:rsid w:val="00A8034E"/>
    <w:rsid w:val="00A80774"/>
    <w:rsid w:val="00A80BBE"/>
    <w:rsid w:val="00A80BD2"/>
    <w:rsid w:val="00A80E6F"/>
    <w:rsid w:val="00A81005"/>
    <w:rsid w:val="00A812B6"/>
    <w:rsid w:val="00A81543"/>
    <w:rsid w:val="00A81A39"/>
    <w:rsid w:val="00A825FF"/>
    <w:rsid w:val="00A8294F"/>
    <w:rsid w:val="00A8297B"/>
    <w:rsid w:val="00A83ED2"/>
    <w:rsid w:val="00A8413F"/>
    <w:rsid w:val="00A841C9"/>
    <w:rsid w:val="00A846F7"/>
    <w:rsid w:val="00A848B2"/>
    <w:rsid w:val="00A849A5"/>
    <w:rsid w:val="00A84E08"/>
    <w:rsid w:val="00A851FA"/>
    <w:rsid w:val="00A85204"/>
    <w:rsid w:val="00A85602"/>
    <w:rsid w:val="00A85A19"/>
    <w:rsid w:val="00A862B9"/>
    <w:rsid w:val="00A8631F"/>
    <w:rsid w:val="00A86452"/>
    <w:rsid w:val="00A87611"/>
    <w:rsid w:val="00A87C84"/>
    <w:rsid w:val="00A87D49"/>
    <w:rsid w:val="00A90030"/>
    <w:rsid w:val="00A90046"/>
    <w:rsid w:val="00A90542"/>
    <w:rsid w:val="00A909B5"/>
    <w:rsid w:val="00A90A3E"/>
    <w:rsid w:val="00A90AD0"/>
    <w:rsid w:val="00A9101B"/>
    <w:rsid w:val="00A91662"/>
    <w:rsid w:val="00A91A56"/>
    <w:rsid w:val="00A91A5F"/>
    <w:rsid w:val="00A91F90"/>
    <w:rsid w:val="00A91FD2"/>
    <w:rsid w:val="00A93845"/>
    <w:rsid w:val="00A93DD6"/>
    <w:rsid w:val="00A93E60"/>
    <w:rsid w:val="00A94AD1"/>
    <w:rsid w:val="00A94ED5"/>
    <w:rsid w:val="00A9525F"/>
    <w:rsid w:val="00A953AC"/>
    <w:rsid w:val="00A95437"/>
    <w:rsid w:val="00A95523"/>
    <w:rsid w:val="00A95852"/>
    <w:rsid w:val="00A95BDD"/>
    <w:rsid w:val="00A96705"/>
    <w:rsid w:val="00A968C9"/>
    <w:rsid w:val="00A9696C"/>
    <w:rsid w:val="00A977AE"/>
    <w:rsid w:val="00A977B0"/>
    <w:rsid w:val="00AA07C3"/>
    <w:rsid w:val="00AA0987"/>
    <w:rsid w:val="00AA0F40"/>
    <w:rsid w:val="00AA1283"/>
    <w:rsid w:val="00AA133C"/>
    <w:rsid w:val="00AA19A1"/>
    <w:rsid w:val="00AA1A2E"/>
    <w:rsid w:val="00AA1DE4"/>
    <w:rsid w:val="00AA1E72"/>
    <w:rsid w:val="00AA274A"/>
    <w:rsid w:val="00AA2F11"/>
    <w:rsid w:val="00AA3595"/>
    <w:rsid w:val="00AA39DB"/>
    <w:rsid w:val="00AA3F6D"/>
    <w:rsid w:val="00AA3FD0"/>
    <w:rsid w:val="00AA4582"/>
    <w:rsid w:val="00AA5177"/>
    <w:rsid w:val="00AA54D3"/>
    <w:rsid w:val="00AA55C7"/>
    <w:rsid w:val="00AA5D97"/>
    <w:rsid w:val="00AA6367"/>
    <w:rsid w:val="00AA6792"/>
    <w:rsid w:val="00AA67FF"/>
    <w:rsid w:val="00AA6F87"/>
    <w:rsid w:val="00AA7164"/>
    <w:rsid w:val="00AA7215"/>
    <w:rsid w:val="00AA7CAF"/>
    <w:rsid w:val="00AB0046"/>
    <w:rsid w:val="00AB08CE"/>
    <w:rsid w:val="00AB0C38"/>
    <w:rsid w:val="00AB1750"/>
    <w:rsid w:val="00AB1878"/>
    <w:rsid w:val="00AB1899"/>
    <w:rsid w:val="00AB1C75"/>
    <w:rsid w:val="00AB1DE7"/>
    <w:rsid w:val="00AB1E7B"/>
    <w:rsid w:val="00AB241B"/>
    <w:rsid w:val="00AB24F1"/>
    <w:rsid w:val="00AB257C"/>
    <w:rsid w:val="00AB2F28"/>
    <w:rsid w:val="00AB365E"/>
    <w:rsid w:val="00AB36B6"/>
    <w:rsid w:val="00AB443B"/>
    <w:rsid w:val="00AB44CD"/>
    <w:rsid w:val="00AB4667"/>
    <w:rsid w:val="00AB46C3"/>
    <w:rsid w:val="00AB4E1B"/>
    <w:rsid w:val="00AB4EA7"/>
    <w:rsid w:val="00AB4FEF"/>
    <w:rsid w:val="00AB57F6"/>
    <w:rsid w:val="00AB5AF3"/>
    <w:rsid w:val="00AB5DEE"/>
    <w:rsid w:val="00AB5E4E"/>
    <w:rsid w:val="00AB62E6"/>
    <w:rsid w:val="00AB638D"/>
    <w:rsid w:val="00AB6B43"/>
    <w:rsid w:val="00AB6E51"/>
    <w:rsid w:val="00AB76E0"/>
    <w:rsid w:val="00AB7A71"/>
    <w:rsid w:val="00AB7C65"/>
    <w:rsid w:val="00AB7CA4"/>
    <w:rsid w:val="00AC0076"/>
    <w:rsid w:val="00AC0A98"/>
    <w:rsid w:val="00AC0D24"/>
    <w:rsid w:val="00AC14EC"/>
    <w:rsid w:val="00AC1729"/>
    <w:rsid w:val="00AC18B9"/>
    <w:rsid w:val="00AC2954"/>
    <w:rsid w:val="00AC2E5B"/>
    <w:rsid w:val="00AC3200"/>
    <w:rsid w:val="00AC3300"/>
    <w:rsid w:val="00AC414B"/>
    <w:rsid w:val="00AC41AA"/>
    <w:rsid w:val="00AC420C"/>
    <w:rsid w:val="00AC4342"/>
    <w:rsid w:val="00AC49A6"/>
    <w:rsid w:val="00AC4BF9"/>
    <w:rsid w:val="00AC50F2"/>
    <w:rsid w:val="00AC535C"/>
    <w:rsid w:val="00AC539F"/>
    <w:rsid w:val="00AC559C"/>
    <w:rsid w:val="00AC563F"/>
    <w:rsid w:val="00AC6147"/>
    <w:rsid w:val="00AC6261"/>
    <w:rsid w:val="00AC63A4"/>
    <w:rsid w:val="00AC645F"/>
    <w:rsid w:val="00AC6DDB"/>
    <w:rsid w:val="00AC779C"/>
    <w:rsid w:val="00AD04FE"/>
    <w:rsid w:val="00AD06C1"/>
    <w:rsid w:val="00AD0B87"/>
    <w:rsid w:val="00AD119D"/>
    <w:rsid w:val="00AD12AC"/>
    <w:rsid w:val="00AD1536"/>
    <w:rsid w:val="00AD1C9E"/>
    <w:rsid w:val="00AD27B4"/>
    <w:rsid w:val="00AD3012"/>
    <w:rsid w:val="00AD3222"/>
    <w:rsid w:val="00AD32F7"/>
    <w:rsid w:val="00AD3A95"/>
    <w:rsid w:val="00AD3DB0"/>
    <w:rsid w:val="00AD44E5"/>
    <w:rsid w:val="00AD4519"/>
    <w:rsid w:val="00AD481E"/>
    <w:rsid w:val="00AD50E2"/>
    <w:rsid w:val="00AD584B"/>
    <w:rsid w:val="00AD5DC0"/>
    <w:rsid w:val="00AD5ED6"/>
    <w:rsid w:val="00AD5F24"/>
    <w:rsid w:val="00AD5FD7"/>
    <w:rsid w:val="00AD6061"/>
    <w:rsid w:val="00AD63D3"/>
    <w:rsid w:val="00AD65BA"/>
    <w:rsid w:val="00AD6851"/>
    <w:rsid w:val="00AD6B5D"/>
    <w:rsid w:val="00AD7027"/>
    <w:rsid w:val="00AD71D9"/>
    <w:rsid w:val="00AD7E85"/>
    <w:rsid w:val="00AE06A0"/>
    <w:rsid w:val="00AE0B67"/>
    <w:rsid w:val="00AE0EE7"/>
    <w:rsid w:val="00AE11ED"/>
    <w:rsid w:val="00AE120E"/>
    <w:rsid w:val="00AE17A1"/>
    <w:rsid w:val="00AE22BE"/>
    <w:rsid w:val="00AE244F"/>
    <w:rsid w:val="00AE24A2"/>
    <w:rsid w:val="00AE2AD5"/>
    <w:rsid w:val="00AE3436"/>
    <w:rsid w:val="00AE35CD"/>
    <w:rsid w:val="00AE4C21"/>
    <w:rsid w:val="00AE537F"/>
    <w:rsid w:val="00AE5544"/>
    <w:rsid w:val="00AE64A7"/>
    <w:rsid w:val="00AE6CA9"/>
    <w:rsid w:val="00AE6D16"/>
    <w:rsid w:val="00AE6E66"/>
    <w:rsid w:val="00AE70AA"/>
    <w:rsid w:val="00AE73F3"/>
    <w:rsid w:val="00AF0271"/>
    <w:rsid w:val="00AF099F"/>
    <w:rsid w:val="00AF1218"/>
    <w:rsid w:val="00AF1248"/>
    <w:rsid w:val="00AF12CD"/>
    <w:rsid w:val="00AF164B"/>
    <w:rsid w:val="00AF16F5"/>
    <w:rsid w:val="00AF190A"/>
    <w:rsid w:val="00AF1BD5"/>
    <w:rsid w:val="00AF1CA0"/>
    <w:rsid w:val="00AF1E89"/>
    <w:rsid w:val="00AF1FFD"/>
    <w:rsid w:val="00AF205D"/>
    <w:rsid w:val="00AF242C"/>
    <w:rsid w:val="00AF26D1"/>
    <w:rsid w:val="00AF3022"/>
    <w:rsid w:val="00AF312A"/>
    <w:rsid w:val="00AF3241"/>
    <w:rsid w:val="00AF3A16"/>
    <w:rsid w:val="00AF3A3C"/>
    <w:rsid w:val="00AF3E31"/>
    <w:rsid w:val="00AF4109"/>
    <w:rsid w:val="00AF4235"/>
    <w:rsid w:val="00AF489E"/>
    <w:rsid w:val="00AF4B35"/>
    <w:rsid w:val="00AF5E98"/>
    <w:rsid w:val="00AF5ED0"/>
    <w:rsid w:val="00AF68D2"/>
    <w:rsid w:val="00AF71D6"/>
    <w:rsid w:val="00AF732C"/>
    <w:rsid w:val="00AF74C8"/>
    <w:rsid w:val="00AF7B4A"/>
    <w:rsid w:val="00AF7C95"/>
    <w:rsid w:val="00AF7DE7"/>
    <w:rsid w:val="00B00085"/>
    <w:rsid w:val="00B006A8"/>
    <w:rsid w:val="00B00966"/>
    <w:rsid w:val="00B00CC1"/>
    <w:rsid w:val="00B00DE8"/>
    <w:rsid w:val="00B010C7"/>
    <w:rsid w:val="00B011F2"/>
    <w:rsid w:val="00B012DD"/>
    <w:rsid w:val="00B019A1"/>
    <w:rsid w:val="00B01EA9"/>
    <w:rsid w:val="00B0214A"/>
    <w:rsid w:val="00B0247F"/>
    <w:rsid w:val="00B02711"/>
    <w:rsid w:val="00B02A41"/>
    <w:rsid w:val="00B02B0D"/>
    <w:rsid w:val="00B0343C"/>
    <w:rsid w:val="00B036E0"/>
    <w:rsid w:val="00B039F0"/>
    <w:rsid w:val="00B03AF2"/>
    <w:rsid w:val="00B03C0C"/>
    <w:rsid w:val="00B03D11"/>
    <w:rsid w:val="00B04268"/>
    <w:rsid w:val="00B049D7"/>
    <w:rsid w:val="00B04A6B"/>
    <w:rsid w:val="00B04F49"/>
    <w:rsid w:val="00B05191"/>
    <w:rsid w:val="00B0527D"/>
    <w:rsid w:val="00B0532B"/>
    <w:rsid w:val="00B0589E"/>
    <w:rsid w:val="00B05EF9"/>
    <w:rsid w:val="00B067C3"/>
    <w:rsid w:val="00B06952"/>
    <w:rsid w:val="00B06E02"/>
    <w:rsid w:val="00B07348"/>
    <w:rsid w:val="00B0772A"/>
    <w:rsid w:val="00B078A9"/>
    <w:rsid w:val="00B07CFD"/>
    <w:rsid w:val="00B100AC"/>
    <w:rsid w:val="00B103A6"/>
    <w:rsid w:val="00B1053E"/>
    <w:rsid w:val="00B10A38"/>
    <w:rsid w:val="00B10A61"/>
    <w:rsid w:val="00B10E27"/>
    <w:rsid w:val="00B110AB"/>
    <w:rsid w:val="00B110C1"/>
    <w:rsid w:val="00B110DB"/>
    <w:rsid w:val="00B1189B"/>
    <w:rsid w:val="00B12935"/>
    <w:rsid w:val="00B129B7"/>
    <w:rsid w:val="00B12B2D"/>
    <w:rsid w:val="00B13128"/>
    <w:rsid w:val="00B13721"/>
    <w:rsid w:val="00B139AE"/>
    <w:rsid w:val="00B13AC3"/>
    <w:rsid w:val="00B13C4B"/>
    <w:rsid w:val="00B14298"/>
    <w:rsid w:val="00B14BE9"/>
    <w:rsid w:val="00B14EA1"/>
    <w:rsid w:val="00B1577D"/>
    <w:rsid w:val="00B16262"/>
    <w:rsid w:val="00B16A1D"/>
    <w:rsid w:val="00B16AD0"/>
    <w:rsid w:val="00B16BE0"/>
    <w:rsid w:val="00B16C80"/>
    <w:rsid w:val="00B16D2E"/>
    <w:rsid w:val="00B170A3"/>
    <w:rsid w:val="00B1783A"/>
    <w:rsid w:val="00B17ADD"/>
    <w:rsid w:val="00B17B02"/>
    <w:rsid w:val="00B17DB6"/>
    <w:rsid w:val="00B20173"/>
    <w:rsid w:val="00B201FA"/>
    <w:rsid w:val="00B20366"/>
    <w:rsid w:val="00B209F4"/>
    <w:rsid w:val="00B20BB9"/>
    <w:rsid w:val="00B20F01"/>
    <w:rsid w:val="00B2122C"/>
    <w:rsid w:val="00B21242"/>
    <w:rsid w:val="00B213AF"/>
    <w:rsid w:val="00B21884"/>
    <w:rsid w:val="00B21E9A"/>
    <w:rsid w:val="00B2229F"/>
    <w:rsid w:val="00B223D6"/>
    <w:rsid w:val="00B22B62"/>
    <w:rsid w:val="00B22D04"/>
    <w:rsid w:val="00B23068"/>
    <w:rsid w:val="00B237FA"/>
    <w:rsid w:val="00B2387C"/>
    <w:rsid w:val="00B23E91"/>
    <w:rsid w:val="00B23FEF"/>
    <w:rsid w:val="00B240E7"/>
    <w:rsid w:val="00B24250"/>
    <w:rsid w:val="00B2429A"/>
    <w:rsid w:val="00B2443F"/>
    <w:rsid w:val="00B245F2"/>
    <w:rsid w:val="00B24950"/>
    <w:rsid w:val="00B24D9B"/>
    <w:rsid w:val="00B24E45"/>
    <w:rsid w:val="00B24EA2"/>
    <w:rsid w:val="00B2623A"/>
    <w:rsid w:val="00B26519"/>
    <w:rsid w:val="00B26E23"/>
    <w:rsid w:val="00B270B6"/>
    <w:rsid w:val="00B2757E"/>
    <w:rsid w:val="00B27B66"/>
    <w:rsid w:val="00B27DEF"/>
    <w:rsid w:val="00B3002A"/>
    <w:rsid w:val="00B30909"/>
    <w:rsid w:val="00B30A94"/>
    <w:rsid w:val="00B30B56"/>
    <w:rsid w:val="00B30BDE"/>
    <w:rsid w:val="00B30CDD"/>
    <w:rsid w:val="00B30D6F"/>
    <w:rsid w:val="00B30FF5"/>
    <w:rsid w:val="00B31061"/>
    <w:rsid w:val="00B31287"/>
    <w:rsid w:val="00B31322"/>
    <w:rsid w:val="00B31606"/>
    <w:rsid w:val="00B31D49"/>
    <w:rsid w:val="00B32126"/>
    <w:rsid w:val="00B329C7"/>
    <w:rsid w:val="00B33729"/>
    <w:rsid w:val="00B33DC4"/>
    <w:rsid w:val="00B34F16"/>
    <w:rsid w:val="00B35DC3"/>
    <w:rsid w:val="00B3669A"/>
    <w:rsid w:val="00B3677B"/>
    <w:rsid w:val="00B369D3"/>
    <w:rsid w:val="00B36A14"/>
    <w:rsid w:val="00B36C0C"/>
    <w:rsid w:val="00B3738D"/>
    <w:rsid w:val="00B378BA"/>
    <w:rsid w:val="00B378E7"/>
    <w:rsid w:val="00B378F9"/>
    <w:rsid w:val="00B37E05"/>
    <w:rsid w:val="00B37E10"/>
    <w:rsid w:val="00B37F65"/>
    <w:rsid w:val="00B37F8A"/>
    <w:rsid w:val="00B40B2F"/>
    <w:rsid w:val="00B40BE5"/>
    <w:rsid w:val="00B40C9B"/>
    <w:rsid w:val="00B40E29"/>
    <w:rsid w:val="00B40E83"/>
    <w:rsid w:val="00B414B6"/>
    <w:rsid w:val="00B4152F"/>
    <w:rsid w:val="00B417F7"/>
    <w:rsid w:val="00B418FB"/>
    <w:rsid w:val="00B41A74"/>
    <w:rsid w:val="00B41DDD"/>
    <w:rsid w:val="00B41FED"/>
    <w:rsid w:val="00B421CC"/>
    <w:rsid w:val="00B42914"/>
    <w:rsid w:val="00B429BD"/>
    <w:rsid w:val="00B42F86"/>
    <w:rsid w:val="00B432B9"/>
    <w:rsid w:val="00B4333D"/>
    <w:rsid w:val="00B43A5C"/>
    <w:rsid w:val="00B43CE3"/>
    <w:rsid w:val="00B43E7F"/>
    <w:rsid w:val="00B43EAE"/>
    <w:rsid w:val="00B44208"/>
    <w:rsid w:val="00B44C1C"/>
    <w:rsid w:val="00B44D0D"/>
    <w:rsid w:val="00B45414"/>
    <w:rsid w:val="00B45BCB"/>
    <w:rsid w:val="00B45C7E"/>
    <w:rsid w:val="00B45D1C"/>
    <w:rsid w:val="00B46240"/>
    <w:rsid w:val="00B4647C"/>
    <w:rsid w:val="00B466BC"/>
    <w:rsid w:val="00B47048"/>
    <w:rsid w:val="00B4726C"/>
    <w:rsid w:val="00B47270"/>
    <w:rsid w:val="00B476DE"/>
    <w:rsid w:val="00B47730"/>
    <w:rsid w:val="00B50E5D"/>
    <w:rsid w:val="00B50F25"/>
    <w:rsid w:val="00B5181A"/>
    <w:rsid w:val="00B51846"/>
    <w:rsid w:val="00B5196B"/>
    <w:rsid w:val="00B5197A"/>
    <w:rsid w:val="00B51B93"/>
    <w:rsid w:val="00B52123"/>
    <w:rsid w:val="00B52192"/>
    <w:rsid w:val="00B529DF"/>
    <w:rsid w:val="00B529E2"/>
    <w:rsid w:val="00B52E1C"/>
    <w:rsid w:val="00B53232"/>
    <w:rsid w:val="00B534FA"/>
    <w:rsid w:val="00B538A7"/>
    <w:rsid w:val="00B53984"/>
    <w:rsid w:val="00B53EDF"/>
    <w:rsid w:val="00B542CF"/>
    <w:rsid w:val="00B54562"/>
    <w:rsid w:val="00B5493B"/>
    <w:rsid w:val="00B54B62"/>
    <w:rsid w:val="00B5516C"/>
    <w:rsid w:val="00B554CE"/>
    <w:rsid w:val="00B5559A"/>
    <w:rsid w:val="00B5581C"/>
    <w:rsid w:val="00B55E9E"/>
    <w:rsid w:val="00B565F1"/>
    <w:rsid w:val="00B566E2"/>
    <w:rsid w:val="00B56995"/>
    <w:rsid w:val="00B56B53"/>
    <w:rsid w:val="00B56C71"/>
    <w:rsid w:val="00B56E2A"/>
    <w:rsid w:val="00B5703E"/>
    <w:rsid w:val="00B573FE"/>
    <w:rsid w:val="00B57DA2"/>
    <w:rsid w:val="00B57DC1"/>
    <w:rsid w:val="00B57EE0"/>
    <w:rsid w:val="00B602EC"/>
    <w:rsid w:val="00B6079A"/>
    <w:rsid w:val="00B608A3"/>
    <w:rsid w:val="00B60FE8"/>
    <w:rsid w:val="00B6108F"/>
    <w:rsid w:val="00B6120B"/>
    <w:rsid w:val="00B61317"/>
    <w:rsid w:val="00B61869"/>
    <w:rsid w:val="00B61C85"/>
    <w:rsid w:val="00B62244"/>
    <w:rsid w:val="00B625C3"/>
    <w:rsid w:val="00B62756"/>
    <w:rsid w:val="00B6277B"/>
    <w:rsid w:val="00B62C37"/>
    <w:rsid w:val="00B63FEA"/>
    <w:rsid w:val="00B64205"/>
    <w:rsid w:val="00B6423F"/>
    <w:rsid w:val="00B642CD"/>
    <w:rsid w:val="00B64340"/>
    <w:rsid w:val="00B64364"/>
    <w:rsid w:val="00B646BF"/>
    <w:rsid w:val="00B64906"/>
    <w:rsid w:val="00B64941"/>
    <w:rsid w:val="00B654DB"/>
    <w:rsid w:val="00B657E8"/>
    <w:rsid w:val="00B65833"/>
    <w:rsid w:val="00B65A2D"/>
    <w:rsid w:val="00B65BBE"/>
    <w:rsid w:val="00B66261"/>
    <w:rsid w:val="00B66672"/>
    <w:rsid w:val="00B669A6"/>
    <w:rsid w:val="00B669B3"/>
    <w:rsid w:val="00B66F09"/>
    <w:rsid w:val="00B67B77"/>
    <w:rsid w:val="00B67EBD"/>
    <w:rsid w:val="00B703AF"/>
    <w:rsid w:val="00B703C7"/>
    <w:rsid w:val="00B705CF"/>
    <w:rsid w:val="00B708FB"/>
    <w:rsid w:val="00B70BA5"/>
    <w:rsid w:val="00B711C3"/>
    <w:rsid w:val="00B711F0"/>
    <w:rsid w:val="00B714CA"/>
    <w:rsid w:val="00B716C8"/>
    <w:rsid w:val="00B721A5"/>
    <w:rsid w:val="00B721C7"/>
    <w:rsid w:val="00B727AD"/>
    <w:rsid w:val="00B72BCF"/>
    <w:rsid w:val="00B72E9D"/>
    <w:rsid w:val="00B7329D"/>
    <w:rsid w:val="00B73395"/>
    <w:rsid w:val="00B7353A"/>
    <w:rsid w:val="00B73850"/>
    <w:rsid w:val="00B738DC"/>
    <w:rsid w:val="00B7424D"/>
    <w:rsid w:val="00B743A0"/>
    <w:rsid w:val="00B74475"/>
    <w:rsid w:val="00B74858"/>
    <w:rsid w:val="00B74A09"/>
    <w:rsid w:val="00B74A3A"/>
    <w:rsid w:val="00B74CDA"/>
    <w:rsid w:val="00B74D9E"/>
    <w:rsid w:val="00B7572F"/>
    <w:rsid w:val="00B75DEF"/>
    <w:rsid w:val="00B76064"/>
    <w:rsid w:val="00B76D84"/>
    <w:rsid w:val="00B77876"/>
    <w:rsid w:val="00B7788E"/>
    <w:rsid w:val="00B80307"/>
    <w:rsid w:val="00B809F2"/>
    <w:rsid w:val="00B80E88"/>
    <w:rsid w:val="00B81096"/>
    <w:rsid w:val="00B81142"/>
    <w:rsid w:val="00B816B8"/>
    <w:rsid w:val="00B81BBB"/>
    <w:rsid w:val="00B82272"/>
    <w:rsid w:val="00B82360"/>
    <w:rsid w:val="00B82B4F"/>
    <w:rsid w:val="00B82B78"/>
    <w:rsid w:val="00B82EDC"/>
    <w:rsid w:val="00B832B4"/>
    <w:rsid w:val="00B834AF"/>
    <w:rsid w:val="00B83D67"/>
    <w:rsid w:val="00B83E74"/>
    <w:rsid w:val="00B843FE"/>
    <w:rsid w:val="00B849FA"/>
    <w:rsid w:val="00B84D8D"/>
    <w:rsid w:val="00B84E02"/>
    <w:rsid w:val="00B85129"/>
    <w:rsid w:val="00B8547C"/>
    <w:rsid w:val="00B85F9A"/>
    <w:rsid w:val="00B8608B"/>
    <w:rsid w:val="00B86279"/>
    <w:rsid w:val="00B86568"/>
    <w:rsid w:val="00B8675F"/>
    <w:rsid w:val="00B86928"/>
    <w:rsid w:val="00B869B1"/>
    <w:rsid w:val="00B86B13"/>
    <w:rsid w:val="00B87435"/>
    <w:rsid w:val="00B87481"/>
    <w:rsid w:val="00B87954"/>
    <w:rsid w:val="00B87995"/>
    <w:rsid w:val="00B90241"/>
    <w:rsid w:val="00B906CA"/>
    <w:rsid w:val="00B907BB"/>
    <w:rsid w:val="00B90A20"/>
    <w:rsid w:val="00B90D42"/>
    <w:rsid w:val="00B90E95"/>
    <w:rsid w:val="00B9144F"/>
    <w:rsid w:val="00B91922"/>
    <w:rsid w:val="00B9199C"/>
    <w:rsid w:val="00B91AC0"/>
    <w:rsid w:val="00B9248C"/>
    <w:rsid w:val="00B924EC"/>
    <w:rsid w:val="00B92E53"/>
    <w:rsid w:val="00B92E5A"/>
    <w:rsid w:val="00B92EF5"/>
    <w:rsid w:val="00B93166"/>
    <w:rsid w:val="00B93219"/>
    <w:rsid w:val="00B93271"/>
    <w:rsid w:val="00B9341C"/>
    <w:rsid w:val="00B9351A"/>
    <w:rsid w:val="00B93839"/>
    <w:rsid w:val="00B93973"/>
    <w:rsid w:val="00B93FD2"/>
    <w:rsid w:val="00B942AC"/>
    <w:rsid w:val="00B95110"/>
    <w:rsid w:val="00B95876"/>
    <w:rsid w:val="00B95D0F"/>
    <w:rsid w:val="00B96172"/>
    <w:rsid w:val="00B9621C"/>
    <w:rsid w:val="00B9632D"/>
    <w:rsid w:val="00B9667A"/>
    <w:rsid w:val="00B97227"/>
    <w:rsid w:val="00B976B5"/>
    <w:rsid w:val="00B979B5"/>
    <w:rsid w:val="00B97A81"/>
    <w:rsid w:val="00BA057E"/>
    <w:rsid w:val="00BA099B"/>
    <w:rsid w:val="00BA0B08"/>
    <w:rsid w:val="00BA0C6C"/>
    <w:rsid w:val="00BA1530"/>
    <w:rsid w:val="00BA173D"/>
    <w:rsid w:val="00BA1944"/>
    <w:rsid w:val="00BA1B27"/>
    <w:rsid w:val="00BA1E27"/>
    <w:rsid w:val="00BA2285"/>
    <w:rsid w:val="00BA288F"/>
    <w:rsid w:val="00BA28CC"/>
    <w:rsid w:val="00BA2FDE"/>
    <w:rsid w:val="00BA2FFA"/>
    <w:rsid w:val="00BA376D"/>
    <w:rsid w:val="00BA39C4"/>
    <w:rsid w:val="00BA4773"/>
    <w:rsid w:val="00BA501B"/>
    <w:rsid w:val="00BA5399"/>
    <w:rsid w:val="00BA5F4E"/>
    <w:rsid w:val="00BA5FDD"/>
    <w:rsid w:val="00BA6673"/>
    <w:rsid w:val="00BA6AD2"/>
    <w:rsid w:val="00BA6B11"/>
    <w:rsid w:val="00BA6D69"/>
    <w:rsid w:val="00BA6F24"/>
    <w:rsid w:val="00BA707E"/>
    <w:rsid w:val="00BA74D8"/>
    <w:rsid w:val="00BA7B75"/>
    <w:rsid w:val="00BA7B94"/>
    <w:rsid w:val="00BA7E6D"/>
    <w:rsid w:val="00BB059C"/>
    <w:rsid w:val="00BB07AE"/>
    <w:rsid w:val="00BB0DAE"/>
    <w:rsid w:val="00BB0DBD"/>
    <w:rsid w:val="00BB0FA6"/>
    <w:rsid w:val="00BB1069"/>
    <w:rsid w:val="00BB106E"/>
    <w:rsid w:val="00BB11E9"/>
    <w:rsid w:val="00BB14D2"/>
    <w:rsid w:val="00BB1BC3"/>
    <w:rsid w:val="00BB27DB"/>
    <w:rsid w:val="00BB2AD2"/>
    <w:rsid w:val="00BB2DCA"/>
    <w:rsid w:val="00BB329E"/>
    <w:rsid w:val="00BB3D38"/>
    <w:rsid w:val="00BB3D3C"/>
    <w:rsid w:val="00BB45A9"/>
    <w:rsid w:val="00BB475C"/>
    <w:rsid w:val="00BB48E1"/>
    <w:rsid w:val="00BB4A49"/>
    <w:rsid w:val="00BB4F85"/>
    <w:rsid w:val="00BB5024"/>
    <w:rsid w:val="00BB55DF"/>
    <w:rsid w:val="00BB5AD6"/>
    <w:rsid w:val="00BB5FA3"/>
    <w:rsid w:val="00BB62FD"/>
    <w:rsid w:val="00BB69B8"/>
    <w:rsid w:val="00BB6BEE"/>
    <w:rsid w:val="00BB6DC9"/>
    <w:rsid w:val="00BB6EB8"/>
    <w:rsid w:val="00BB76BF"/>
    <w:rsid w:val="00BC02C9"/>
    <w:rsid w:val="00BC0416"/>
    <w:rsid w:val="00BC11F6"/>
    <w:rsid w:val="00BC1E67"/>
    <w:rsid w:val="00BC2554"/>
    <w:rsid w:val="00BC2583"/>
    <w:rsid w:val="00BC2620"/>
    <w:rsid w:val="00BC280E"/>
    <w:rsid w:val="00BC2D54"/>
    <w:rsid w:val="00BC3134"/>
    <w:rsid w:val="00BC364F"/>
    <w:rsid w:val="00BC376A"/>
    <w:rsid w:val="00BC392D"/>
    <w:rsid w:val="00BC4CB2"/>
    <w:rsid w:val="00BC5185"/>
    <w:rsid w:val="00BC5FC4"/>
    <w:rsid w:val="00BC6426"/>
    <w:rsid w:val="00BC65A3"/>
    <w:rsid w:val="00BC6902"/>
    <w:rsid w:val="00BC6B51"/>
    <w:rsid w:val="00BC7265"/>
    <w:rsid w:val="00BC7453"/>
    <w:rsid w:val="00BC7C00"/>
    <w:rsid w:val="00BD00AF"/>
    <w:rsid w:val="00BD01E6"/>
    <w:rsid w:val="00BD0223"/>
    <w:rsid w:val="00BD0265"/>
    <w:rsid w:val="00BD0457"/>
    <w:rsid w:val="00BD0864"/>
    <w:rsid w:val="00BD0C34"/>
    <w:rsid w:val="00BD0DFE"/>
    <w:rsid w:val="00BD174A"/>
    <w:rsid w:val="00BD1F2A"/>
    <w:rsid w:val="00BD209D"/>
    <w:rsid w:val="00BD25FB"/>
    <w:rsid w:val="00BD2711"/>
    <w:rsid w:val="00BD369D"/>
    <w:rsid w:val="00BD3834"/>
    <w:rsid w:val="00BD3B54"/>
    <w:rsid w:val="00BD3B97"/>
    <w:rsid w:val="00BD3E27"/>
    <w:rsid w:val="00BD462D"/>
    <w:rsid w:val="00BD4784"/>
    <w:rsid w:val="00BD4895"/>
    <w:rsid w:val="00BD4A93"/>
    <w:rsid w:val="00BD4A9D"/>
    <w:rsid w:val="00BD4E44"/>
    <w:rsid w:val="00BD68EF"/>
    <w:rsid w:val="00BD6A65"/>
    <w:rsid w:val="00BD6C15"/>
    <w:rsid w:val="00BD6F34"/>
    <w:rsid w:val="00BD712F"/>
    <w:rsid w:val="00BD7545"/>
    <w:rsid w:val="00BD756E"/>
    <w:rsid w:val="00BD76D4"/>
    <w:rsid w:val="00BD775F"/>
    <w:rsid w:val="00BD7A60"/>
    <w:rsid w:val="00BE040E"/>
    <w:rsid w:val="00BE0761"/>
    <w:rsid w:val="00BE0851"/>
    <w:rsid w:val="00BE08F4"/>
    <w:rsid w:val="00BE0C2E"/>
    <w:rsid w:val="00BE16B2"/>
    <w:rsid w:val="00BE183A"/>
    <w:rsid w:val="00BE1C49"/>
    <w:rsid w:val="00BE1D60"/>
    <w:rsid w:val="00BE1D66"/>
    <w:rsid w:val="00BE1F9B"/>
    <w:rsid w:val="00BE2024"/>
    <w:rsid w:val="00BE2100"/>
    <w:rsid w:val="00BE2721"/>
    <w:rsid w:val="00BE2C17"/>
    <w:rsid w:val="00BE3398"/>
    <w:rsid w:val="00BE3508"/>
    <w:rsid w:val="00BE3676"/>
    <w:rsid w:val="00BE37B7"/>
    <w:rsid w:val="00BE4005"/>
    <w:rsid w:val="00BE44BE"/>
    <w:rsid w:val="00BE4E66"/>
    <w:rsid w:val="00BE52A7"/>
    <w:rsid w:val="00BE564B"/>
    <w:rsid w:val="00BE58FC"/>
    <w:rsid w:val="00BE5A27"/>
    <w:rsid w:val="00BE5C73"/>
    <w:rsid w:val="00BE6021"/>
    <w:rsid w:val="00BE618A"/>
    <w:rsid w:val="00BE6677"/>
    <w:rsid w:val="00BE6D00"/>
    <w:rsid w:val="00BE7049"/>
    <w:rsid w:val="00BE708F"/>
    <w:rsid w:val="00BE748D"/>
    <w:rsid w:val="00BE74A3"/>
    <w:rsid w:val="00BE7723"/>
    <w:rsid w:val="00BE7A79"/>
    <w:rsid w:val="00BF10F5"/>
    <w:rsid w:val="00BF1593"/>
    <w:rsid w:val="00BF15DD"/>
    <w:rsid w:val="00BF16D5"/>
    <w:rsid w:val="00BF196E"/>
    <w:rsid w:val="00BF1D82"/>
    <w:rsid w:val="00BF2045"/>
    <w:rsid w:val="00BF3625"/>
    <w:rsid w:val="00BF3781"/>
    <w:rsid w:val="00BF3966"/>
    <w:rsid w:val="00BF3A53"/>
    <w:rsid w:val="00BF3B6B"/>
    <w:rsid w:val="00BF411F"/>
    <w:rsid w:val="00BF41E2"/>
    <w:rsid w:val="00BF466D"/>
    <w:rsid w:val="00BF51EA"/>
    <w:rsid w:val="00BF5443"/>
    <w:rsid w:val="00BF5671"/>
    <w:rsid w:val="00BF5729"/>
    <w:rsid w:val="00BF5936"/>
    <w:rsid w:val="00BF62D3"/>
    <w:rsid w:val="00BF662F"/>
    <w:rsid w:val="00BF6977"/>
    <w:rsid w:val="00BF6E7C"/>
    <w:rsid w:val="00BF7316"/>
    <w:rsid w:val="00BF7CC7"/>
    <w:rsid w:val="00BF7DD9"/>
    <w:rsid w:val="00C0025C"/>
    <w:rsid w:val="00C0099A"/>
    <w:rsid w:val="00C00B59"/>
    <w:rsid w:val="00C00BB2"/>
    <w:rsid w:val="00C00CBC"/>
    <w:rsid w:val="00C012E6"/>
    <w:rsid w:val="00C02276"/>
    <w:rsid w:val="00C024A9"/>
    <w:rsid w:val="00C02536"/>
    <w:rsid w:val="00C026FD"/>
    <w:rsid w:val="00C02C91"/>
    <w:rsid w:val="00C032BF"/>
    <w:rsid w:val="00C03941"/>
    <w:rsid w:val="00C0398A"/>
    <w:rsid w:val="00C03A0A"/>
    <w:rsid w:val="00C03B14"/>
    <w:rsid w:val="00C03C31"/>
    <w:rsid w:val="00C04181"/>
    <w:rsid w:val="00C0419A"/>
    <w:rsid w:val="00C04331"/>
    <w:rsid w:val="00C04363"/>
    <w:rsid w:val="00C04B0A"/>
    <w:rsid w:val="00C04E9D"/>
    <w:rsid w:val="00C05184"/>
    <w:rsid w:val="00C06F91"/>
    <w:rsid w:val="00C07085"/>
    <w:rsid w:val="00C07293"/>
    <w:rsid w:val="00C07459"/>
    <w:rsid w:val="00C07ACA"/>
    <w:rsid w:val="00C07C2B"/>
    <w:rsid w:val="00C1022A"/>
    <w:rsid w:val="00C10F9E"/>
    <w:rsid w:val="00C1149B"/>
    <w:rsid w:val="00C12A73"/>
    <w:rsid w:val="00C13515"/>
    <w:rsid w:val="00C13E1A"/>
    <w:rsid w:val="00C14078"/>
    <w:rsid w:val="00C14213"/>
    <w:rsid w:val="00C14CAF"/>
    <w:rsid w:val="00C14F79"/>
    <w:rsid w:val="00C1518C"/>
    <w:rsid w:val="00C156DF"/>
    <w:rsid w:val="00C157CD"/>
    <w:rsid w:val="00C15913"/>
    <w:rsid w:val="00C15AEF"/>
    <w:rsid w:val="00C16110"/>
    <w:rsid w:val="00C1636B"/>
    <w:rsid w:val="00C16442"/>
    <w:rsid w:val="00C1715B"/>
    <w:rsid w:val="00C17244"/>
    <w:rsid w:val="00C173DC"/>
    <w:rsid w:val="00C17491"/>
    <w:rsid w:val="00C17775"/>
    <w:rsid w:val="00C17D8D"/>
    <w:rsid w:val="00C17F22"/>
    <w:rsid w:val="00C20200"/>
    <w:rsid w:val="00C2042B"/>
    <w:rsid w:val="00C205BF"/>
    <w:rsid w:val="00C20631"/>
    <w:rsid w:val="00C20868"/>
    <w:rsid w:val="00C22489"/>
    <w:rsid w:val="00C22592"/>
    <w:rsid w:val="00C2259C"/>
    <w:rsid w:val="00C22672"/>
    <w:rsid w:val="00C227C7"/>
    <w:rsid w:val="00C22C28"/>
    <w:rsid w:val="00C22CC4"/>
    <w:rsid w:val="00C22CC7"/>
    <w:rsid w:val="00C22CFE"/>
    <w:rsid w:val="00C22E7A"/>
    <w:rsid w:val="00C23B2D"/>
    <w:rsid w:val="00C23E1C"/>
    <w:rsid w:val="00C23ED2"/>
    <w:rsid w:val="00C2406A"/>
    <w:rsid w:val="00C2409D"/>
    <w:rsid w:val="00C248F3"/>
    <w:rsid w:val="00C24A17"/>
    <w:rsid w:val="00C24AE4"/>
    <w:rsid w:val="00C24DBE"/>
    <w:rsid w:val="00C25290"/>
    <w:rsid w:val="00C25683"/>
    <w:rsid w:val="00C25B8B"/>
    <w:rsid w:val="00C25FA5"/>
    <w:rsid w:val="00C26351"/>
    <w:rsid w:val="00C26FED"/>
    <w:rsid w:val="00C27662"/>
    <w:rsid w:val="00C27DB0"/>
    <w:rsid w:val="00C27DEF"/>
    <w:rsid w:val="00C27E77"/>
    <w:rsid w:val="00C27E86"/>
    <w:rsid w:val="00C304B9"/>
    <w:rsid w:val="00C30D70"/>
    <w:rsid w:val="00C30F29"/>
    <w:rsid w:val="00C311D2"/>
    <w:rsid w:val="00C3169F"/>
    <w:rsid w:val="00C31729"/>
    <w:rsid w:val="00C31A7B"/>
    <w:rsid w:val="00C31DA6"/>
    <w:rsid w:val="00C320D1"/>
    <w:rsid w:val="00C32154"/>
    <w:rsid w:val="00C331F6"/>
    <w:rsid w:val="00C3320C"/>
    <w:rsid w:val="00C33489"/>
    <w:rsid w:val="00C33A80"/>
    <w:rsid w:val="00C346C5"/>
    <w:rsid w:val="00C347B7"/>
    <w:rsid w:val="00C34BD6"/>
    <w:rsid w:val="00C34BF2"/>
    <w:rsid w:val="00C34E44"/>
    <w:rsid w:val="00C35849"/>
    <w:rsid w:val="00C35BF5"/>
    <w:rsid w:val="00C35C17"/>
    <w:rsid w:val="00C35D84"/>
    <w:rsid w:val="00C35EB3"/>
    <w:rsid w:val="00C36431"/>
    <w:rsid w:val="00C3669A"/>
    <w:rsid w:val="00C36700"/>
    <w:rsid w:val="00C36718"/>
    <w:rsid w:val="00C3675D"/>
    <w:rsid w:val="00C36DB2"/>
    <w:rsid w:val="00C370BE"/>
    <w:rsid w:val="00C370E6"/>
    <w:rsid w:val="00C37249"/>
    <w:rsid w:val="00C3726E"/>
    <w:rsid w:val="00C373E3"/>
    <w:rsid w:val="00C3755D"/>
    <w:rsid w:val="00C37918"/>
    <w:rsid w:val="00C3796D"/>
    <w:rsid w:val="00C4018A"/>
    <w:rsid w:val="00C40557"/>
    <w:rsid w:val="00C41216"/>
    <w:rsid w:val="00C41F11"/>
    <w:rsid w:val="00C420F6"/>
    <w:rsid w:val="00C422BA"/>
    <w:rsid w:val="00C423D5"/>
    <w:rsid w:val="00C4277C"/>
    <w:rsid w:val="00C42992"/>
    <w:rsid w:val="00C42B66"/>
    <w:rsid w:val="00C430C7"/>
    <w:rsid w:val="00C431F9"/>
    <w:rsid w:val="00C4338C"/>
    <w:rsid w:val="00C4366D"/>
    <w:rsid w:val="00C437B7"/>
    <w:rsid w:val="00C4395A"/>
    <w:rsid w:val="00C43C1A"/>
    <w:rsid w:val="00C43EE2"/>
    <w:rsid w:val="00C441F1"/>
    <w:rsid w:val="00C445D2"/>
    <w:rsid w:val="00C44DA0"/>
    <w:rsid w:val="00C44DA1"/>
    <w:rsid w:val="00C44EEA"/>
    <w:rsid w:val="00C454D3"/>
    <w:rsid w:val="00C45602"/>
    <w:rsid w:val="00C45F7B"/>
    <w:rsid w:val="00C45F9A"/>
    <w:rsid w:val="00C47272"/>
    <w:rsid w:val="00C47283"/>
    <w:rsid w:val="00C4733D"/>
    <w:rsid w:val="00C474EF"/>
    <w:rsid w:val="00C47586"/>
    <w:rsid w:val="00C47D8D"/>
    <w:rsid w:val="00C47E0C"/>
    <w:rsid w:val="00C50227"/>
    <w:rsid w:val="00C50296"/>
    <w:rsid w:val="00C50631"/>
    <w:rsid w:val="00C5090E"/>
    <w:rsid w:val="00C50B51"/>
    <w:rsid w:val="00C50B99"/>
    <w:rsid w:val="00C50DB6"/>
    <w:rsid w:val="00C514DD"/>
    <w:rsid w:val="00C5196B"/>
    <w:rsid w:val="00C51F24"/>
    <w:rsid w:val="00C522AE"/>
    <w:rsid w:val="00C52625"/>
    <w:rsid w:val="00C52B8B"/>
    <w:rsid w:val="00C52C8E"/>
    <w:rsid w:val="00C52EE1"/>
    <w:rsid w:val="00C536AD"/>
    <w:rsid w:val="00C53A72"/>
    <w:rsid w:val="00C53B42"/>
    <w:rsid w:val="00C53FE2"/>
    <w:rsid w:val="00C54248"/>
    <w:rsid w:val="00C5430D"/>
    <w:rsid w:val="00C54440"/>
    <w:rsid w:val="00C544EB"/>
    <w:rsid w:val="00C54510"/>
    <w:rsid w:val="00C54573"/>
    <w:rsid w:val="00C5461E"/>
    <w:rsid w:val="00C54A11"/>
    <w:rsid w:val="00C54BB2"/>
    <w:rsid w:val="00C54FCA"/>
    <w:rsid w:val="00C5543F"/>
    <w:rsid w:val="00C55A10"/>
    <w:rsid w:val="00C562E5"/>
    <w:rsid w:val="00C5641A"/>
    <w:rsid w:val="00C56BDC"/>
    <w:rsid w:val="00C56BDE"/>
    <w:rsid w:val="00C56F44"/>
    <w:rsid w:val="00C56F84"/>
    <w:rsid w:val="00C57040"/>
    <w:rsid w:val="00C5705A"/>
    <w:rsid w:val="00C570F8"/>
    <w:rsid w:val="00C571FE"/>
    <w:rsid w:val="00C5757B"/>
    <w:rsid w:val="00C60682"/>
    <w:rsid w:val="00C60B25"/>
    <w:rsid w:val="00C610F1"/>
    <w:rsid w:val="00C61620"/>
    <w:rsid w:val="00C6163A"/>
    <w:rsid w:val="00C61C61"/>
    <w:rsid w:val="00C61CDC"/>
    <w:rsid w:val="00C6269A"/>
    <w:rsid w:val="00C62849"/>
    <w:rsid w:val="00C62B54"/>
    <w:rsid w:val="00C63188"/>
    <w:rsid w:val="00C634DB"/>
    <w:rsid w:val="00C637A9"/>
    <w:rsid w:val="00C63BFF"/>
    <w:rsid w:val="00C63E05"/>
    <w:rsid w:val="00C64164"/>
    <w:rsid w:val="00C64362"/>
    <w:rsid w:val="00C64633"/>
    <w:rsid w:val="00C646EF"/>
    <w:rsid w:val="00C647A9"/>
    <w:rsid w:val="00C652D4"/>
    <w:rsid w:val="00C65416"/>
    <w:rsid w:val="00C65450"/>
    <w:rsid w:val="00C65952"/>
    <w:rsid w:val="00C659A2"/>
    <w:rsid w:val="00C65FAA"/>
    <w:rsid w:val="00C660F5"/>
    <w:rsid w:val="00C664A3"/>
    <w:rsid w:val="00C66B1D"/>
    <w:rsid w:val="00C66F48"/>
    <w:rsid w:val="00C66F7C"/>
    <w:rsid w:val="00C671EF"/>
    <w:rsid w:val="00C67DE6"/>
    <w:rsid w:val="00C70400"/>
    <w:rsid w:val="00C707C2"/>
    <w:rsid w:val="00C70992"/>
    <w:rsid w:val="00C70A90"/>
    <w:rsid w:val="00C70DD2"/>
    <w:rsid w:val="00C70E7B"/>
    <w:rsid w:val="00C70FB7"/>
    <w:rsid w:val="00C712FD"/>
    <w:rsid w:val="00C7158C"/>
    <w:rsid w:val="00C71A83"/>
    <w:rsid w:val="00C71C93"/>
    <w:rsid w:val="00C71ECC"/>
    <w:rsid w:val="00C7257C"/>
    <w:rsid w:val="00C72624"/>
    <w:rsid w:val="00C727A8"/>
    <w:rsid w:val="00C72B02"/>
    <w:rsid w:val="00C72F1B"/>
    <w:rsid w:val="00C73372"/>
    <w:rsid w:val="00C73541"/>
    <w:rsid w:val="00C73808"/>
    <w:rsid w:val="00C7384F"/>
    <w:rsid w:val="00C73984"/>
    <w:rsid w:val="00C74044"/>
    <w:rsid w:val="00C74314"/>
    <w:rsid w:val="00C747F6"/>
    <w:rsid w:val="00C74DAC"/>
    <w:rsid w:val="00C75557"/>
    <w:rsid w:val="00C75F99"/>
    <w:rsid w:val="00C76712"/>
    <w:rsid w:val="00C76DEC"/>
    <w:rsid w:val="00C76F0B"/>
    <w:rsid w:val="00C771EE"/>
    <w:rsid w:val="00C772BA"/>
    <w:rsid w:val="00C77324"/>
    <w:rsid w:val="00C77A13"/>
    <w:rsid w:val="00C80BC1"/>
    <w:rsid w:val="00C80C93"/>
    <w:rsid w:val="00C80F1A"/>
    <w:rsid w:val="00C813BD"/>
    <w:rsid w:val="00C818E7"/>
    <w:rsid w:val="00C81F7E"/>
    <w:rsid w:val="00C823FA"/>
    <w:rsid w:val="00C828FC"/>
    <w:rsid w:val="00C82AA2"/>
    <w:rsid w:val="00C82AD3"/>
    <w:rsid w:val="00C82FEC"/>
    <w:rsid w:val="00C83494"/>
    <w:rsid w:val="00C83498"/>
    <w:rsid w:val="00C846DA"/>
    <w:rsid w:val="00C84919"/>
    <w:rsid w:val="00C853E8"/>
    <w:rsid w:val="00C85452"/>
    <w:rsid w:val="00C860D0"/>
    <w:rsid w:val="00C86BF9"/>
    <w:rsid w:val="00C8701E"/>
    <w:rsid w:val="00C873BC"/>
    <w:rsid w:val="00C87725"/>
    <w:rsid w:val="00C87A81"/>
    <w:rsid w:val="00C87E68"/>
    <w:rsid w:val="00C87F8A"/>
    <w:rsid w:val="00C9046A"/>
    <w:rsid w:val="00C9048F"/>
    <w:rsid w:val="00C90693"/>
    <w:rsid w:val="00C909DB"/>
    <w:rsid w:val="00C90F2E"/>
    <w:rsid w:val="00C910DB"/>
    <w:rsid w:val="00C91166"/>
    <w:rsid w:val="00C913C1"/>
    <w:rsid w:val="00C917EE"/>
    <w:rsid w:val="00C9192D"/>
    <w:rsid w:val="00C91A45"/>
    <w:rsid w:val="00C92174"/>
    <w:rsid w:val="00C9330F"/>
    <w:rsid w:val="00C93692"/>
    <w:rsid w:val="00C93859"/>
    <w:rsid w:val="00C93B71"/>
    <w:rsid w:val="00C942FA"/>
    <w:rsid w:val="00C94BBF"/>
    <w:rsid w:val="00C94EC9"/>
    <w:rsid w:val="00C956DB"/>
    <w:rsid w:val="00C95C27"/>
    <w:rsid w:val="00C95DF8"/>
    <w:rsid w:val="00C95E32"/>
    <w:rsid w:val="00C9617A"/>
    <w:rsid w:val="00C96244"/>
    <w:rsid w:val="00C9678B"/>
    <w:rsid w:val="00C9680B"/>
    <w:rsid w:val="00C96981"/>
    <w:rsid w:val="00C96FF7"/>
    <w:rsid w:val="00C976DB"/>
    <w:rsid w:val="00C977E8"/>
    <w:rsid w:val="00C97F61"/>
    <w:rsid w:val="00CA0B2C"/>
    <w:rsid w:val="00CA0F20"/>
    <w:rsid w:val="00CA118D"/>
    <w:rsid w:val="00CA179F"/>
    <w:rsid w:val="00CA17BD"/>
    <w:rsid w:val="00CA1A2A"/>
    <w:rsid w:val="00CA1D02"/>
    <w:rsid w:val="00CA1DC5"/>
    <w:rsid w:val="00CA22C4"/>
    <w:rsid w:val="00CA2753"/>
    <w:rsid w:val="00CA2BE7"/>
    <w:rsid w:val="00CA2D3F"/>
    <w:rsid w:val="00CA2F18"/>
    <w:rsid w:val="00CA34CE"/>
    <w:rsid w:val="00CA34ED"/>
    <w:rsid w:val="00CA3F79"/>
    <w:rsid w:val="00CA413E"/>
    <w:rsid w:val="00CA4187"/>
    <w:rsid w:val="00CA41AB"/>
    <w:rsid w:val="00CA45AD"/>
    <w:rsid w:val="00CA46B8"/>
    <w:rsid w:val="00CA48B0"/>
    <w:rsid w:val="00CA4B97"/>
    <w:rsid w:val="00CA4C49"/>
    <w:rsid w:val="00CA4D46"/>
    <w:rsid w:val="00CA4EF0"/>
    <w:rsid w:val="00CA5471"/>
    <w:rsid w:val="00CA56AC"/>
    <w:rsid w:val="00CA5E8D"/>
    <w:rsid w:val="00CA6765"/>
    <w:rsid w:val="00CA680E"/>
    <w:rsid w:val="00CA68C9"/>
    <w:rsid w:val="00CA69AE"/>
    <w:rsid w:val="00CA6B7A"/>
    <w:rsid w:val="00CA71A3"/>
    <w:rsid w:val="00CA72D2"/>
    <w:rsid w:val="00CA75AB"/>
    <w:rsid w:val="00CA78F9"/>
    <w:rsid w:val="00CA7C01"/>
    <w:rsid w:val="00CA7CA8"/>
    <w:rsid w:val="00CA7EB4"/>
    <w:rsid w:val="00CB019A"/>
    <w:rsid w:val="00CB0395"/>
    <w:rsid w:val="00CB0ED7"/>
    <w:rsid w:val="00CB15CA"/>
    <w:rsid w:val="00CB19A5"/>
    <w:rsid w:val="00CB1C7E"/>
    <w:rsid w:val="00CB29B4"/>
    <w:rsid w:val="00CB2E15"/>
    <w:rsid w:val="00CB2E79"/>
    <w:rsid w:val="00CB2FA2"/>
    <w:rsid w:val="00CB3013"/>
    <w:rsid w:val="00CB312F"/>
    <w:rsid w:val="00CB39AF"/>
    <w:rsid w:val="00CB3AA1"/>
    <w:rsid w:val="00CB3CB9"/>
    <w:rsid w:val="00CB4730"/>
    <w:rsid w:val="00CB49E4"/>
    <w:rsid w:val="00CB4A79"/>
    <w:rsid w:val="00CB4B55"/>
    <w:rsid w:val="00CB54D4"/>
    <w:rsid w:val="00CB57A1"/>
    <w:rsid w:val="00CB57D8"/>
    <w:rsid w:val="00CB59ED"/>
    <w:rsid w:val="00CB5A40"/>
    <w:rsid w:val="00CB5EAF"/>
    <w:rsid w:val="00CB5FC6"/>
    <w:rsid w:val="00CB6D71"/>
    <w:rsid w:val="00CB6ED8"/>
    <w:rsid w:val="00CB7771"/>
    <w:rsid w:val="00CB7A7A"/>
    <w:rsid w:val="00CB7FEE"/>
    <w:rsid w:val="00CC0687"/>
    <w:rsid w:val="00CC0B06"/>
    <w:rsid w:val="00CC0ED4"/>
    <w:rsid w:val="00CC181C"/>
    <w:rsid w:val="00CC1AAA"/>
    <w:rsid w:val="00CC1E51"/>
    <w:rsid w:val="00CC1F5F"/>
    <w:rsid w:val="00CC20C0"/>
    <w:rsid w:val="00CC20CE"/>
    <w:rsid w:val="00CC2882"/>
    <w:rsid w:val="00CC2F61"/>
    <w:rsid w:val="00CC3186"/>
    <w:rsid w:val="00CC341C"/>
    <w:rsid w:val="00CC4022"/>
    <w:rsid w:val="00CC404A"/>
    <w:rsid w:val="00CC4216"/>
    <w:rsid w:val="00CC42CE"/>
    <w:rsid w:val="00CC449A"/>
    <w:rsid w:val="00CC4BE9"/>
    <w:rsid w:val="00CC4D42"/>
    <w:rsid w:val="00CC4FE0"/>
    <w:rsid w:val="00CC51BE"/>
    <w:rsid w:val="00CC52AC"/>
    <w:rsid w:val="00CC5479"/>
    <w:rsid w:val="00CC564F"/>
    <w:rsid w:val="00CC5B57"/>
    <w:rsid w:val="00CC5BFC"/>
    <w:rsid w:val="00CC5F6E"/>
    <w:rsid w:val="00CC7420"/>
    <w:rsid w:val="00CC7486"/>
    <w:rsid w:val="00CC75BE"/>
    <w:rsid w:val="00CC75D4"/>
    <w:rsid w:val="00CC79D5"/>
    <w:rsid w:val="00CC7D7B"/>
    <w:rsid w:val="00CC7D8F"/>
    <w:rsid w:val="00CD031C"/>
    <w:rsid w:val="00CD03D6"/>
    <w:rsid w:val="00CD070B"/>
    <w:rsid w:val="00CD157C"/>
    <w:rsid w:val="00CD1BF5"/>
    <w:rsid w:val="00CD1C94"/>
    <w:rsid w:val="00CD22D3"/>
    <w:rsid w:val="00CD2A1F"/>
    <w:rsid w:val="00CD2F95"/>
    <w:rsid w:val="00CD3064"/>
    <w:rsid w:val="00CD3441"/>
    <w:rsid w:val="00CD35CC"/>
    <w:rsid w:val="00CD390B"/>
    <w:rsid w:val="00CD394B"/>
    <w:rsid w:val="00CD4006"/>
    <w:rsid w:val="00CD4152"/>
    <w:rsid w:val="00CD43A3"/>
    <w:rsid w:val="00CD4483"/>
    <w:rsid w:val="00CD46ED"/>
    <w:rsid w:val="00CD477E"/>
    <w:rsid w:val="00CD4B7F"/>
    <w:rsid w:val="00CD4C41"/>
    <w:rsid w:val="00CD4DB7"/>
    <w:rsid w:val="00CD5348"/>
    <w:rsid w:val="00CD5355"/>
    <w:rsid w:val="00CD5803"/>
    <w:rsid w:val="00CD5CE1"/>
    <w:rsid w:val="00CD5D72"/>
    <w:rsid w:val="00CD60FA"/>
    <w:rsid w:val="00CD61A5"/>
    <w:rsid w:val="00CD628F"/>
    <w:rsid w:val="00CD62FE"/>
    <w:rsid w:val="00CD766B"/>
    <w:rsid w:val="00CD7872"/>
    <w:rsid w:val="00CD7D58"/>
    <w:rsid w:val="00CD7EB6"/>
    <w:rsid w:val="00CD7FBB"/>
    <w:rsid w:val="00CE0350"/>
    <w:rsid w:val="00CE04DE"/>
    <w:rsid w:val="00CE0630"/>
    <w:rsid w:val="00CE09A2"/>
    <w:rsid w:val="00CE0E84"/>
    <w:rsid w:val="00CE1041"/>
    <w:rsid w:val="00CE10B1"/>
    <w:rsid w:val="00CE14D6"/>
    <w:rsid w:val="00CE153D"/>
    <w:rsid w:val="00CE1D7B"/>
    <w:rsid w:val="00CE2118"/>
    <w:rsid w:val="00CE243F"/>
    <w:rsid w:val="00CE2551"/>
    <w:rsid w:val="00CE25FD"/>
    <w:rsid w:val="00CE3175"/>
    <w:rsid w:val="00CE3293"/>
    <w:rsid w:val="00CE3C6D"/>
    <w:rsid w:val="00CE3C82"/>
    <w:rsid w:val="00CE43B1"/>
    <w:rsid w:val="00CE45DB"/>
    <w:rsid w:val="00CE4964"/>
    <w:rsid w:val="00CE4BCF"/>
    <w:rsid w:val="00CE4ED1"/>
    <w:rsid w:val="00CE537D"/>
    <w:rsid w:val="00CE5414"/>
    <w:rsid w:val="00CE55AA"/>
    <w:rsid w:val="00CE5E44"/>
    <w:rsid w:val="00CE6540"/>
    <w:rsid w:val="00CE6D9E"/>
    <w:rsid w:val="00CE6DB4"/>
    <w:rsid w:val="00CE70AB"/>
    <w:rsid w:val="00CE7426"/>
    <w:rsid w:val="00CE794B"/>
    <w:rsid w:val="00CE7C39"/>
    <w:rsid w:val="00CF05EA"/>
    <w:rsid w:val="00CF0731"/>
    <w:rsid w:val="00CF088B"/>
    <w:rsid w:val="00CF08DE"/>
    <w:rsid w:val="00CF0D7A"/>
    <w:rsid w:val="00CF0FB9"/>
    <w:rsid w:val="00CF204F"/>
    <w:rsid w:val="00CF21A8"/>
    <w:rsid w:val="00CF248F"/>
    <w:rsid w:val="00CF2A96"/>
    <w:rsid w:val="00CF2AB7"/>
    <w:rsid w:val="00CF3394"/>
    <w:rsid w:val="00CF3522"/>
    <w:rsid w:val="00CF370F"/>
    <w:rsid w:val="00CF3DAA"/>
    <w:rsid w:val="00CF3F37"/>
    <w:rsid w:val="00CF487F"/>
    <w:rsid w:val="00CF4A46"/>
    <w:rsid w:val="00CF4BD8"/>
    <w:rsid w:val="00CF4C97"/>
    <w:rsid w:val="00CF581A"/>
    <w:rsid w:val="00CF6248"/>
    <w:rsid w:val="00CF63D1"/>
    <w:rsid w:val="00CF6BBF"/>
    <w:rsid w:val="00CF6E5F"/>
    <w:rsid w:val="00CF74C0"/>
    <w:rsid w:val="00CF74FB"/>
    <w:rsid w:val="00CF7897"/>
    <w:rsid w:val="00CF7997"/>
    <w:rsid w:val="00CF7BFA"/>
    <w:rsid w:val="00D009E0"/>
    <w:rsid w:val="00D00DD6"/>
    <w:rsid w:val="00D01230"/>
    <w:rsid w:val="00D013D9"/>
    <w:rsid w:val="00D017A2"/>
    <w:rsid w:val="00D019BF"/>
    <w:rsid w:val="00D01CAD"/>
    <w:rsid w:val="00D01E38"/>
    <w:rsid w:val="00D022BA"/>
    <w:rsid w:val="00D026AB"/>
    <w:rsid w:val="00D0283B"/>
    <w:rsid w:val="00D02ABB"/>
    <w:rsid w:val="00D03A98"/>
    <w:rsid w:val="00D03BB9"/>
    <w:rsid w:val="00D03D4D"/>
    <w:rsid w:val="00D03E69"/>
    <w:rsid w:val="00D03F6C"/>
    <w:rsid w:val="00D0415C"/>
    <w:rsid w:val="00D04983"/>
    <w:rsid w:val="00D04CDF"/>
    <w:rsid w:val="00D05778"/>
    <w:rsid w:val="00D06378"/>
    <w:rsid w:val="00D06937"/>
    <w:rsid w:val="00D06F86"/>
    <w:rsid w:val="00D070FF"/>
    <w:rsid w:val="00D075A4"/>
    <w:rsid w:val="00D07D94"/>
    <w:rsid w:val="00D10407"/>
    <w:rsid w:val="00D1058E"/>
    <w:rsid w:val="00D109C1"/>
    <w:rsid w:val="00D10AE5"/>
    <w:rsid w:val="00D10CA3"/>
    <w:rsid w:val="00D11433"/>
    <w:rsid w:val="00D11542"/>
    <w:rsid w:val="00D11573"/>
    <w:rsid w:val="00D11EC5"/>
    <w:rsid w:val="00D12059"/>
    <w:rsid w:val="00D122E6"/>
    <w:rsid w:val="00D1239D"/>
    <w:rsid w:val="00D125DE"/>
    <w:rsid w:val="00D12DF5"/>
    <w:rsid w:val="00D13777"/>
    <w:rsid w:val="00D13BB6"/>
    <w:rsid w:val="00D13C2D"/>
    <w:rsid w:val="00D140A1"/>
    <w:rsid w:val="00D1459C"/>
    <w:rsid w:val="00D145DE"/>
    <w:rsid w:val="00D14E96"/>
    <w:rsid w:val="00D15083"/>
    <w:rsid w:val="00D151F0"/>
    <w:rsid w:val="00D156B6"/>
    <w:rsid w:val="00D15F8E"/>
    <w:rsid w:val="00D1690E"/>
    <w:rsid w:val="00D172D8"/>
    <w:rsid w:val="00D173A5"/>
    <w:rsid w:val="00D173FA"/>
    <w:rsid w:val="00D178E9"/>
    <w:rsid w:val="00D17AB7"/>
    <w:rsid w:val="00D17B3F"/>
    <w:rsid w:val="00D17BB9"/>
    <w:rsid w:val="00D17E74"/>
    <w:rsid w:val="00D17F1D"/>
    <w:rsid w:val="00D219D5"/>
    <w:rsid w:val="00D2203E"/>
    <w:rsid w:val="00D2231C"/>
    <w:rsid w:val="00D2254A"/>
    <w:rsid w:val="00D22704"/>
    <w:rsid w:val="00D230FC"/>
    <w:rsid w:val="00D23513"/>
    <w:rsid w:val="00D237C9"/>
    <w:rsid w:val="00D23C31"/>
    <w:rsid w:val="00D242CF"/>
    <w:rsid w:val="00D24573"/>
    <w:rsid w:val="00D245E2"/>
    <w:rsid w:val="00D24A53"/>
    <w:rsid w:val="00D24C69"/>
    <w:rsid w:val="00D25047"/>
    <w:rsid w:val="00D251CF"/>
    <w:rsid w:val="00D252B8"/>
    <w:rsid w:val="00D26621"/>
    <w:rsid w:val="00D267D6"/>
    <w:rsid w:val="00D26BEC"/>
    <w:rsid w:val="00D2729A"/>
    <w:rsid w:val="00D27506"/>
    <w:rsid w:val="00D2757B"/>
    <w:rsid w:val="00D27E6C"/>
    <w:rsid w:val="00D305DF"/>
    <w:rsid w:val="00D306E6"/>
    <w:rsid w:val="00D30F5A"/>
    <w:rsid w:val="00D3198D"/>
    <w:rsid w:val="00D31FC6"/>
    <w:rsid w:val="00D323B7"/>
    <w:rsid w:val="00D32EAB"/>
    <w:rsid w:val="00D3357B"/>
    <w:rsid w:val="00D34338"/>
    <w:rsid w:val="00D34688"/>
    <w:rsid w:val="00D353A6"/>
    <w:rsid w:val="00D35601"/>
    <w:rsid w:val="00D35F3B"/>
    <w:rsid w:val="00D36027"/>
    <w:rsid w:val="00D36337"/>
    <w:rsid w:val="00D363AA"/>
    <w:rsid w:val="00D36522"/>
    <w:rsid w:val="00D365FA"/>
    <w:rsid w:val="00D366B7"/>
    <w:rsid w:val="00D367F5"/>
    <w:rsid w:val="00D36C23"/>
    <w:rsid w:val="00D36FB2"/>
    <w:rsid w:val="00D37072"/>
    <w:rsid w:val="00D375C7"/>
    <w:rsid w:val="00D3769E"/>
    <w:rsid w:val="00D37B7E"/>
    <w:rsid w:val="00D40081"/>
    <w:rsid w:val="00D40703"/>
    <w:rsid w:val="00D407D8"/>
    <w:rsid w:val="00D40E3B"/>
    <w:rsid w:val="00D40EAF"/>
    <w:rsid w:val="00D41034"/>
    <w:rsid w:val="00D411A8"/>
    <w:rsid w:val="00D413DA"/>
    <w:rsid w:val="00D418A3"/>
    <w:rsid w:val="00D41B99"/>
    <w:rsid w:val="00D42249"/>
    <w:rsid w:val="00D4244A"/>
    <w:rsid w:val="00D42487"/>
    <w:rsid w:val="00D430C6"/>
    <w:rsid w:val="00D4341B"/>
    <w:rsid w:val="00D43539"/>
    <w:rsid w:val="00D43FBC"/>
    <w:rsid w:val="00D440EE"/>
    <w:rsid w:val="00D4432C"/>
    <w:rsid w:val="00D44522"/>
    <w:rsid w:val="00D44CC7"/>
    <w:rsid w:val="00D45865"/>
    <w:rsid w:val="00D45867"/>
    <w:rsid w:val="00D458A5"/>
    <w:rsid w:val="00D4595F"/>
    <w:rsid w:val="00D45CE3"/>
    <w:rsid w:val="00D46157"/>
    <w:rsid w:val="00D46214"/>
    <w:rsid w:val="00D4646A"/>
    <w:rsid w:val="00D466A8"/>
    <w:rsid w:val="00D46A18"/>
    <w:rsid w:val="00D46BEF"/>
    <w:rsid w:val="00D47187"/>
    <w:rsid w:val="00D4751A"/>
    <w:rsid w:val="00D477E0"/>
    <w:rsid w:val="00D47805"/>
    <w:rsid w:val="00D47A56"/>
    <w:rsid w:val="00D47DDB"/>
    <w:rsid w:val="00D47FF2"/>
    <w:rsid w:val="00D50011"/>
    <w:rsid w:val="00D500F2"/>
    <w:rsid w:val="00D5017E"/>
    <w:rsid w:val="00D501F5"/>
    <w:rsid w:val="00D50728"/>
    <w:rsid w:val="00D508E4"/>
    <w:rsid w:val="00D50B2C"/>
    <w:rsid w:val="00D50EB3"/>
    <w:rsid w:val="00D519D2"/>
    <w:rsid w:val="00D520B8"/>
    <w:rsid w:val="00D52284"/>
    <w:rsid w:val="00D528B5"/>
    <w:rsid w:val="00D52C6F"/>
    <w:rsid w:val="00D5322C"/>
    <w:rsid w:val="00D533A1"/>
    <w:rsid w:val="00D533BF"/>
    <w:rsid w:val="00D53841"/>
    <w:rsid w:val="00D53C05"/>
    <w:rsid w:val="00D544C2"/>
    <w:rsid w:val="00D546B8"/>
    <w:rsid w:val="00D55294"/>
    <w:rsid w:val="00D56273"/>
    <w:rsid w:val="00D567E0"/>
    <w:rsid w:val="00D56ACF"/>
    <w:rsid w:val="00D56BDE"/>
    <w:rsid w:val="00D57152"/>
    <w:rsid w:val="00D571A7"/>
    <w:rsid w:val="00D57692"/>
    <w:rsid w:val="00D576D7"/>
    <w:rsid w:val="00D57AF1"/>
    <w:rsid w:val="00D57CBB"/>
    <w:rsid w:val="00D57DBE"/>
    <w:rsid w:val="00D60236"/>
    <w:rsid w:val="00D6063B"/>
    <w:rsid w:val="00D60B43"/>
    <w:rsid w:val="00D60C45"/>
    <w:rsid w:val="00D60CC1"/>
    <w:rsid w:val="00D613F0"/>
    <w:rsid w:val="00D614C7"/>
    <w:rsid w:val="00D61A0C"/>
    <w:rsid w:val="00D61E9C"/>
    <w:rsid w:val="00D61F3D"/>
    <w:rsid w:val="00D61F93"/>
    <w:rsid w:val="00D623A8"/>
    <w:rsid w:val="00D62472"/>
    <w:rsid w:val="00D62545"/>
    <w:rsid w:val="00D62EEF"/>
    <w:rsid w:val="00D6312F"/>
    <w:rsid w:val="00D633BB"/>
    <w:rsid w:val="00D63A3E"/>
    <w:rsid w:val="00D63B7F"/>
    <w:rsid w:val="00D63D36"/>
    <w:rsid w:val="00D63D69"/>
    <w:rsid w:val="00D640F2"/>
    <w:rsid w:val="00D64236"/>
    <w:rsid w:val="00D64240"/>
    <w:rsid w:val="00D642AD"/>
    <w:rsid w:val="00D64A40"/>
    <w:rsid w:val="00D64BD4"/>
    <w:rsid w:val="00D64E02"/>
    <w:rsid w:val="00D654E8"/>
    <w:rsid w:val="00D654FB"/>
    <w:rsid w:val="00D65619"/>
    <w:rsid w:val="00D66229"/>
    <w:rsid w:val="00D667D9"/>
    <w:rsid w:val="00D66C42"/>
    <w:rsid w:val="00D6715C"/>
    <w:rsid w:val="00D671FA"/>
    <w:rsid w:val="00D67216"/>
    <w:rsid w:val="00D67780"/>
    <w:rsid w:val="00D701C2"/>
    <w:rsid w:val="00D7055C"/>
    <w:rsid w:val="00D709B0"/>
    <w:rsid w:val="00D70DED"/>
    <w:rsid w:val="00D70FDE"/>
    <w:rsid w:val="00D71468"/>
    <w:rsid w:val="00D71604"/>
    <w:rsid w:val="00D7160C"/>
    <w:rsid w:val="00D71741"/>
    <w:rsid w:val="00D71A0A"/>
    <w:rsid w:val="00D71A70"/>
    <w:rsid w:val="00D71C1F"/>
    <w:rsid w:val="00D71CE6"/>
    <w:rsid w:val="00D71F03"/>
    <w:rsid w:val="00D72304"/>
    <w:rsid w:val="00D7249D"/>
    <w:rsid w:val="00D727B3"/>
    <w:rsid w:val="00D73210"/>
    <w:rsid w:val="00D73AD4"/>
    <w:rsid w:val="00D73C8C"/>
    <w:rsid w:val="00D744AF"/>
    <w:rsid w:val="00D74862"/>
    <w:rsid w:val="00D74FD2"/>
    <w:rsid w:val="00D75172"/>
    <w:rsid w:val="00D7538F"/>
    <w:rsid w:val="00D7555D"/>
    <w:rsid w:val="00D756D2"/>
    <w:rsid w:val="00D75879"/>
    <w:rsid w:val="00D75908"/>
    <w:rsid w:val="00D75C42"/>
    <w:rsid w:val="00D75CD0"/>
    <w:rsid w:val="00D75ECA"/>
    <w:rsid w:val="00D760B5"/>
    <w:rsid w:val="00D764EB"/>
    <w:rsid w:val="00D766A9"/>
    <w:rsid w:val="00D766D1"/>
    <w:rsid w:val="00D7731C"/>
    <w:rsid w:val="00D7733A"/>
    <w:rsid w:val="00D775CD"/>
    <w:rsid w:val="00D778F2"/>
    <w:rsid w:val="00D8005C"/>
    <w:rsid w:val="00D80539"/>
    <w:rsid w:val="00D808EE"/>
    <w:rsid w:val="00D80A72"/>
    <w:rsid w:val="00D80AF5"/>
    <w:rsid w:val="00D81003"/>
    <w:rsid w:val="00D81129"/>
    <w:rsid w:val="00D818D0"/>
    <w:rsid w:val="00D81A7D"/>
    <w:rsid w:val="00D8202C"/>
    <w:rsid w:val="00D82223"/>
    <w:rsid w:val="00D822E5"/>
    <w:rsid w:val="00D82F39"/>
    <w:rsid w:val="00D8300D"/>
    <w:rsid w:val="00D8378B"/>
    <w:rsid w:val="00D840BF"/>
    <w:rsid w:val="00D841CB"/>
    <w:rsid w:val="00D846D9"/>
    <w:rsid w:val="00D8480B"/>
    <w:rsid w:val="00D84B62"/>
    <w:rsid w:val="00D84CF1"/>
    <w:rsid w:val="00D84F1E"/>
    <w:rsid w:val="00D859E0"/>
    <w:rsid w:val="00D85CF7"/>
    <w:rsid w:val="00D863F7"/>
    <w:rsid w:val="00D87225"/>
    <w:rsid w:val="00D87307"/>
    <w:rsid w:val="00D87322"/>
    <w:rsid w:val="00D8792C"/>
    <w:rsid w:val="00D87974"/>
    <w:rsid w:val="00D87B4D"/>
    <w:rsid w:val="00D87C8F"/>
    <w:rsid w:val="00D87F7F"/>
    <w:rsid w:val="00D90235"/>
    <w:rsid w:val="00D90662"/>
    <w:rsid w:val="00D90712"/>
    <w:rsid w:val="00D9076C"/>
    <w:rsid w:val="00D90F3C"/>
    <w:rsid w:val="00D91043"/>
    <w:rsid w:val="00D911ED"/>
    <w:rsid w:val="00D91651"/>
    <w:rsid w:val="00D91686"/>
    <w:rsid w:val="00D9181C"/>
    <w:rsid w:val="00D91841"/>
    <w:rsid w:val="00D918BC"/>
    <w:rsid w:val="00D9191D"/>
    <w:rsid w:val="00D91A49"/>
    <w:rsid w:val="00D91D95"/>
    <w:rsid w:val="00D91E5A"/>
    <w:rsid w:val="00D921A2"/>
    <w:rsid w:val="00D92400"/>
    <w:rsid w:val="00D92454"/>
    <w:rsid w:val="00D9270B"/>
    <w:rsid w:val="00D927AB"/>
    <w:rsid w:val="00D93CB6"/>
    <w:rsid w:val="00D94506"/>
    <w:rsid w:val="00D947E8"/>
    <w:rsid w:val="00D94AA3"/>
    <w:rsid w:val="00D94C19"/>
    <w:rsid w:val="00D94DB2"/>
    <w:rsid w:val="00D94FA6"/>
    <w:rsid w:val="00D950AF"/>
    <w:rsid w:val="00D95DD1"/>
    <w:rsid w:val="00D96192"/>
    <w:rsid w:val="00D96A20"/>
    <w:rsid w:val="00D96D76"/>
    <w:rsid w:val="00D97020"/>
    <w:rsid w:val="00D9744D"/>
    <w:rsid w:val="00D97FAC"/>
    <w:rsid w:val="00DA10C4"/>
    <w:rsid w:val="00DA123A"/>
    <w:rsid w:val="00DA1442"/>
    <w:rsid w:val="00DA1662"/>
    <w:rsid w:val="00DA1F5A"/>
    <w:rsid w:val="00DA2813"/>
    <w:rsid w:val="00DA2C32"/>
    <w:rsid w:val="00DA2DF2"/>
    <w:rsid w:val="00DA31ED"/>
    <w:rsid w:val="00DA36B3"/>
    <w:rsid w:val="00DA4054"/>
    <w:rsid w:val="00DA467B"/>
    <w:rsid w:val="00DA4DDB"/>
    <w:rsid w:val="00DA53B9"/>
    <w:rsid w:val="00DA595B"/>
    <w:rsid w:val="00DA64C9"/>
    <w:rsid w:val="00DA66C7"/>
    <w:rsid w:val="00DA6B67"/>
    <w:rsid w:val="00DA7371"/>
    <w:rsid w:val="00DA74CE"/>
    <w:rsid w:val="00DA7705"/>
    <w:rsid w:val="00DA7878"/>
    <w:rsid w:val="00DA7ABE"/>
    <w:rsid w:val="00DA7D78"/>
    <w:rsid w:val="00DA7F35"/>
    <w:rsid w:val="00DB005E"/>
    <w:rsid w:val="00DB0592"/>
    <w:rsid w:val="00DB06F7"/>
    <w:rsid w:val="00DB0B44"/>
    <w:rsid w:val="00DB17F3"/>
    <w:rsid w:val="00DB1D21"/>
    <w:rsid w:val="00DB1FA4"/>
    <w:rsid w:val="00DB2A05"/>
    <w:rsid w:val="00DB2C57"/>
    <w:rsid w:val="00DB2DF8"/>
    <w:rsid w:val="00DB3023"/>
    <w:rsid w:val="00DB3562"/>
    <w:rsid w:val="00DB3613"/>
    <w:rsid w:val="00DB3DB1"/>
    <w:rsid w:val="00DB3E6A"/>
    <w:rsid w:val="00DB3FDB"/>
    <w:rsid w:val="00DB4274"/>
    <w:rsid w:val="00DB4D86"/>
    <w:rsid w:val="00DB514B"/>
    <w:rsid w:val="00DB5712"/>
    <w:rsid w:val="00DB5C0E"/>
    <w:rsid w:val="00DB5E0E"/>
    <w:rsid w:val="00DB6379"/>
    <w:rsid w:val="00DB64AA"/>
    <w:rsid w:val="00DB657F"/>
    <w:rsid w:val="00DB65C2"/>
    <w:rsid w:val="00DB66CE"/>
    <w:rsid w:val="00DB6952"/>
    <w:rsid w:val="00DB70EE"/>
    <w:rsid w:val="00DB7503"/>
    <w:rsid w:val="00DB75A4"/>
    <w:rsid w:val="00DB7827"/>
    <w:rsid w:val="00DB7BF9"/>
    <w:rsid w:val="00DB7F54"/>
    <w:rsid w:val="00DC00C7"/>
    <w:rsid w:val="00DC023B"/>
    <w:rsid w:val="00DC0554"/>
    <w:rsid w:val="00DC07EC"/>
    <w:rsid w:val="00DC07F1"/>
    <w:rsid w:val="00DC0AEF"/>
    <w:rsid w:val="00DC128B"/>
    <w:rsid w:val="00DC1828"/>
    <w:rsid w:val="00DC1A6F"/>
    <w:rsid w:val="00DC2DC5"/>
    <w:rsid w:val="00DC2E98"/>
    <w:rsid w:val="00DC30EA"/>
    <w:rsid w:val="00DC33EC"/>
    <w:rsid w:val="00DC3F9B"/>
    <w:rsid w:val="00DC4D22"/>
    <w:rsid w:val="00DC5B2D"/>
    <w:rsid w:val="00DC6491"/>
    <w:rsid w:val="00DC6E16"/>
    <w:rsid w:val="00DC6ECC"/>
    <w:rsid w:val="00DC7045"/>
    <w:rsid w:val="00DC70CD"/>
    <w:rsid w:val="00DC7601"/>
    <w:rsid w:val="00DC7E6F"/>
    <w:rsid w:val="00DD00EA"/>
    <w:rsid w:val="00DD0208"/>
    <w:rsid w:val="00DD1524"/>
    <w:rsid w:val="00DD1635"/>
    <w:rsid w:val="00DD1728"/>
    <w:rsid w:val="00DD1BD3"/>
    <w:rsid w:val="00DD1EFE"/>
    <w:rsid w:val="00DD20DE"/>
    <w:rsid w:val="00DD2E4E"/>
    <w:rsid w:val="00DD35C4"/>
    <w:rsid w:val="00DD36AA"/>
    <w:rsid w:val="00DD389D"/>
    <w:rsid w:val="00DD3B6A"/>
    <w:rsid w:val="00DD405B"/>
    <w:rsid w:val="00DD40F9"/>
    <w:rsid w:val="00DD45BB"/>
    <w:rsid w:val="00DD4974"/>
    <w:rsid w:val="00DD4991"/>
    <w:rsid w:val="00DD553E"/>
    <w:rsid w:val="00DD564B"/>
    <w:rsid w:val="00DD638A"/>
    <w:rsid w:val="00DD64A2"/>
    <w:rsid w:val="00DD64CB"/>
    <w:rsid w:val="00DD6531"/>
    <w:rsid w:val="00DD671F"/>
    <w:rsid w:val="00DD6801"/>
    <w:rsid w:val="00DD6925"/>
    <w:rsid w:val="00DD6A21"/>
    <w:rsid w:val="00DD6E0E"/>
    <w:rsid w:val="00DD6F13"/>
    <w:rsid w:val="00DD7BF9"/>
    <w:rsid w:val="00DD7C13"/>
    <w:rsid w:val="00DD7C7A"/>
    <w:rsid w:val="00DE037E"/>
    <w:rsid w:val="00DE0759"/>
    <w:rsid w:val="00DE0DFB"/>
    <w:rsid w:val="00DE1550"/>
    <w:rsid w:val="00DE176E"/>
    <w:rsid w:val="00DE1EC9"/>
    <w:rsid w:val="00DE23F2"/>
    <w:rsid w:val="00DE24B0"/>
    <w:rsid w:val="00DE27C7"/>
    <w:rsid w:val="00DE28B1"/>
    <w:rsid w:val="00DE38AA"/>
    <w:rsid w:val="00DE4CB8"/>
    <w:rsid w:val="00DE4E9C"/>
    <w:rsid w:val="00DE5A1E"/>
    <w:rsid w:val="00DE5EEE"/>
    <w:rsid w:val="00DE6721"/>
    <w:rsid w:val="00DE6912"/>
    <w:rsid w:val="00DE6F95"/>
    <w:rsid w:val="00DE7140"/>
    <w:rsid w:val="00DE7355"/>
    <w:rsid w:val="00DE77E7"/>
    <w:rsid w:val="00DE7E8B"/>
    <w:rsid w:val="00DF0365"/>
    <w:rsid w:val="00DF04A6"/>
    <w:rsid w:val="00DF0745"/>
    <w:rsid w:val="00DF0790"/>
    <w:rsid w:val="00DF0DF8"/>
    <w:rsid w:val="00DF1011"/>
    <w:rsid w:val="00DF15B6"/>
    <w:rsid w:val="00DF15EC"/>
    <w:rsid w:val="00DF1806"/>
    <w:rsid w:val="00DF1C2D"/>
    <w:rsid w:val="00DF1F17"/>
    <w:rsid w:val="00DF1F85"/>
    <w:rsid w:val="00DF20CE"/>
    <w:rsid w:val="00DF20EA"/>
    <w:rsid w:val="00DF2425"/>
    <w:rsid w:val="00DF2974"/>
    <w:rsid w:val="00DF297F"/>
    <w:rsid w:val="00DF2B4F"/>
    <w:rsid w:val="00DF3422"/>
    <w:rsid w:val="00DF3E3B"/>
    <w:rsid w:val="00DF45FF"/>
    <w:rsid w:val="00DF4AC7"/>
    <w:rsid w:val="00DF4CEB"/>
    <w:rsid w:val="00DF52F8"/>
    <w:rsid w:val="00DF6191"/>
    <w:rsid w:val="00DF73CF"/>
    <w:rsid w:val="00DF79A3"/>
    <w:rsid w:val="00DF7C8C"/>
    <w:rsid w:val="00E00282"/>
    <w:rsid w:val="00E0043E"/>
    <w:rsid w:val="00E00A75"/>
    <w:rsid w:val="00E00C22"/>
    <w:rsid w:val="00E0156F"/>
    <w:rsid w:val="00E019C8"/>
    <w:rsid w:val="00E01C97"/>
    <w:rsid w:val="00E01CF0"/>
    <w:rsid w:val="00E027C2"/>
    <w:rsid w:val="00E02F4E"/>
    <w:rsid w:val="00E031F0"/>
    <w:rsid w:val="00E0320F"/>
    <w:rsid w:val="00E037A1"/>
    <w:rsid w:val="00E04064"/>
    <w:rsid w:val="00E045EF"/>
    <w:rsid w:val="00E04E2B"/>
    <w:rsid w:val="00E0514D"/>
    <w:rsid w:val="00E052C4"/>
    <w:rsid w:val="00E05CBA"/>
    <w:rsid w:val="00E05D37"/>
    <w:rsid w:val="00E06166"/>
    <w:rsid w:val="00E0621A"/>
    <w:rsid w:val="00E06561"/>
    <w:rsid w:val="00E06583"/>
    <w:rsid w:val="00E065DC"/>
    <w:rsid w:val="00E06C17"/>
    <w:rsid w:val="00E06FDB"/>
    <w:rsid w:val="00E07228"/>
    <w:rsid w:val="00E0766D"/>
    <w:rsid w:val="00E07847"/>
    <w:rsid w:val="00E10090"/>
    <w:rsid w:val="00E102DD"/>
    <w:rsid w:val="00E10331"/>
    <w:rsid w:val="00E10935"/>
    <w:rsid w:val="00E10B43"/>
    <w:rsid w:val="00E10C1D"/>
    <w:rsid w:val="00E10D76"/>
    <w:rsid w:val="00E11A6C"/>
    <w:rsid w:val="00E11AE0"/>
    <w:rsid w:val="00E11E8D"/>
    <w:rsid w:val="00E12585"/>
    <w:rsid w:val="00E12613"/>
    <w:rsid w:val="00E126E5"/>
    <w:rsid w:val="00E13153"/>
    <w:rsid w:val="00E13C3D"/>
    <w:rsid w:val="00E13CC6"/>
    <w:rsid w:val="00E13E3F"/>
    <w:rsid w:val="00E1421F"/>
    <w:rsid w:val="00E1436D"/>
    <w:rsid w:val="00E14415"/>
    <w:rsid w:val="00E1449F"/>
    <w:rsid w:val="00E14A2C"/>
    <w:rsid w:val="00E14C3C"/>
    <w:rsid w:val="00E15157"/>
    <w:rsid w:val="00E15484"/>
    <w:rsid w:val="00E15680"/>
    <w:rsid w:val="00E15BCB"/>
    <w:rsid w:val="00E1644C"/>
    <w:rsid w:val="00E16730"/>
    <w:rsid w:val="00E16852"/>
    <w:rsid w:val="00E168FA"/>
    <w:rsid w:val="00E16DB7"/>
    <w:rsid w:val="00E177F1"/>
    <w:rsid w:val="00E17D33"/>
    <w:rsid w:val="00E202FC"/>
    <w:rsid w:val="00E203ED"/>
    <w:rsid w:val="00E20CD7"/>
    <w:rsid w:val="00E20D09"/>
    <w:rsid w:val="00E2106E"/>
    <w:rsid w:val="00E21495"/>
    <w:rsid w:val="00E219C6"/>
    <w:rsid w:val="00E21AD7"/>
    <w:rsid w:val="00E22183"/>
    <w:rsid w:val="00E22D0F"/>
    <w:rsid w:val="00E23557"/>
    <w:rsid w:val="00E23D2E"/>
    <w:rsid w:val="00E23D4C"/>
    <w:rsid w:val="00E23E7D"/>
    <w:rsid w:val="00E24B81"/>
    <w:rsid w:val="00E24C2A"/>
    <w:rsid w:val="00E24F41"/>
    <w:rsid w:val="00E24FFE"/>
    <w:rsid w:val="00E251C3"/>
    <w:rsid w:val="00E252E5"/>
    <w:rsid w:val="00E25EB1"/>
    <w:rsid w:val="00E2604C"/>
    <w:rsid w:val="00E260B0"/>
    <w:rsid w:val="00E26382"/>
    <w:rsid w:val="00E264C0"/>
    <w:rsid w:val="00E264F9"/>
    <w:rsid w:val="00E267AA"/>
    <w:rsid w:val="00E26870"/>
    <w:rsid w:val="00E273E5"/>
    <w:rsid w:val="00E278E8"/>
    <w:rsid w:val="00E27FB8"/>
    <w:rsid w:val="00E30064"/>
    <w:rsid w:val="00E301E4"/>
    <w:rsid w:val="00E303BF"/>
    <w:rsid w:val="00E3078A"/>
    <w:rsid w:val="00E31099"/>
    <w:rsid w:val="00E31801"/>
    <w:rsid w:val="00E319E0"/>
    <w:rsid w:val="00E32209"/>
    <w:rsid w:val="00E3275C"/>
    <w:rsid w:val="00E327B1"/>
    <w:rsid w:val="00E327B9"/>
    <w:rsid w:val="00E32A5A"/>
    <w:rsid w:val="00E32A5E"/>
    <w:rsid w:val="00E32E66"/>
    <w:rsid w:val="00E3307A"/>
    <w:rsid w:val="00E331E4"/>
    <w:rsid w:val="00E3328F"/>
    <w:rsid w:val="00E336AB"/>
    <w:rsid w:val="00E33880"/>
    <w:rsid w:val="00E33C15"/>
    <w:rsid w:val="00E3413D"/>
    <w:rsid w:val="00E341E2"/>
    <w:rsid w:val="00E34633"/>
    <w:rsid w:val="00E3470A"/>
    <w:rsid w:val="00E34977"/>
    <w:rsid w:val="00E34C64"/>
    <w:rsid w:val="00E34CED"/>
    <w:rsid w:val="00E35CBE"/>
    <w:rsid w:val="00E35DC5"/>
    <w:rsid w:val="00E36239"/>
    <w:rsid w:val="00E36C10"/>
    <w:rsid w:val="00E36EB8"/>
    <w:rsid w:val="00E374E2"/>
    <w:rsid w:val="00E37695"/>
    <w:rsid w:val="00E37830"/>
    <w:rsid w:val="00E37F55"/>
    <w:rsid w:val="00E40453"/>
    <w:rsid w:val="00E4059C"/>
    <w:rsid w:val="00E405F0"/>
    <w:rsid w:val="00E40680"/>
    <w:rsid w:val="00E40C15"/>
    <w:rsid w:val="00E40C1A"/>
    <w:rsid w:val="00E40DE8"/>
    <w:rsid w:val="00E41014"/>
    <w:rsid w:val="00E412B8"/>
    <w:rsid w:val="00E41601"/>
    <w:rsid w:val="00E421F2"/>
    <w:rsid w:val="00E42555"/>
    <w:rsid w:val="00E428CB"/>
    <w:rsid w:val="00E438C5"/>
    <w:rsid w:val="00E43C0A"/>
    <w:rsid w:val="00E4423D"/>
    <w:rsid w:val="00E44378"/>
    <w:rsid w:val="00E449C3"/>
    <w:rsid w:val="00E45020"/>
    <w:rsid w:val="00E450D8"/>
    <w:rsid w:val="00E4513D"/>
    <w:rsid w:val="00E4528A"/>
    <w:rsid w:val="00E45835"/>
    <w:rsid w:val="00E4591D"/>
    <w:rsid w:val="00E45C08"/>
    <w:rsid w:val="00E464DF"/>
    <w:rsid w:val="00E46502"/>
    <w:rsid w:val="00E46F6A"/>
    <w:rsid w:val="00E471E6"/>
    <w:rsid w:val="00E473AE"/>
    <w:rsid w:val="00E476A3"/>
    <w:rsid w:val="00E476E0"/>
    <w:rsid w:val="00E47DDE"/>
    <w:rsid w:val="00E50124"/>
    <w:rsid w:val="00E5134D"/>
    <w:rsid w:val="00E519D8"/>
    <w:rsid w:val="00E51DD3"/>
    <w:rsid w:val="00E5209E"/>
    <w:rsid w:val="00E5241D"/>
    <w:rsid w:val="00E5271E"/>
    <w:rsid w:val="00E5276F"/>
    <w:rsid w:val="00E52BC4"/>
    <w:rsid w:val="00E53315"/>
    <w:rsid w:val="00E5334A"/>
    <w:rsid w:val="00E53532"/>
    <w:rsid w:val="00E536C6"/>
    <w:rsid w:val="00E53B8E"/>
    <w:rsid w:val="00E53BBA"/>
    <w:rsid w:val="00E542AA"/>
    <w:rsid w:val="00E543EE"/>
    <w:rsid w:val="00E548D1"/>
    <w:rsid w:val="00E54D9C"/>
    <w:rsid w:val="00E54DFC"/>
    <w:rsid w:val="00E54DFF"/>
    <w:rsid w:val="00E54E59"/>
    <w:rsid w:val="00E54EA3"/>
    <w:rsid w:val="00E554DE"/>
    <w:rsid w:val="00E55626"/>
    <w:rsid w:val="00E55B02"/>
    <w:rsid w:val="00E55EA3"/>
    <w:rsid w:val="00E55FAC"/>
    <w:rsid w:val="00E56130"/>
    <w:rsid w:val="00E563F0"/>
    <w:rsid w:val="00E56574"/>
    <w:rsid w:val="00E565B4"/>
    <w:rsid w:val="00E56C0F"/>
    <w:rsid w:val="00E56D19"/>
    <w:rsid w:val="00E57012"/>
    <w:rsid w:val="00E5737A"/>
    <w:rsid w:val="00E57481"/>
    <w:rsid w:val="00E57704"/>
    <w:rsid w:val="00E5776E"/>
    <w:rsid w:val="00E57954"/>
    <w:rsid w:val="00E57AA2"/>
    <w:rsid w:val="00E57C07"/>
    <w:rsid w:val="00E57D82"/>
    <w:rsid w:val="00E57EE7"/>
    <w:rsid w:val="00E6032B"/>
    <w:rsid w:val="00E604CA"/>
    <w:rsid w:val="00E60D04"/>
    <w:rsid w:val="00E612CC"/>
    <w:rsid w:val="00E617FF"/>
    <w:rsid w:val="00E62268"/>
    <w:rsid w:val="00E6294C"/>
    <w:rsid w:val="00E62B0B"/>
    <w:rsid w:val="00E62C32"/>
    <w:rsid w:val="00E63504"/>
    <w:rsid w:val="00E635B9"/>
    <w:rsid w:val="00E638BA"/>
    <w:rsid w:val="00E6426E"/>
    <w:rsid w:val="00E64509"/>
    <w:rsid w:val="00E646E7"/>
    <w:rsid w:val="00E649FC"/>
    <w:rsid w:val="00E64AAF"/>
    <w:rsid w:val="00E64B6D"/>
    <w:rsid w:val="00E64EDF"/>
    <w:rsid w:val="00E65903"/>
    <w:rsid w:val="00E6592E"/>
    <w:rsid w:val="00E65958"/>
    <w:rsid w:val="00E65DDD"/>
    <w:rsid w:val="00E65EFB"/>
    <w:rsid w:val="00E66536"/>
    <w:rsid w:val="00E6668F"/>
    <w:rsid w:val="00E666DD"/>
    <w:rsid w:val="00E66856"/>
    <w:rsid w:val="00E66B4A"/>
    <w:rsid w:val="00E670C5"/>
    <w:rsid w:val="00E671F0"/>
    <w:rsid w:val="00E67B43"/>
    <w:rsid w:val="00E70402"/>
    <w:rsid w:val="00E707EA"/>
    <w:rsid w:val="00E70F07"/>
    <w:rsid w:val="00E7123B"/>
    <w:rsid w:val="00E712EA"/>
    <w:rsid w:val="00E7142E"/>
    <w:rsid w:val="00E71813"/>
    <w:rsid w:val="00E722A5"/>
    <w:rsid w:val="00E72478"/>
    <w:rsid w:val="00E726BE"/>
    <w:rsid w:val="00E7292C"/>
    <w:rsid w:val="00E72DBA"/>
    <w:rsid w:val="00E73482"/>
    <w:rsid w:val="00E73537"/>
    <w:rsid w:val="00E739A6"/>
    <w:rsid w:val="00E73AFD"/>
    <w:rsid w:val="00E740DA"/>
    <w:rsid w:val="00E7455D"/>
    <w:rsid w:val="00E745C0"/>
    <w:rsid w:val="00E747EA"/>
    <w:rsid w:val="00E747EE"/>
    <w:rsid w:val="00E74802"/>
    <w:rsid w:val="00E74B06"/>
    <w:rsid w:val="00E74D9F"/>
    <w:rsid w:val="00E74FA2"/>
    <w:rsid w:val="00E74FCB"/>
    <w:rsid w:val="00E75AAC"/>
    <w:rsid w:val="00E75D1F"/>
    <w:rsid w:val="00E76345"/>
    <w:rsid w:val="00E76625"/>
    <w:rsid w:val="00E76C41"/>
    <w:rsid w:val="00E76F7A"/>
    <w:rsid w:val="00E775FB"/>
    <w:rsid w:val="00E77687"/>
    <w:rsid w:val="00E776F4"/>
    <w:rsid w:val="00E77DAA"/>
    <w:rsid w:val="00E80094"/>
    <w:rsid w:val="00E804A3"/>
    <w:rsid w:val="00E80681"/>
    <w:rsid w:val="00E8086C"/>
    <w:rsid w:val="00E80B98"/>
    <w:rsid w:val="00E813A8"/>
    <w:rsid w:val="00E813F4"/>
    <w:rsid w:val="00E81822"/>
    <w:rsid w:val="00E819A8"/>
    <w:rsid w:val="00E819BE"/>
    <w:rsid w:val="00E81A7F"/>
    <w:rsid w:val="00E826D1"/>
    <w:rsid w:val="00E82815"/>
    <w:rsid w:val="00E8286D"/>
    <w:rsid w:val="00E828CB"/>
    <w:rsid w:val="00E83A5E"/>
    <w:rsid w:val="00E83AFD"/>
    <w:rsid w:val="00E844C3"/>
    <w:rsid w:val="00E845F8"/>
    <w:rsid w:val="00E846DB"/>
    <w:rsid w:val="00E85157"/>
    <w:rsid w:val="00E8521F"/>
    <w:rsid w:val="00E863AA"/>
    <w:rsid w:val="00E86555"/>
    <w:rsid w:val="00E86608"/>
    <w:rsid w:val="00E8695C"/>
    <w:rsid w:val="00E86FEA"/>
    <w:rsid w:val="00E87559"/>
    <w:rsid w:val="00E87A01"/>
    <w:rsid w:val="00E87DDD"/>
    <w:rsid w:val="00E9006C"/>
    <w:rsid w:val="00E9023B"/>
    <w:rsid w:val="00E9047A"/>
    <w:rsid w:val="00E90609"/>
    <w:rsid w:val="00E90A58"/>
    <w:rsid w:val="00E90B5E"/>
    <w:rsid w:val="00E90B82"/>
    <w:rsid w:val="00E90C89"/>
    <w:rsid w:val="00E913B3"/>
    <w:rsid w:val="00E918B7"/>
    <w:rsid w:val="00E92565"/>
    <w:rsid w:val="00E925EA"/>
    <w:rsid w:val="00E9260C"/>
    <w:rsid w:val="00E9266C"/>
    <w:rsid w:val="00E93001"/>
    <w:rsid w:val="00E932D1"/>
    <w:rsid w:val="00E93C7E"/>
    <w:rsid w:val="00E93EB9"/>
    <w:rsid w:val="00E94084"/>
    <w:rsid w:val="00E94113"/>
    <w:rsid w:val="00E94BA7"/>
    <w:rsid w:val="00E94DAA"/>
    <w:rsid w:val="00E9526E"/>
    <w:rsid w:val="00E96468"/>
    <w:rsid w:val="00E96AEB"/>
    <w:rsid w:val="00E96F68"/>
    <w:rsid w:val="00E970D7"/>
    <w:rsid w:val="00E972EE"/>
    <w:rsid w:val="00E97779"/>
    <w:rsid w:val="00E978CC"/>
    <w:rsid w:val="00E97A9E"/>
    <w:rsid w:val="00E97AD7"/>
    <w:rsid w:val="00E97B84"/>
    <w:rsid w:val="00E97F38"/>
    <w:rsid w:val="00EA0289"/>
    <w:rsid w:val="00EA08EC"/>
    <w:rsid w:val="00EA0FCE"/>
    <w:rsid w:val="00EA18A8"/>
    <w:rsid w:val="00EA1FE5"/>
    <w:rsid w:val="00EA2142"/>
    <w:rsid w:val="00EA2ADD"/>
    <w:rsid w:val="00EA2D29"/>
    <w:rsid w:val="00EA3749"/>
    <w:rsid w:val="00EA3AB1"/>
    <w:rsid w:val="00EA3B00"/>
    <w:rsid w:val="00EA3CF5"/>
    <w:rsid w:val="00EA3D21"/>
    <w:rsid w:val="00EA48C9"/>
    <w:rsid w:val="00EA4BB6"/>
    <w:rsid w:val="00EA538B"/>
    <w:rsid w:val="00EA59B0"/>
    <w:rsid w:val="00EA6094"/>
    <w:rsid w:val="00EA6224"/>
    <w:rsid w:val="00EA69A5"/>
    <w:rsid w:val="00EA6D93"/>
    <w:rsid w:val="00EA70F7"/>
    <w:rsid w:val="00EA7446"/>
    <w:rsid w:val="00EA7509"/>
    <w:rsid w:val="00EB004D"/>
    <w:rsid w:val="00EB0146"/>
    <w:rsid w:val="00EB02C1"/>
    <w:rsid w:val="00EB0322"/>
    <w:rsid w:val="00EB05F5"/>
    <w:rsid w:val="00EB0ACA"/>
    <w:rsid w:val="00EB126D"/>
    <w:rsid w:val="00EB153B"/>
    <w:rsid w:val="00EB159C"/>
    <w:rsid w:val="00EB17F3"/>
    <w:rsid w:val="00EB1BE8"/>
    <w:rsid w:val="00EB292B"/>
    <w:rsid w:val="00EB2D5C"/>
    <w:rsid w:val="00EB2EF7"/>
    <w:rsid w:val="00EB3802"/>
    <w:rsid w:val="00EB3EAF"/>
    <w:rsid w:val="00EB46FA"/>
    <w:rsid w:val="00EB48F6"/>
    <w:rsid w:val="00EB4BEB"/>
    <w:rsid w:val="00EB4D75"/>
    <w:rsid w:val="00EB5287"/>
    <w:rsid w:val="00EB5B30"/>
    <w:rsid w:val="00EB6405"/>
    <w:rsid w:val="00EB6587"/>
    <w:rsid w:val="00EB66AC"/>
    <w:rsid w:val="00EB69B4"/>
    <w:rsid w:val="00EB6A0D"/>
    <w:rsid w:val="00EB7059"/>
    <w:rsid w:val="00EB75D2"/>
    <w:rsid w:val="00EB7932"/>
    <w:rsid w:val="00EB7DD0"/>
    <w:rsid w:val="00EB7E38"/>
    <w:rsid w:val="00EB7F02"/>
    <w:rsid w:val="00EB7F10"/>
    <w:rsid w:val="00EC0191"/>
    <w:rsid w:val="00EC0214"/>
    <w:rsid w:val="00EC05BA"/>
    <w:rsid w:val="00EC0B35"/>
    <w:rsid w:val="00EC0BAA"/>
    <w:rsid w:val="00EC0D64"/>
    <w:rsid w:val="00EC104C"/>
    <w:rsid w:val="00EC178C"/>
    <w:rsid w:val="00EC17E3"/>
    <w:rsid w:val="00EC1A16"/>
    <w:rsid w:val="00EC1D75"/>
    <w:rsid w:val="00EC20DA"/>
    <w:rsid w:val="00EC2127"/>
    <w:rsid w:val="00EC238B"/>
    <w:rsid w:val="00EC2B1A"/>
    <w:rsid w:val="00EC3117"/>
    <w:rsid w:val="00EC3329"/>
    <w:rsid w:val="00EC3C44"/>
    <w:rsid w:val="00EC45DE"/>
    <w:rsid w:val="00EC478C"/>
    <w:rsid w:val="00EC498D"/>
    <w:rsid w:val="00EC4BC9"/>
    <w:rsid w:val="00EC4CE0"/>
    <w:rsid w:val="00EC517B"/>
    <w:rsid w:val="00EC5B0D"/>
    <w:rsid w:val="00EC5BB4"/>
    <w:rsid w:val="00EC6364"/>
    <w:rsid w:val="00EC654A"/>
    <w:rsid w:val="00EC7114"/>
    <w:rsid w:val="00EC7551"/>
    <w:rsid w:val="00EC7D15"/>
    <w:rsid w:val="00EC7DAA"/>
    <w:rsid w:val="00EC7DB0"/>
    <w:rsid w:val="00EC7EDB"/>
    <w:rsid w:val="00ED024A"/>
    <w:rsid w:val="00ED12B0"/>
    <w:rsid w:val="00ED1D36"/>
    <w:rsid w:val="00ED1F83"/>
    <w:rsid w:val="00ED213F"/>
    <w:rsid w:val="00ED2540"/>
    <w:rsid w:val="00ED2B9A"/>
    <w:rsid w:val="00ED2DB8"/>
    <w:rsid w:val="00ED379B"/>
    <w:rsid w:val="00ED38E3"/>
    <w:rsid w:val="00ED3A92"/>
    <w:rsid w:val="00ED4060"/>
    <w:rsid w:val="00ED45E3"/>
    <w:rsid w:val="00ED4783"/>
    <w:rsid w:val="00ED49B3"/>
    <w:rsid w:val="00ED51DE"/>
    <w:rsid w:val="00ED52CD"/>
    <w:rsid w:val="00ED539C"/>
    <w:rsid w:val="00ED53CB"/>
    <w:rsid w:val="00ED5447"/>
    <w:rsid w:val="00ED54B4"/>
    <w:rsid w:val="00ED5993"/>
    <w:rsid w:val="00ED5A24"/>
    <w:rsid w:val="00ED6222"/>
    <w:rsid w:val="00ED689C"/>
    <w:rsid w:val="00ED6D5F"/>
    <w:rsid w:val="00ED6F3C"/>
    <w:rsid w:val="00ED74B3"/>
    <w:rsid w:val="00ED74C3"/>
    <w:rsid w:val="00ED79B4"/>
    <w:rsid w:val="00ED7E44"/>
    <w:rsid w:val="00EE0456"/>
    <w:rsid w:val="00EE081A"/>
    <w:rsid w:val="00EE08CA"/>
    <w:rsid w:val="00EE0A57"/>
    <w:rsid w:val="00EE0C9C"/>
    <w:rsid w:val="00EE0CF3"/>
    <w:rsid w:val="00EE1228"/>
    <w:rsid w:val="00EE1B4A"/>
    <w:rsid w:val="00EE1C17"/>
    <w:rsid w:val="00EE1D56"/>
    <w:rsid w:val="00EE1F84"/>
    <w:rsid w:val="00EE20B1"/>
    <w:rsid w:val="00EE235A"/>
    <w:rsid w:val="00EE294E"/>
    <w:rsid w:val="00EE35B8"/>
    <w:rsid w:val="00EE3632"/>
    <w:rsid w:val="00EE3EC0"/>
    <w:rsid w:val="00EE427C"/>
    <w:rsid w:val="00EE4392"/>
    <w:rsid w:val="00EE43C1"/>
    <w:rsid w:val="00EE4B3F"/>
    <w:rsid w:val="00EE4DCC"/>
    <w:rsid w:val="00EE5425"/>
    <w:rsid w:val="00EE559E"/>
    <w:rsid w:val="00EE5BB3"/>
    <w:rsid w:val="00EE620B"/>
    <w:rsid w:val="00EE6D82"/>
    <w:rsid w:val="00EE715D"/>
    <w:rsid w:val="00EE7273"/>
    <w:rsid w:val="00EE74FC"/>
    <w:rsid w:val="00EE7916"/>
    <w:rsid w:val="00EE793A"/>
    <w:rsid w:val="00EE7A69"/>
    <w:rsid w:val="00EE7C99"/>
    <w:rsid w:val="00EF0A64"/>
    <w:rsid w:val="00EF132F"/>
    <w:rsid w:val="00EF1392"/>
    <w:rsid w:val="00EF150A"/>
    <w:rsid w:val="00EF18AD"/>
    <w:rsid w:val="00EF19D9"/>
    <w:rsid w:val="00EF1A80"/>
    <w:rsid w:val="00EF2467"/>
    <w:rsid w:val="00EF46BA"/>
    <w:rsid w:val="00EF4844"/>
    <w:rsid w:val="00EF4853"/>
    <w:rsid w:val="00EF4A5A"/>
    <w:rsid w:val="00EF4E5E"/>
    <w:rsid w:val="00EF4FCC"/>
    <w:rsid w:val="00EF5112"/>
    <w:rsid w:val="00EF5132"/>
    <w:rsid w:val="00EF5667"/>
    <w:rsid w:val="00EF5D5A"/>
    <w:rsid w:val="00EF5D5C"/>
    <w:rsid w:val="00EF63BB"/>
    <w:rsid w:val="00EF6662"/>
    <w:rsid w:val="00EF6786"/>
    <w:rsid w:val="00EF6D04"/>
    <w:rsid w:val="00EF6D93"/>
    <w:rsid w:val="00EF6EEB"/>
    <w:rsid w:val="00EF760F"/>
    <w:rsid w:val="00EF7671"/>
    <w:rsid w:val="00EF77F0"/>
    <w:rsid w:val="00EF7E34"/>
    <w:rsid w:val="00F00002"/>
    <w:rsid w:val="00F001EC"/>
    <w:rsid w:val="00F003C1"/>
    <w:rsid w:val="00F00918"/>
    <w:rsid w:val="00F009C1"/>
    <w:rsid w:val="00F00EA8"/>
    <w:rsid w:val="00F01186"/>
    <w:rsid w:val="00F011DB"/>
    <w:rsid w:val="00F01A4D"/>
    <w:rsid w:val="00F01EB1"/>
    <w:rsid w:val="00F021AC"/>
    <w:rsid w:val="00F0223F"/>
    <w:rsid w:val="00F029BC"/>
    <w:rsid w:val="00F02BBD"/>
    <w:rsid w:val="00F02C66"/>
    <w:rsid w:val="00F02F44"/>
    <w:rsid w:val="00F0307D"/>
    <w:rsid w:val="00F031F5"/>
    <w:rsid w:val="00F036A3"/>
    <w:rsid w:val="00F0373C"/>
    <w:rsid w:val="00F03B42"/>
    <w:rsid w:val="00F047F5"/>
    <w:rsid w:val="00F04921"/>
    <w:rsid w:val="00F04E78"/>
    <w:rsid w:val="00F04FEF"/>
    <w:rsid w:val="00F05361"/>
    <w:rsid w:val="00F05B65"/>
    <w:rsid w:val="00F05D9F"/>
    <w:rsid w:val="00F0636F"/>
    <w:rsid w:val="00F06854"/>
    <w:rsid w:val="00F0710F"/>
    <w:rsid w:val="00F07604"/>
    <w:rsid w:val="00F07613"/>
    <w:rsid w:val="00F0767F"/>
    <w:rsid w:val="00F0785A"/>
    <w:rsid w:val="00F078EC"/>
    <w:rsid w:val="00F07B52"/>
    <w:rsid w:val="00F07B9B"/>
    <w:rsid w:val="00F07C18"/>
    <w:rsid w:val="00F11356"/>
    <w:rsid w:val="00F1160D"/>
    <w:rsid w:val="00F116D0"/>
    <w:rsid w:val="00F11778"/>
    <w:rsid w:val="00F121D1"/>
    <w:rsid w:val="00F12309"/>
    <w:rsid w:val="00F12629"/>
    <w:rsid w:val="00F12B69"/>
    <w:rsid w:val="00F1308B"/>
    <w:rsid w:val="00F134C6"/>
    <w:rsid w:val="00F1354C"/>
    <w:rsid w:val="00F143DE"/>
    <w:rsid w:val="00F1440B"/>
    <w:rsid w:val="00F14777"/>
    <w:rsid w:val="00F147E6"/>
    <w:rsid w:val="00F14D71"/>
    <w:rsid w:val="00F14FD5"/>
    <w:rsid w:val="00F152D3"/>
    <w:rsid w:val="00F15440"/>
    <w:rsid w:val="00F15515"/>
    <w:rsid w:val="00F15E67"/>
    <w:rsid w:val="00F15EFD"/>
    <w:rsid w:val="00F15EFE"/>
    <w:rsid w:val="00F164DE"/>
    <w:rsid w:val="00F16634"/>
    <w:rsid w:val="00F16853"/>
    <w:rsid w:val="00F171F9"/>
    <w:rsid w:val="00F1730F"/>
    <w:rsid w:val="00F178D2"/>
    <w:rsid w:val="00F17A79"/>
    <w:rsid w:val="00F17C66"/>
    <w:rsid w:val="00F202DD"/>
    <w:rsid w:val="00F209F8"/>
    <w:rsid w:val="00F20C34"/>
    <w:rsid w:val="00F2147E"/>
    <w:rsid w:val="00F21609"/>
    <w:rsid w:val="00F21A45"/>
    <w:rsid w:val="00F21B53"/>
    <w:rsid w:val="00F21EB0"/>
    <w:rsid w:val="00F2201B"/>
    <w:rsid w:val="00F22065"/>
    <w:rsid w:val="00F22313"/>
    <w:rsid w:val="00F22343"/>
    <w:rsid w:val="00F22404"/>
    <w:rsid w:val="00F226B6"/>
    <w:rsid w:val="00F22D6E"/>
    <w:rsid w:val="00F236D5"/>
    <w:rsid w:val="00F238EF"/>
    <w:rsid w:val="00F23DE7"/>
    <w:rsid w:val="00F23EBE"/>
    <w:rsid w:val="00F248C7"/>
    <w:rsid w:val="00F24B8E"/>
    <w:rsid w:val="00F24D6A"/>
    <w:rsid w:val="00F24FFD"/>
    <w:rsid w:val="00F2574A"/>
    <w:rsid w:val="00F25763"/>
    <w:rsid w:val="00F2594A"/>
    <w:rsid w:val="00F25CA3"/>
    <w:rsid w:val="00F25F64"/>
    <w:rsid w:val="00F25FC7"/>
    <w:rsid w:val="00F2630A"/>
    <w:rsid w:val="00F263AD"/>
    <w:rsid w:val="00F264B8"/>
    <w:rsid w:val="00F26A5A"/>
    <w:rsid w:val="00F26BBA"/>
    <w:rsid w:val="00F26C88"/>
    <w:rsid w:val="00F26D06"/>
    <w:rsid w:val="00F26D38"/>
    <w:rsid w:val="00F26E72"/>
    <w:rsid w:val="00F27536"/>
    <w:rsid w:val="00F27B76"/>
    <w:rsid w:val="00F3040E"/>
    <w:rsid w:val="00F304A8"/>
    <w:rsid w:val="00F309CA"/>
    <w:rsid w:val="00F30B91"/>
    <w:rsid w:val="00F30F5D"/>
    <w:rsid w:val="00F31206"/>
    <w:rsid w:val="00F31532"/>
    <w:rsid w:val="00F3173A"/>
    <w:rsid w:val="00F31861"/>
    <w:rsid w:val="00F32088"/>
    <w:rsid w:val="00F32366"/>
    <w:rsid w:val="00F32418"/>
    <w:rsid w:val="00F32913"/>
    <w:rsid w:val="00F32A66"/>
    <w:rsid w:val="00F3324D"/>
    <w:rsid w:val="00F34210"/>
    <w:rsid w:val="00F34F66"/>
    <w:rsid w:val="00F350C6"/>
    <w:rsid w:val="00F3511E"/>
    <w:rsid w:val="00F351F7"/>
    <w:rsid w:val="00F3525E"/>
    <w:rsid w:val="00F35549"/>
    <w:rsid w:val="00F35885"/>
    <w:rsid w:val="00F36019"/>
    <w:rsid w:val="00F36605"/>
    <w:rsid w:val="00F366FB"/>
    <w:rsid w:val="00F36C9F"/>
    <w:rsid w:val="00F373DC"/>
    <w:rsid w:val="00F375F4"/>
    <w:rsid w:val="00F378A6"/>
    <w:rsid w:val="00F3796D"/>
    <w:rsid w:val="00F4000E"/>
    <w:rsid w:val="00F40202"/>
    <w:rsid w:val="00F40BE9"/>
    <w:rsid w:val="00F40C79"/>
    <w:rsid w:val="00F40ED3"/>
    <w:rsid w:val="00F411C1"/>
    <w:rsid w:val="00F4123C"/>
    <w:rsid w:val="00F4131E"/>
    <w:rsid w:val="00F4135A"/>
    <w:rsid w:val="00F41386"/>
    <w:rsid w:val="00F41BD1"/>
    <w:rsid w:val="00F41E51"/>
    <w:rsid w:val="00F42164"/>
    <w:rsid w:val="00F42AC0"/>
    <w:rsid w:val="00F4345F"/>
    <w:rsid w:val="00F43A56"/>
    <w:rsid w:val="00F43DD0"/>
    <w:rsid w:val="00F4417C"/>
    <w:rsid w:val="00F44203"/>
    <w:rsid w:val="00F445FF"/>
    <w:rsid w:val="00F4463B"/>
    <w:rsid w:val="00F44AF1"/>
    <w:rsid w:val="00F451D4"/>
    <w:rsid w:val="00F4541A"/>
    <w:rsid w:val="00F45AE2"/>
    <w:rsid w:val="00F45BD4"/>
    <w:rsid w:val="00F45EDF"/>
    <w:rsid w:val="00F46184"/>
    <w:rsid w:val="00F4625D"/>
    <w:rsid w:val="00F4638F"/>
    <w:rsid w:val="00F466B3"/>
    <w:rsid w:val="00F467AF"/>
    <w:rsid w:val="00F468E9"/>
    <w:rsid w:val="00F470D0"/>
    <w:rsid w:val="00F470E9"/>
    <w:rsid w:val="00F473D8"/>
    <w:rsid w:val="00F47643"/>
    <w:rsid w:val="00F47788"/>
    <w:rsid w:val="00F47849"/>
    <w:rsid w:val="00F478EB"/>
    <w:rsid w:val="00F47DD5"/>
    <w:rsid w:val="00F5074E"/>
    <w:rsid w:val="00F50BA3"/>
    <w:rsid w:val="00F50F2A"/>
    <w:rsid w:val="00F51106"/>
    <w:rsid w:val="00F514E3"/>
    <w:rsid w:val="00F51A14"/>
    <w:rsid w:val="00F521AA"/>
    <w:rsid w:val="00F52501"/>
    <w:rsid w:val="00F52838"/>
    <w:rsid w:val="00F5284C"/>
    <w:rsid w:val="00F531C9"/>
    <w:rsid w:val="00F53B78"/>
    <w:rsid w:val="00F53BB4"/>
    <w:rsid w:val="00F54251"/>
    <w:rsid w:val="00F5455E"/>
    <w:rsid w:val="00F547A4"/>
    <w:rsid w:val="00F54897"/>
    <w:rsid w:val="00F548B6"/>
    <w:rsid w:val="00F54D38"/>
    <w:rsid w:val="00F55082"/>
    <w:rsid w:val="00F553BF"/>
    <w:rsid w:val="00F558E6"/>
    <w:rsid w:val="00F55EAA"/>
    <w:rsid w:val="00F55F46"/>
    <w:rsid w:val="00F5629A"/>
    <w:rsid w:val="00F562A2"/>
    <w:rsid w:val="00F56A10"/>
    <w:rsid w:val="00F56BAE"/>
    <w:rsid w:val="00F57054"/>
    <w:rsid w:val="00F571DB"/>
    <w:rsid w:val="00F572FE"/>
    <w:rsid w:val="00F5769E"/>
    <w:rsid w:val="00F5774F"/>
    <w:rsid w:val="00F579D5"/>
    <w:rsid w:val="00F57E50"/>
    <w:rsid w:val="00F57F20"/>
    <w:rsid w:val="00F602E9"/>
    <w:rsid w:val="00F60617"/>
    <w:rsid w:val="00F60639"/>
    <w:rsid w:val="00F60C47"/>
    <w:rsid w:val="00F60F0A"/>
    <w:rsid w:val="00F6140D"/>
    <w:rsid w:val="00F61C2B"/>
    <w:rsid w:val="00F62348"/>
    <w:rsid w:val="00F625E6"/>
    <w:rsid w:val="00F62660"/>
    <w:rsid w:val="00F6281D"/>
    <w:rsid w:val="00F628E6"/>
    <w:rsid w:val="00F62D25"/>
    <w:rsid w:val="00F62FEE"/>
    <w:rsid w:val="00F630ED"/>
    <w:rsid w:val="00F6367D"/>
    <w:rsid w:val="00F6436A"/>
    <w:rsid w:val="00F6480B"/>
    <w:rsid w:val="00F64A00"/>
    <w:rsid w:val="00F64B26"/>
    <w:rsid w:val="00F64BC9"/>
    <w:rsid w:val="00F651FB"/>
    <w:rsid w:val="00F655F5"/>
    <w:rsid w:val="00F65886"/>
    <w:rsid w:val="00F65A67"/>
    <w:rsid w:val="00F65BDC"/>
    <w:rsid w:val="00F65F1F"/>
    <w:rsid w:val="00F66042"/>
    <w:rsid w:val="00F663E4"/>
    <w:rsid w:val="00F66822"/>
    <w:rsid w:val="00F66A6E"/>
    <w:rsid w:val="00F66D44"/>
    <w:rsid w:val="00F66F07"/>
    <w:rsid w:val="00F67097"/>
    <w:rsid w:val="00F67329"/>
    <w:rsid w:val="00F674DA"/>
    <w:rsid w:val="00F67D3F"/>
    <w:rsid w:val="00F67EE8"/>
    <w:rsid w:val="00F7002C"/>
    <w:rsid w:val="00F700D8"/>
    <w:rsid w:val="00F708F1"/>
    <w:rsid w:val="00F70ED3"/>
    <w:rsid w:val="00F70FDD"/>
    <w:rsid w:val="00F710A0"/>
    <w:rsid w:val="00F71320"/>
    <w:rsid w:val="00F715E5"/>
    <w:rsid w:val="00F71A7A"/>
    <w:rsid w:val="00F722BE"/>
    <w:rsid w:val="00F72844"/>
    <w:rsid w:val="00F729DC"/>
    <w:rsid w:val="00F729F1"/>
    <w:rsid w:val="00F72B73"/>
    <w:rsid w:val="00F731D7"/>
    <w:rsid w:val="00F73702"/>
    <w:rsid w:val="00F73BCF"/>
    <w:rsid w:val="00F74166"/>
    <w:rsid w:val="00F74B26"/>
    <w:rsid w:val="00F752A2"/>
    <w:rsid w:val="00F752EC"/>
    <w:rsid w:val="00F75776"/>
    <w:rsid w:val="00F75AC3"/>
    <w:rsid w:val="00F75ADB"/>
    <w:rsid w:val="00F75EF5"/>
    <w:rsid w:val="00F7602D"/>
    <w:rsid w:val="00F76363"/>
    <w:rsid w:val="00F7685D"/>
    <w:rsid w:val="00F76C6C"/>
    <w:rsid w:val="00F76D4A"/>
    <w:rsid w:val="00F77119"/>
    <w:rsid w:val="00F77328"/>
    <w:rsid w:val="00F77CBA"/>
    <w:rsid w:val="00F77E63"/>
    <w:rsid w:val="00F8037E"/>
    <w:rsid w:val="00F803B7"/>
    <w:rsid w:val="00F806C9"/>
    <w:rsid w:val="00F807F7"/>
    <w:rsid w:val="00F8099F"/>
    <w:rsid w:val="00F816F6"/>
    <w:rsid w:val="00F818A9"/>
    <w:rsid w:val="00F81CDD"/>
    <w:rsid w:val="00F8228B"/>
    <w:rsid w:val="00F82D8A"/>
    <w:rsid w:val="00F8324B"/>
    <w:rsid w:val="00F838A8"/>
    <w:rsid w:val="00F83A8A"/>
    <w:rsid w:val="00F83E26"/>
    <w:rsid w:val="00F84A5A"/>
    <w:rsid w:val="00F85A9D"/>
    <w:rsid w:val="00F85B83"/>
    <w:rsid w:val="00F860D8"/>
    <w:rsid w:val="00F86849"/>
    <w:rsid w:val="00F86914"/>
    <w:rsid w:val="00F86B73"/>
    <w:rsid w:val="00F86B8F"/>
    <w:rsid w:val="00F870BF"/>
    <w:rsid w:val="00F8754B"/>
    <w:rsid w:val="00F9012C"/>
    <w:rsid w:val="00F90377"/>
    <w:rsid w:val="00F90ADE"/>
    <w:rsid w:val="00F9176D"/>
    <w:rsid w:val="00F91D3B"/>
    <w:rsid w:val="00F91D8E"/>
    <w:rsid w:val="00F91FB6"/>
    <w:rsid w:val="00F923B9"/>
    <w:rsid w:val="00F927E3"/>
    <w:rsid w:val="00F92F2C"/>
    <w:rsid w:val="00F934BB"/>
    <w:rsid w:val="00F939B6"/>
    <w:rsid w:val="00F93D52"/>
    <w:rsid w:val="00F93E25"/>
    <w:rsid w:val="00F93EC8"/>
    <w:rsid w:val="00F9440D"/>
    <w:rsid w:val="00F94A68"/>
    <w:rsid w:val="00F94BC6"/>
    <w:rsid w:val="00F94BC8"/>
    <w:rsid w:val="00F94C99"/>
    <w:rsid w:val="00F95E60"/>
    <w:rsid w:val="00F96019"/>
    <w:rsid w:val="00F9640C"/>
    <w:rsid w:val="00F9667A"/>
    <w:rsid w:val="00F9727D"/>
    <w:rsid w:val="00F9741B"/>
    <w:rsid w:val="00F97B70"/>
    <w:rsid w:val="00F97BCC"/>
    <w:rsid w:val="00FA057A"/>
    <w:rsid w:val="00FA0665"/>
    <w:rsid w:val="00FA0A8E"/>
    <w:rsid w:val="00FA1687"/>
    <w:rsid w:val="00FA189A"/>
    <w:rsid w:val="00FA1A50"/>
    <w:rsid w:val="00FA1D9A"/>
    <w:rsid w:val="00FA1F76"/>
    <w:rsid w:val="00FA26F8"/>
    <w:rsid w:val="00FA276F"/>
    <w:rsid w:val="00FA281F"/>
    <w:rsid w:val="00FA2B8C"/>
    <w:rsid w:val="00FA33C1"/>
    <w:rsid w:val="00FA3509"/>
    <w:rsid w:val="00FA357D"/>
    <w:rsid w:val="00FA3AE6"/>
    <w:rsid w:val="00FA3E60"/>
    <w:rsid w:val="00FA3EC1"/>
    <w:rsid w:val="00FA40E6"/>
    <w:rsid w:val="00FA4628"/>
    <w:rsid w:val="00FA49E0"/>
    <w:rsid w:val="00FA5819"/>
    <w:rsid w:val="00FA5C9E"/>
    <w:rsid w:val="00FA5D5F"/>
    <w:rsid w:val="00FA66C6"/>
    <w:rsid w:val="00FA6F3D"/>
    <w:rsid w:val="00FA77FB"/>
    <w:rsid w:val="00FA7D36"/>
    <w:rsid w:val="00FB016A"/>
    <w:rsid w:val="00FB055C"/>
    <w:rsid w:val="00FB0D77"/>
    <w:rsid w:val="00FB0D91"/>
    <w:rsid w:val="00FB0E86"/>
    <w:rsid w:val="00FB0F89"/>
    <w:rsid w:val="00FB172B"/>
    <w:rsid w:val="00FB1D2E"/>
    <w:rsid w:val="00FB24EB"/>
    <w:rsid w:val="00FB274B"/>
    <w:rsid w:val="00FB39F2"/>
    <w:rsid w:val="00FB3C2C"/>
    <w:rsid w:val="00FB3FE2"/>
    <w:rsid w:val="00FB3FEE"/>
    <w:rsid w:val="00FB4372"/>
    <w:rsid w:val="00FB49E4"/>
    <w:rsid w:val="00FB568A"/>
    <w:rsid w:val="00FB5967"/>
    <w:rsid w:val="00FB5AFD"/>
    <w:rsid w:val="00FB5B5B"/>
    <w:rsid w:val="00FB5D5B"/>
    <w:rsid w:val="00FB6CE2"/>
    <w:rsid w:val="00FB77CF"/>
    <w:rsid w:val="00FB7A8F"/>
    <w:rsid w:val="00FB7ACB"/>
    <w:rsid w:val="00FB7F03"/>
    <w:rsid w:val="00FC01EC"/>
    <w:rsid w:val="00FC051A"/>
    <w:rsid w:val="00FC0E47"/>
    <w:rsid w:val="00FC1402"/>
    <w:rsid w:val="00FC15F6"/>
    <w:rsid w:val="00FC194F"/>
    <w:rsid w:val="00FC1B18"/>
    <w:rsid w:val="00FC2295"/>
    <w:rsid w:val="00FC29D5"/>
    <w:rsid w:val="00FC2AF3"/>
    <w:rsid w:val="00FC2DCC"/>
    <w:rsid w:val="00FC35FA"/>
    <w:rsid w:val="00FC370E"/>
    <w:rsid w:val="00FC3B85"/>
    <w:rsid w:val="00FC3D15"/>
    <w:rsid w:val="00FC3D4C"/>
    <w:rsid w:val="00FC40E0"/>
    <w:rsid w:val="00FC4846"/>
    <w:rsid w:val="00FC4D1E"/>
    <w:rsid w:val="00FC4FE0"/>
    <w:rsid w:val="00FC5486"/>
    <w:rsid w:val="00FC58D3"/>
    <w:rsid w:val="00FC6222"/>
    <w:rsid w:val="00FC6EC0"/>
    <w:rsid w:val="00FC7770"/>
    <w:rsid w:val="00FC77C7"/>
    <w:rsid w:val="00FC7F65"/>
    <w:rsid w:val="00FD0D3F"/>
    <w:rsid w:val="00FD0F5C"/>
    <w:rsid w:val="00FD1298"/>
    <w:rsid w:val="00FD1CCA"/>
    <w:rsid w:val="00FD277B"/>
    <w:rsid w:val="00FD2CBA"/>
    <w:rsid w:val="00FD362E"/>
    <w:rsid w:val="00FD3816"/>
    <w:rsid w:val="00FD3AEE"/>
    <w:rsid w:val="00FD4281"/>
    <w:rsid w:val="00FD510F"/>
    <w:rsid w:val="00FD55E2"/>
    <w:rsid w:val="00FD56F6"/>
    <w:rsid w:val="00FD5A91"/>
    <w:rsid w:val="00FD5DF2"/>
    <w:rsid w:val="00FD5E28"/>
    <w:rsid w:val="00FD5E9E"/>
    <w:rsid w:val="00FD6519"/>
    <w:rsid w:val="00FD675A"/>
    <w:rsid w:val="00FD6EA3"/>
    <w:rsid w:val="00FD7514"/>
    <w:rsid w:val="00FD77A4"/>
    <w:rsid w:val="00FE03DA"/>
    <w:rsid w:val="00FE0897"/>
    <w:rsid w:val="00FE0940"/>
    <w:rsid w:val="00FE0989"/>
    <w:rsid w:val="00FE0E36"/>
    <w:rsid w:val="00FE102E"/>
    <w:rsid w:val="00FE1A57"/>
    <w:rsid w:val="00FE1FB4"/>
    <w:rsid w:val="00FE23B0"/>
    <w:rsid w:val="00FE24A9"/>
    <w:rsid w:val="00FE28C4"/>
    <w:rsid w:val="00FE34DC"/>
    <w:rsid w:val="00FE354B"/>
    <w:rsid w:val="00FE3658"/>
    <w:rsid w:val="00FE371A"/>
    <w:rsid w:val="00FE37A8"/>
    <w:rsid w:val="00FE37E9"/>
    <w:rsid w:val="00FE38A4"/>
    <w:rsid w:val="00FE3D93"/>
    <w:rsid w:val="00FE410E"/>
    <w:rsid w:val="00FE4329"/>
    <w:rsid w:val="00FE44CB"/>
    <w:rsid w:val="00FE45BD"/>
    <w:rsid w:val="00FE4BD1"/>
    <w:rsid w:val="00FE4D06"/>
    <w:rsid w:val="00FE574B"/>
    <w:rsid w:val="00FE6632"/>
    <w:rsid w:val="00FE66ED"/>
    <w:rsid w:val="00FE68E7"/>
    <w:rsid w:val="00FE6C64"/>
    <w:rsid w:val="00FE6F3D"/>
    <w:rsid w:val="00FE76FA"/>
    <w:rsid w:val="00FE77D3"/>
    <w:rsid w:val="00FF02F7"/>
    <w:rsid w:val="00FF062D"/>
    <w:rsid w:val="00FF0D5B"/>
    <w:rsid w:val="00FF1329"/>
    <w:rsid w:val="00FF1643"/>
    <w:rsid w:val="00FF1B15"/>
    <w:rsid w:val="00FF1CE1"/>
    <w:rsid w:val="00FF1E0B"/>
    <w:rsid w:val="00FF2021"/>
    <w:rsid w:val="00FF24A7"/>
    <w:rsid w:val="00FF267E"/>
    <w:rsid w:val="00FF2948"/>
    <w:rsid w:val="00FF2A25"/>
    <w:rsid w:val="00FF2A98"/>
    <w:rsid w:val="00FF2C48"/>
    <w:rsid w:val="00FF2F44"/>
    <w:rsid w:val="00FF314A"/>
    <w:rsid w:val="00FF34CD"/>
    <w:rsid w:val="00FF352D"/>
    <w:rsid w:val="00FF360F"/>
    <w:rsid w:val="00FF3965"/>
    <w:rsid w:val="00FF396F"/>
    <w:rsid w:val="00FF3AA1"/>
    <w:rsid w:val="00FF3F93"/>
    <w:rsid w:val="00FF4397"/>
    <w:rsid w:val="00FF4541"/>
    <w:rsid w:val="00FF463E"/>
    <w:rsid w:val="00FF4BAF"/>
    <w:rsid w:val="00FF4ED3"/>
    <w:rsid w:val="00FF50D5"/>
    <w:rsid w:val="00FF537D"/>
    <w:rsid w:val="00FF6180"/>
    <w:rsid w:val="00FF64E9"/>
    <w:rsid w:val="00FF6E50"/>
    <w:rsid w:val="00FF6E89"/>
    <w:rsid w:val="00FF7965"/>
    <w:rsid w:val="00FF799E"/>
    <w:rsid w:val="00FF7AC5"/>
    <w:rsid w:val="00FF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64826"/>
  <w15:docId w15:val="{147C23F4-AC17-4A31-9B7B-D70D1CFB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15"/>
    <w:rPr>
      <w:sz w:val="24"/>
      <w:szCs w:val="24"/>
      <w:lang w:val="bg-BG"/>
    </w:rPr>
  </w:style>
  <w:style w:type="paragraph" w:styleId="Heading1">
    <w:name w:val="heading 1"/>
    <w:basedOn w:val="Normal"/>
    <w:next w:val="Normal"/>
    <w:link w:val="Heading1Char"/>
    <w:qFormat/>
    <w:rsid w:val="00063E15"/>
    <w:pPr>
      <w:keepNext/>
      <w:jc w:val="center"/>
      <w:outlineLvl w:val="0"/>
    </w:pPr>
    <w:rPr>
      <w:b/>
      <w:bCs/>
      <w:sz w:val="28"/>
    </w:rPr>
  </w:style>
  <w:style w:type="paragraph" w:styleId="Heading2">
    <w:name w:val="heading 2"/>
    <w:basedOn w:val="Normal"/>
    <w:next w:val="Normal"/>
    <w:link w:val="Heading2Char"/>
    <w:uiPriority w:val="99"/>
    <w:qFormat/>
    <w:rsid w:val="00C26F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623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E15"/>
    <w:pPr>
      <w:jc w:val="center"/>
    </w:pPr>
    <w:rPr>
      <w:b/>
      <w:szCs w:val="20"/>
    </w:rPr>
  </w:style>
  <w:style w:type="paragraph" w:customStyle="1" w:styleId="ParagraphNumbering">
    <w:name w:val="Paragraph Numbering"/>
    <w:basedOn w:val="Normal"/>
    <w:rsid w:val="0028159B"/>
    <w:pPr>
      <w:numPr>
        <w:numId w:val="1"/>
      </w:numPr>
      <w:spacing w:after="240"/>
    </w:pPr>
    <w:rPr>
      <w:lang w:val="en-US"/>
    </w:rPr>
  </w:style>
  <w:style w:type="paragraph" w:styleId="FootnoteText">
    <w:name w:val="footnote text"/>
    <w:aliases w:val="Fußnotentext arial,Footnote1,Footnote2,Footnote3,stile 1,Footnote4,Footnote5,Footnote6,Footnote7,Footnote8,Footnote9,Footnote10,Footnote11,Footnote21,Footnote31,Footnote41,Footnote51,Footnote61,Footnote71,Footnote81,Footnote91,single spa"/>
    <w:basedOn w:val="Normal"/>
    <w:link w:val="FootnoteTextChar"/>
    <w:uiPriority w:val="99"/>
    <w:qFormat/>
    <w:rsid w:val="003459AC"/>
    <w:rPr>
      <w:sz w:val="20"/>
      <w:szCs w:val="20"/>
      <w:lang w:val="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Nota,BVI fnr1"/>
    <w:link w:val="FootnotesymbolCarZchn"/>
    <w:uiPriority w:val="99"/>
    <w:qFormat/>
    <w:rsid w:val="003459AC"/>
    <w:rPr>
      <w:vertAlign w:val="superscript"/>
    </w:rPr>
  </w:style>
  <w:style w:type="paragraph" w:styleId="BodyText">
    <w:name w:val="Body Text"/>
    <w:basedOn w:val="Normal"/>
    <w:link w:val="BodyTextChar"/>
    <w:rsid w:val="003459AC"/>
    <w:pPr>
      <w:jc w:val="both"/>
    </w:pPr>
  </w:style>
  <w:style w:type="paragraph" w:styleId="BodyTextIndent">
    <w:name w:val="Body Text Indent"/>
    <w:basedOn w:val="Normal"/>
    <w:link w:val="BodyTextIndentChar"/>
    <w:uiPriority w:val="99"/>
    <w:rsid w:val="003459AC"/>
    <w:pPr>
      <w:spacing w:after="120"/>
      <w:ind w:left="283"/>
    </w:pPr>
  </w:style>
  <w:style w:type="paragraph" w:styleId="BodyText2">
    <w:name w:val="Body Text 2"/>
    <w:basedOn w:val="Normal"/>
    <w:link w:val="BodyText2Char"/>
    <w:rsid w:val="003459AC"/>
    <w:pPr>
      <w:spacing w:after="120" w:line="480" w:lineRule="auto"/>
    </w:pPr>
  </w:style>
  <w:style w:type="paragraph" w:styleId="BlockText">
    <w:name w:val="Block Text"/>
    <w:basedOn w:val="Normal"/>
    <w:rsid w:val="003459AC"/>
    <w:pPr>
      <w:ind w:left="720" w:right="1106"/>
    </w:pPr>
    <w:rPr>
      <w:b/>
      <w:bCs/>
    </w:rPr>
  </w:style>
  <w:style w:type="table" w:styleId="TableGrid">
    <w:name w:val="Table Grid"/>
    <w:basedOn w:val="TableNormal"/>
    <w:rsid w:val="0034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1 Char,Header Char Char Char,Header Char3 Char Char Char,Header Char1 Char Char Char Char1 Char,Header Char Char Char Char Char Char1 Char,Header Char2 Char1 Char Char Char,Header Char2,Header Char1 Char1,Header Char Char1"/>
    <w:basedOn w:val="Normal"/>
    <w:link w:val="HeaderChar1"/>
    <w:rsid w:val="001D40DA"/>
    <w:pPr>
      <w:tabs>
        <w:tab w:val="center" w:pos="4153"/>
        <w:tab w:val="right" w:pos="8306"/>
      </w:tabs>
    </w:pPr>
    <w:rPr>
      <w:lang w:eastAsia="bg-BG"/>
    </w:rPr>
  </w:style>
  <w:style w:type="paragraph" w:styleId="BodyText3">
    <w:name w:val="Body Text 3"/>
    <w:basedOn w:val="Normal"/>
    <w:link w:val="BodyText3Char"/>
    <w:rsid w:val="00262391"/>
    <w:pPr>
      <w:spacing w:after="120"/>
    </w:pPr>
    <w:rPr>
      <w:sz w:val="16"/>
      <w:szCs w:val="16"/>
    </w:rPr>
  </w:style>
  <w:style w:type="paragraph" w:styleId="Footer">
    <w:name w:val="footer"/>
    <w:basedOn w:val="Normal"/>
    <w:link w:val="FooterChar"/>
    <w:uiPriority w:val="99"/>
    <w:rsid w:val="00A74112"/>
    <w:pPr>
      <w:tabs>
        <w:tab w:val="center" w:pos="4536"/>
        <w:tab w:val="right" w:pos="9072"/>
      </w:tabs>
    </w:pPr>
  </w:style>
  <w:style w:type="character" w:styleId="PageNumber">
    <w:name w:val="page number"/>
    <w:basedOn w:val="DefaultParagraphFont"/>
    <w:rsid w:val="00A74112"/>
  </w:style>
  <w:style w:type="paragraph" w:customStyle="1" w:styleId="CharChar3CharChar">
    <w:name w:val="Char Char3 Char Char"/>
    <w:basedOn w:val="Normal"/>
    <w:semiHidden/>
    <w:rsid w:val="00EE4B3F"/>
    <w:pPr>
      <w:tabs>
        <w:tab w:val="left" w:pos="709"/>
      </w:tabs>
    </w:pPr>
    <w:rPr>
      <w:rFonts w:ascii="Futura Bk" w:hAnsi="Futura Bk"/>
      <w:lang w:val="pl-PL" w:eastAsia="pl-PL"/>
    </w:rPr>
  </w:style>
  <w:style w:type="paragraph" w:customStyle="1" w:styleId="CharCharCharChar">
    <w:name w:val="Char Char Char Char"/>
    <w:basedOn w:val="Normal"/>
    <w:rsid w:val="00A14560"/>
    <w:pPr>
      <w:spacing w:after="160" w:line="240" w:lineRule="exact"/>
    </w:pPr>
    <w:rPr>
      <w:rFonts w:ascii="Tahoma" w:hAnsi="Tahoma"/>
      <w:sz w:val="20"/>
      <w:szCs w:val="20"/>
      <w:lang w:val="en-US"/>
    </w:rPr>
  </w:style>
  <w:style w:type="paragraph" w:styleId="BodyTextIndent2">
    <w:name w:val="Body Text Indent 2"/>
    <w:basedOn w:val="Normal"/>
    <w:link w:val="BodyTextIndent2Char"/>
    <w:rsid w:val="00C32154"/>
    <w:pPr>
      <w:spacing w:after="120" w:line="480" w:lineRule="auto"/>
      <w:ind w:left="283"/>
    </w:pPr>
  </w:style>
  <w:style w:type="paragraph" w:styleId="BalloonText">
    <w:name w:val="Balloon Text"/>
    <w:basedOn w:val="Normal"/>
    <w:link w:val="BalloonTextChar"/>
    <w:semiHidden/>
    <w:rsid w:val="00144BF2"/>
    <w:rPr>
      <w:rFonts w:ascii="Tahoma" w:hAnsi="Tahoma" w:cs="Tahoma"/>
      <w:sz w:val="16"/>
      <w:szCs w:val="16"/>
    </w:rPr>
  </w:style>
  <w:style w:type="paragraph" w:styleId="EndnoteText">
    <w:name w:val="endnote text"/>
    <w:basedOn w:val="Normal"/>
    <w:link w:val="EndnoteTextChar"/>
    <w:semiHidden/>
    <w:rsid w:val="00F870BF"/>
    <w:rPr>
      <w:sz w:val="20"/>
      <w:szCs w:val="20"/>
    </w:rPr>
  </w:style>
  <w:style w:type="character" w:styleId="EndnoteReference">
    <w:name w:val="endnote reference"/>
    <w:semiHidden/>
    <w:rsid w:val="00F870BF"/>
    <w:rPr>
      <w:vertAlign w:val="superscript"/>
    </w:rPr>
  </w:style>
  <w:style w:type="character" w:styleId="CommentReference">
    <w:name w:val="annotation reference"/>
    <w:semiHidden/>
    <w:rsid w:val="00A252C3"/>
    <w:rPr>
      <w:sz w:val="16"/>
      <w:szCs w:val="16"/>
    </w:rPr>
  </w:style>
  <w:style w:type="paragraph" w:styleId="CommentText">
    <w:name w:val="annotation text"/>
    <w:basedOn w:val="Normal"/>
    <w:link w:val="CommentTextChar"/>
    <w:semiHidden/>
    <w:rsid w:val="00A252C3"/>
    <w:rPr>
      <w:sz w:val="20"/>
      <w:szCs w:val="20"/>
    </w:rPr>
  </w:style>
  <w:style w:type="character" w:customStyle="1" w:styleId="HeaderChar1">
    <w:name w:val="Header Char1"/>
    <w:aliases w:val="Header Char Char,Header Char1 Char Char,Header Char Char Char Char,Header Char3 Char Char Char Char,Header Char1 Char Char Char Char1 Char Char,Header Char Char Char Char Char Char1 Char Char,Header Char2 Char1 Char Char Char Char"/>
    <w:link w:val="Header"/>
    <w:rsid w:val="00166023"/>
    <w:rPr>
      <w:sz w:val="24"/>
      <w:szCs w:val="24"/>
      <w:lang w:val="bg-BG" w:eastAsia="bg-BG" w:bidi="ar-SA"/>
    </w:rPr>
  </w:style>
  <w:style w:type="paragraph" w:customStyle="1" w:styleId="Char1">
    <w:name w:val="Char1"/>
    <w:basedOn w:val="Normal"/>
    <w:semiHidden/>
    <w:rsid w:val="008138E4"/>
    <w:pPr>
      <w:tabs>
        <w:tab w:val="left" w:pos="709"/>
      </w:tabs>
    </w:pPr>
    <w:rPr>
      <w:rFonts w:ascii="Futura Bk" w:hAnsi="Futura Bk"/>
      <w:lang w:val="pl-PL" w:eastAsia="pl-PL"/>
    </w:rPr>
  </w:style>
  <w:style w:type="paragraph" w:customStyle="1" w:styleId="default">
    <w:name w:val="default"/>
    <w:basedOn w:val="Normal"/>
    <w:rsid w:val="003C14B1"/>
    <w:pPr>
      <w:spacing w:before="100" w:beforeAutospacing="1" w:after="100" w:afterAutospacing="1"/>
    </w:pPr>
    <w:rPr>
      <w:lang w:eastAsia="bg-BG"/>
    </w:rPr>
  </w:style>
  <w:style w:type="character" w:styleId="Strong">
    <w:name w:val="Strong"/>
    <w:uiPriority w:val="99"/>
    <w:qFormat/>
    <w:rsid w:val="003E37A0"/>
    <w:rPr>
      <w:b/>
      <w:bCs/>
    </w:rPr>
  </w:style>
  <w:style w:type="character" w:customStyle="1" w:styleId="BalloonTextChar">
    <w:name w:val="Balloon Text Char"/>
    <w:link w:val="BalloonText"/>
    <w:semiHidden/>
    <w:locked/>
    <w:rsid w:val="00DD1EFE"/>
    <w:rPr>
      <w:rFonts w:ascii="Tahoma" w:hAnsi="Tahoma" w:cs="Tahoma"/>
      <w:sz w:val="16"/>
      <w:szCs w:val="16"/>
      <w:lang w:val="en-GB" w:eastAsia="en-US" w:bidi="ar-SA"/>
    </w:rPr>
  </w:style>
  <w:style w:type="paragraph" w:customStyle="1" w:styleId="Default0">
    <w:name w:val="Default"/>
    <w:rsid w:val="00DD1EFE"/>
    <w:pPr>
      <w:autoSpaceDE w:val="0"/>
      <w:autoSpaceDN w:val="0"/>
      <w:adjustRightInd w:val="0"/>
    </w:pPr>
    <w:rPr>
      <w:rFonts w:ascii="Calibri" w:hAnsi="Calibri" w:cs="Calibri"/>
      <w:color w:val="000000"/>
      <w:sz w:val="24"/>
      <w:szCs w:val="24"/>
      <w:lang w:val="bg-BG"/>
    </w:rPr>
  </w:style>
  <w:style w:type="character" w:customStyle="1" w:styleId="FootnoteTextChar">
    <w:name w:val="Footnote Text Char"/>
    <w:aliases w:val="Fußnotentext arial Char,Footnote1 Char,Footnote2 Char,Footnote3 Char,stile 1 Char,Footnote4 Char,Footnote5 Char,Footnote6 Char,Footnote7 Char,Footnote8 Char,Footnote9 Char,Footnote10 Char,Footnote11 Char,Footnote21 Char"/>
    <w:link w:val="FootnoteText"/>
    <w:uiPriority w:val="99"/>
    <w:rsid w:val="009A3FA1"/>
    <w:rPr>
      <w:lang w:val="en-US" w:eastAsia="en-US" w:bidi="ar-SA"/>
    </w:rPr>
  </w:style>
  <w:style w:type="paragraph" w:customStyle="1" w:styleId="CharCharCharChar1">
    <w:name w:val="Char Char Char Char1"/>
    <w:basedOn w:val="Normal"/>
    <w:semiHidden/>
    <w:rsid w:val="00B20BB9"/>
    <w:pPr>
      <w:tabs>
        <w:tab w:val="left" w:pos="709"/>
      </w:tabs>
    </w:pPr>
    <w:rPr>
      <w:rFonts w:ascii="Futura Bk" w:hAnsi="Futura Bk"/>
      <w:lang w:val="pl-PL" w:eastAsia="pl-PL"/>
    </w:rPr>
  </w:style>
  <w:style w:type="character" w:customStyle="1" w:styleId="BodyText2Char">
    <w:name w:val="Body Text 2 Char"/>
    <w:link w:val="BodyText2"/>
    <w:locked/>
    <w:rsid w:val="002D5811"/>
    <w:rPr>
      <w:sz w:val="24"/>
      <w:szCs w:val="24"/>
      <w:lang w:val="en-GB" w:eastAsia="en-US" w:bidi="ar-SA"/>
    </w:rPr>
  </w:style>
  <w:style w:type="character" w:styleId="Hyperlink">
    <w:name w:val="Hyperlink"/>
    <w:unhideWhenUsed/>
    <w:rsid w:val="00231385"/>
    <w:rPr>
      <w:strike w:val="0"/>
      <w:dstrike w:val="0"/>
      <w:color w:val="004A8F"/>
      <w:u w:val="none"/>
      <w:effect w:val="none"/>
    </w:rPr>
  </w:style>
  <w:style w:type="paragraph" w:styleId="NormalWeb">
    <w:name w:val="Normal (Web)"/>
    <w:basedOn w:val="Normal"/>
    <w:unhideWhenUsed/>
    <w:rsid w:val="00231385"/>
    <w:pPr>
      <w:spacing w:before="100" w:beforeAutospacing="1" w:after="100" w:afterAutospacing="1" w:line="312" w:lineRule="atLeast"/>
      <w:jc w:val="both"/>
    </w:pPr>
    <w:rPr>
      <w:lang w:val="en-US"/>
    </w:rPr>
  </w:style>
  <w:style w:type="character" w:customStyle="1" w:styleId="ala13">
    <w:name w:val="al_a13"/>
    <w:uiPriority w:val="99"/>
    <w:rsid w:val="00B7424D"/>
  </w:style>
  <w:style w:type="paragraph" w:styleId="ListParagraph">
    <w:name w:val="List Paragraph"/>
    <w:aliases w:val="Recommendatio,Párrafo de lista,Recommendation,OBC Bullet,Dot pt,F5 List Paragraph,No Spacing1,List Paragraph Char Char Char,Indicator Text,Numbered Para 1,Bullet 1,Bullet Points,List Paragraph2,L,3,References,Colorful List - Accent 11"/>
    <w:basedOn w:val="Normal"/>
    <w:link w:val="ListParagraphChar"/>
    <w:uiPriority w:val="34"/>
    <w:qFormat/>
    <w:rsid w:val="00C818E7"/>
    <w:pPr>
      <w:spacing w:after="120" w:line="360" w:lineRule="auto"/>
      <w:ind w:left="720" w:firstLine="720"/>
      <w:contextualSpacing/>
      <w:jc w:val="both"/>
    </w:pPr>
    <w:rPr>
      <w:rFonts w:ascii="Arial" w:hAnsi="Arial"/>
      <w:szCs w:val="20"/>
    </w:rPr>
  </w:style>
  <w:style w:type="paragraph" w:customStyle="1" w:styleId="CharChar3">
    <w:name w:val="Char Char3"/>
    <w:basedOn w:val="Normal"/>
    <w:semiHidden/>
    <w:rsid w:val="009269F4"/>
    <w:pPr>
      <w:tabs>
        <w:tab w:val="left" w:pos="709"/>
      </w:tabs>
    </w:pPr>
    <w:rPr>
      <w:rFonts w:ascii="Futura Bk" w:hAnsi="Futura Bk"/>
      <w:lang w:val="pl-PL" w:eastAsia="pl-PL"/>
    </w:rPr>
  </w:style>
  <w:style w:type="character" w:customStyle="1" w:styleId="BodyTextIndentChar">
    <w:name w:val="Body Text Indent Char"/>
    <w:link w:val="BodyTextIndent"/>
    <w:uiPriority w:val="99"/>
    <w:locked/>
    <w:rsid w:val="00DA31ED"/>
    <w:rPr>
      <w:sz w:val="24"/>
      <w:szCs w:val="24"/>
      <w:lang w:val="bg-BG"/>
    </w:rPr>
  </w:style>
  <w:style w:type="paragraph" w:customStyle="1" w:styleId="NormalFirstline">
    <w:name w:val="Normal + First line"/>
    <w:aliases w:val="1.25 cm,After 6 pt"/>
    <w:basedOn w:val="Normal"/>
    <w:rsid w:val="00BD3B54"/>
    <w:rPr>
      <w:sz w:val="20"/>
      <w:szCs w:val="20"/>
    </w:rPr>
  </w:style>
  <w:style w:type="paragraph" w:styleId="CommentSubject">
    <w:name w:val="annotation subject"/>
    <w:basedOn w:val="CommentText"/>
    <w:next w:val="CommentText"/>
    <w:link w:val="CommentSubjectChar"/>
    <w:semiHidden/>
    <w:rsid w:val="00381745"/>
    <w:rPr>
      <w:b/>
      <w:bCs/>
    </w:rPr>
  </w:style>
  <w:style w:type="character" w:customStyle="1" w:styleId="CommentTextChar">
    <w:name w:val="Comment Text Char"/>
    <w:link w:val="CommentText"/>
    <w:semiHidden/>
    <w:rsid w:val="009F38CE"/>
    <w:rPr>
      <w:lang w:eastAsia="en-US"/>
    </w:rPr>
  </w:style>
  <w:style w:type="character" w:customStyle="1" w:styleId="CommentSubjectChar">
    <w:name w:val="Comment Subject Char"/>
    <w:link w:val="CommentSubject"/>
    <w:semiHidden/>
    <w:rsid w:val="009F38CE"/>
    <w:rPr>
      <w:b/>
      <w:bCs/>
      <w:lang w:eastAsia="en-US"/>
    </w:rPr>
  </w:style>
  <w:style w:type="character" w:customStyle="1" w:styleId="TitleChar">
    <w:name w:val="Title Char"/>
    <w:link w:val="Title"/>
    <w:rsid w:val="00C1518C"/>
    <w:rPr>
      <w:b/>
      <w:sz w:val="24"/>
      <w:lang w:eastAsia="en-US"/>
    </w:rPr>
  </w:style>
  <w:style w:type="character" w:customStyle="1" w:styleId="BodyTextChar">
    <w:name w:val="Body Text Char"/>
    <w:link w:val="BodyText"/>
    <w:rsid w:val="00A10AC7"/>
    <w:rPr>
      <w:sz w:val="24"/>
      <w:szCs w:val="24"/>
      <w:lang w:val="bg-BG"/>
    </w:rPr>
  </w:style>
  <w:style w:type="paragraph" w:styleId="Revision">
    <w:name w:val="Revision"/>
    <w:hidden/>
    <w:uiPriority w:val="99"/>
    <w:semiHidden/>
    <w:rsid w:val="00F32913"/>
    <w:rPr>
      <w:sz w:val="24"/>
      <w:szCs w:val="24"/>
      <w:lang w:val="bg-BG"/>
    </w:rPr>
  </w:style>
  <w:style w:type="paragraph" w:customStyle="1" w:styleId="m">
    <w:name w:val="m"/>
    <w:basedOn w:val="Normal"/>
    <w:rsid w:val="00675E99"/>
    <w:pPr>
      <w:spacing w:before="100" w:beforeAutospacing="1" w:after="100" w:afterAutospacing="1"/>
    </w:pPr>
    <w:rPr>
      <w:lang w:eastAsia="bg-BG"/>
    </w:rPr>
  </w:style>
  <w:style w:type="character" w:customStyle="1" w:styleId="Heading1Char">
    <w:name w:val="Heading 1 Char"/>
    <w:basedOn w:val="DefaultParagraphFont"/>
    <w:link w:val="Heading1"/>
    <w:rsid w:val="002E2C27"/>
    <w:rPr>
      <w:b/>
      <w:bCs/>
      <w:sz w:val="28"/>
      <w:szCs w:val="24"/>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Numbered Para 1 Char,Bullet 1 Char,L Char,3 Char"/>
    <w:link w:val="ListParagraph"/>
    <w:uiPriority w:val="34"/>
    <w:qFormat/>
    <w:locked/>
    <w:rsid w:val="00207C9E"/>
    <w:rPr>
      <w:rFonts w:ascii="Arial" w:hAnsi="Arial"/>
      <w:sz w:val="24"/>
      <w:lang w:val="bg-BG"/>
    </w:rPr>
  </w:style>
  <w:style w:type="character" w:customStyle="1" w:styleId="HeaderChar2Char">
    <w:name w:val="Header Char2 Char"/>
    <w:aliases w:val="Header Char1 Char1 Char,Header Char Char Char1 Char,Header Char1 Char Char Char Char,Header Char Char Char Char Char Char,Header Char Char1 Char,Header Char1 Char Char1 Char,Header Char Char Char Char1 Char"/>
    <w:basedOn w:val="DefaultParagraphFont"/>
    <w:rsid w:val="005F1F3A"/>
    <w:rPr>
      <w:rFonts w:ascii="Arial" w:hAnsi="Arial"/>
      <w:sz w:val="24"/>
      <w:lang w:val="en-AU" w:eastAsia="en-US"/>
    </w:rPr>
  </w:style>
  <w:style w:type="paragraph" w:customStyle="1" w:styleId="1">
    <w:name w:val="1"/>
    <w:basedOn w:val="Normal"/>
    <w:semiHidden/>
    <w:rsid w:val="008969AB"/>
    <w:pPr>
      <w:tabs>
        <w:tab w:val="left" w:pos="709"/>
      </w:tabs>
    </w:pPr>
    <w:rPr>
      <w:rFonts w:ascii="Futura Bk" w:hAnsi="Futura Bk"/>
      <w:lang w:val="pl-PL" w:eastAsia="pl-PL"/>
    </w:rPr>
  </w:style>
  <w:style w:type="paragraph" w:customStyle="1" w:styleId="CharCharCharChar1CharCharCharCharCharCharCharCharChar">
    <w:name w:val="Char Char Char Char1 Char Char Char Char Char Char Char Char Char"/>
    <w:basedOn w:val="Normal"/>
    <w:rsid w:val="008969AB"/>
    <w:pPr>
      <w:spacing w:after="160" w:line="240" w:lineRule="exact"/>
    </w:pPr>
    <w:rPr>
      <w:rFonts w:ascii="Tahoma" w:hAnsi="Tahoma"/>
      <w:sz w:val="20"/>
      <w:szCs w:val="20"/>
      <w:lang w:val="en-US"/>
    </w:rPr>
  </w:style>
  <w:style w:type="paragraph" w:customStyle="1" w:styleId="Char1CharCharChar">
    <w:name w:val="Char1 Char Char Char"/>
    <w:basedOn w:val="Normal"/>
    <w:semiHidden/>
    <w:rsid w:val="008969AB"/>
    <w:pPr>
      <w:tabs>
        <w:tab w:val="left" w:pos="709"/>
      </w:tabs>
    </w:pPr>
    <w:rPr>
      <w:rFonts w:ascii="Futura Bk" w:hAnsi="Futura Bk"/>
      <w:lang w:val="pl-PL" w:eastAsia="pl-PL"/>
    </w:rPr>
  </w:style>
  <w:style w:type="paragraph" w:customStyle="1" w:styleId="Char">
    <w:name w:val="Char"/>
    <w:basedOn w:val="Normal"/>
    <w:semiHidden/>
    <w:rsid w:val="008969AB"/>
    <w:pPr>
      <w:tabs>
        <w:tab w:val="left" w:pos="709"/>
      </w:tabs>
    </w:pPr>
    <w:rPr>
      <w:rFonts w:ascii="Futura Bk" w:hAnsi="Futura Bk"/>
      <w:lang w:val="pl-PL" w:eastAsia="pl-PL"/>
    </w:rPr>
  </w:style>
  <w:style w:type="paragraph" w:styleId="TOC1">
    <w:name w:val="toc 1"/>
    <w:basedOn w:val="Normal"/>
    <w:next w:val="Normal"/>
    <w:autoRedefine/>
    <w:semiHidden/>
    <w:rsid w:val="008969AB"/>
    <w:pPr>
      <w:tabs>
        <w:tab w:val="right" w:leader="dot" w:pos="9062"/>
      </w:tabs>
      <w:ind w:left="-180" w:hanging="360"/>
      <w:jc w:val="center"/>
    </w:pPr>
    <w:rPr>
      <w:b/>
      <w:noProof/>
      <w:lang w:val="en-US" w:eastAsia="bg-BG"/>
    </w:rPr>
  </w:style>
  <w:style w:type="character" w:styleId="Emphasis">
    <w:name w:val="Emphasis"/>
    <w:qFormat/>
    <w:rsid w:val="008969AB"/>
    <w:rPr>
      <w:i/>
      <w:iCs/>
    </w:rPr>
  </w:style>
  <w:style w:type="paragraph" w:customStyle="1" w:styleId="CharChar1CharCharCharCharCharChar">
    <w:name w:val="Char Char1 Char Char Char Char Char Char"/>
    <w:basedOn w:val="Normal"/>
    <w:semiHidden/>
    <w:rsid w:val="008969AB"/>
    <w:pPr>
      <w:tabs>
        <w:tab w:val="left" w:pos="709"/>
      </w:tabs>
    </w:pPr>
    <w:rPr>
      <w:rFonts w:ascii="Futura Bk" w:hAnsi="Futura Bk"/>
      <w:lang w:val="pl-PL" w:eastAsia="pl-PL"/>
    </w:rPr>
  </w:style>
  <w:style w:type="paragraph" w:styleId="Subtitle">
    <w:name w:val="Subtitle"/>
    <w:basedOn w:val="Normal"/>
    <w:next w:val="Normal"/>
    <w:link w:val="SubtitleChar"/>
    <w:qFormat/>
    <w:rsid w:val="008969AB"/>
    <w:pPr>
      <w:spacing w:after="60"/>
      <w:jc w:val="center"/>
      <w:outlineLvl w:val="1"/>
    </w:pPr>
    <w:rPr>
      <w:rFonts w:ascii="Cambria" w:hAnsi="Cambria"/>
      <w:lang w:eastAsia="bg-BG"/>
    </w:rPr>
  </w:style>
  <w:style w:type="character" w:customStyle="1" w:styleId="SubtitleChar">
    <w:name w:val="Subtitle Char"/>
    <w:basedOn w:val="DefaultParagraphFont"/>
    <w:link w:val="Subtitle"/>
    <w:rsid w:val="008969AB"/>
    <w:rPr>
      <w:rFonts w:ascii="Cambria" w:hAnsi="Cambria"/>
      <w:sz w:val="24"/>
      <w:szCs w:val="24"/>
      <w:lang w:val="bg-BG" w:eastAsia="bg-BG"/>
    </w:rPr>
  </w:style>
  <w:style w:type="character" w:customStyle="1" w:styleId="FooterChar">
    <w:name w:val="Footer Char"/>
    <w:link w:val="Footer"/>
    <w:uiPriority w:val="99"/>
    <w:rsid w:val="008969AB"/>
    <w:rPr>
      <w:sz w:val="24"/>
      <w:szCs w:val="24"/>
      <w:lang w:val="bg-BG"/>
    </w:rPr>
  </w:style>
  <w:style w:type="paragraph" w:styleId="Quote">
    <w:name w:val="Quote"/>
    <w:basedOn w:val="Normal"/>
    <w:next w:val="Normal"/>
    <w:link w:val="QuoteChar"/>
    <w:uiPriority w:val="29"/>
    <w:qFormat/>
    <w:rsid w:val="00A6525E"/>
    <w:pPr>
      <w:spacing w:before="200" w:after="160"/>
      <w:ind w:left="864" w:right="864"/>
      <w:jc w:val="center"/>
    </w:pPr>
    <w:rPr>
      <w:i/>
      <w:iCs/>
      <w:color w:val="404040" w:themeColor="text1" w:themeTint="BF"/>
      <w:lang w:eastAsia="bg-BG"/>
    </w:rPr>
  </w:style>
  <w:style w:type="character" w:customStyle="1" w:styleId="QuoteChar">
    <w:name w:val="Quote Char"/>
    <w:basedOn w:val="DefaultParagraphFont"/>
    <w:link w:val="Quote"/>
    <w:uiPriority w:val="29"/>
    <w:rsid w:val="00A6525E"/>
    <w:rPr>
      <w:i/>
      <w:iCs/>
      <w:color w:val="404040" w:themeColor="text1" w:themeTint="BF"/>
      <w:sz w:val="24"/>
      <w:szCs w:val="24"/>
      <w:lang w:val="bg-BG" w:eastAsia="bg-BG"/>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C63FC"/>
    <w:pPr>
      <w:spacing w:after="160" w:line="240" w:lineRule="exact"/>
      <w:jc w:val="both"/>
    </w:pPr>
    <w:rPr>
      <w:sz w:val="20"/>
      <w:szCs w:val="20"/>
      <w:vertAlign w:val="superscript"/>
      <w:lang w:val="en-US"/>
    </w:rPr>
  </w:style>
  <w:style w:type="character" w:customStyle="1" w:styleId="Heading2Char">
    <w:name w:val="Heading 2 Char"/>
    <w:basedOn w:val="DefaultParagraphFont"/>
    <w:link w:val="Heading2"/>
    <w:uiPriority w:val="99"/>
    <w:rsid w:val="00581832"/>
    <w:rPr>
      <w:rFonts w:ascii="Arial" w:hAnsi="Arial" w:cs="Arial"/>
      <w:b/>
      <w:bCs/>
      <w:i/>
      <w:iCs/>
      <w:sz w:val="28"/>
      <w:szCs w:val="28"/>
      <w:lang w:val="bg-BG"/>
    </w:rPr>
  </w:style>
  <w:style w:type="character" w:customStyle="1" w:styleId="Heading3Char">
    <w:name w:val="Heading 3 Char"/>
    <w:basedOn w:val="DefaultParagraphFont"/>
    <w:link w:val="Heading3"/>
    <w:rsid w:val="00581832"/>
    <w:rPr>
      <w:rFonts w:ascii="Arial" w:hAnsi="Arial" w:cs="Arial"/>
      <w:b/>
      <w:bCs/>
      <w:sz w:val="26"/>
      <w:szCs w:val="26"/>
      <w:lang w:val="bg-BG"/>
    </w:rPr>
  </w:style>
  <w:style w:type="character" w:customStyle="1" w:styleId="BodyText3Char">
    <w:name w:val="Body Text 3 Char"/>
    <w:basedOn w:val="DefaultParagraphFont"/>
    <w:link w:val="BodyText3"/>
    <w:rsid w:val="00581832"/>
    <w:rPr>
      <w:sz w:val="16"/>
      <w:szCs w:val="16"/>
      <w:lang w:val="bg-BG"/>
    </w:rPr>
  </w:style>
  <w:style w:type="character" w:customStyle="1" w:styleId="BodyTextIndent2Char">
    <w:name w:val="Body Text Indent 2 Char"/>
    <w:basedOn w:val="DefaultParagraphFont"/>
    <w:link w:val="BodyTextIndent2"/>
    <w:rsid w:val="00581832"/>
    <w:rPr>
      <w:sz w:val="24"/>
      <w:szCs w:val="24"/>
      <w:lang w:val="bg-BG"/>
    </w:rPr>
  </w:style>
  <w:style w:type="character" w:customStyle="1" w:styleId="EndnoteTextChar">
    <w:name w:val="Endnote Text Char"/>
    <w:basedOn w:val="DefaultParagraphFont"/>
    <w:link w:val="EndnoteText"/>
    <w:semiHidden/>
    <w:rsid w:val="00581832"/>
    <w:rPr>
      <w:lang w:val="bg-BG"/>
    </w:rPr>
  </w:style>
  <w:style w:type="character" w:styleId="IntenseEmphasis">
    <w:name w:val="Intense Emphasis"/>
    <w:basedOn w:val="DefaultParagraphFont"/>
    <w:uiPriority w:val="21"/>
    <w:qFormat/>
    <w:rsid w:val="00E62C3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982">
      <w:bodyDiv w:val="1"/>
      <w:marLeft w:val="0"/>
      <w:marRight w:val="0"/>
      <w:marTop w:val="0"/>
      <w:marBottom w:val="0"/>
      <w:divBdr>
        <w:top w:val="none" w:sz="0" w:space="0" w:color="auto"/>
        <w:left w:val="none" w:sz="0" w:space="0" w:color="auto"/>
        <w:bottom w:val="none" w:sz="0" w:space="0" w:color="auto"/>
        <w:right w:val="none" w:sz="0" w:space="0" w:color="auto"/>
      </w:divBdr>
    </w:div>
    <w:div w:id="146098401">
      <w:bodyDiv w:val="1"/>
      <w:marLeft w:val="0"/>
      <w:marRight w:val="0"/>
      <w:marTop w:val="0"/>
      <w:marBottom w:val="0"/>
      <w:divBdr>
        <w:top w:val="none" w:sz="0" w:space="0" w:color="auto"/>
        <w:left w:val="none" w:sz="0" w:space="0" w:color="auto"/>
        <w:bottom w:val="none" w:sz="0" w:space="0" w:color="auto"/>
        <w:right w:val="none" w:sz="0" w:space="0" w:color="auto"/>
      </w:divBdr>
    </w:div>
    <w:div w:id="272128182">
      <w:bodyDiv w:val="1"/>
      <w:marLeft w:val="0"/>
      <w:marRight w:val="0"/>
      <w:marTop w:val="0"/>
      <w:marBottom w:val="0"/>
      <w:divBdr>
        <w:top w:val="none" w:sz="0" w:space="0" w:color="auto"/>
        <w:left w:val="none" w:sz="0" w:space="0" w:color="auto"/>
        <w:bottom w:val="none" w:sz="0" w:space="0" w:color="auto"/>
        <w:right w:val="none" w:sz="0" w:space="0" w:color="auto"/>
      </w:divBdr>
    </w:div>
    <w:div w:id="488985167">
      <w:bodyDiv w:val="1"/>
      <w:marLeft w:val="0"/>
      <w:marRight w:val="0"/>
      <w:marTop w:val="0"/>
      <w:marBottom w:val="0"/>
      <w:divBdr>
        <w:top w:val="none" w:sz="0" w:space="0" w:color="auto"/>
        <w:left w:val="none" w:sz="0" w:space="0" w:color="auto"/>
        <w:bottom w:val="none" w:sz="0" w:space="0" w:color="auto"/>
        <w:right w:val="none" w:sz="0" w:space="0" w:color="auto"/>
      </w:divBdr>
    </w:div>
    <w:div w:id="490483776">
      <w:bodyDiv w:val="1"/>
      <w:marLeft w:val="0"/>
      <w:marRight w:val="0"/>
      <w:marTop w:val="0"/>
      <w:marBottom w:val="0"/>
      <w:divBdr>
        <w:top w:val="none" w:sz="0" w:space="0" w:color="auto"/>
        <w:left w:val="none" w:sz="0" w:space="0" w:color="auto"/>
        <w:bottom w:val="none" w:sz="0" w:space="0" w:color="auto"/>
        <w:right w:val="none" w:sz="0" w:space="0" w:color="auto"/>
      </w:divBdr>
    </w:div>
    <w:div w:id="503279387">
      <w:bodyDiv w:val="1"/>
      <w:marLeft w:val="0"/>
      <w:marRight w:val="0"/>
      <w:marTop w:val="0"/>
      <w:marBottom w:val="0"/>
      <w:divBdr>
        <w:top w:val="none" w:sz="0" w:space="0" w:color="auto"/>
        <w:left w:val="none" w:sz="0" w:space="0" w:color="auto"/>
        <w:bottom w:val="none" w:sz="0" w:space="0" w:color="auto"/>
        <w:right w:val="none" w:sz="0" w:space="0" w:color="auto"/>
      </w:divBdr>
    </w:div>
    <w:div w:id="567035072">
      <w:bodyDiv w:val="1"/>
      <w:marLeft w:val="0"/>
      <w:marRight w:val="0"/>
      <w:marTop w:val="0"/>
      <w:marBottom w:val="0"/>
      <w:divBdr>
        <w:top w:val="none" w:sz="0" w:space="0" w:color="auto"/>
        <w:left w:val="none" w:sz="0" w:space="0" w:color="auto"/>
        <w:bottom w:val="none" w:sz="0" w:space="0" w:color="auto"/>
        <w:right w:val="none" w:sz="0" w:space="0" w:color="auto"/>
      </w:divBdr>
      <w:divsChild>
        <w:div w:id="1294481459">
          <w:marLeft w:val="0"/>
          <w:marRight w:val="0"/>
          <w:marTop w:val="0"/>
          <w:marBottom w:val="0"/>
          <w:divBdr>
            <w:top w:val="none" w:sz="0" w:space="0" w:color="auto"/>
            <w:left w:val="none" w:sz="0" w:space="0" w:color="auto"/>
            <w:bottom w:val="none" w:sz="0" w:space="0" w:color="auto"/>
            <w:right w:val="none" w:sz="0" w:space="0" w:color="auto"/>
          </w:divBdr>
        </w:div>
      </w:divsChild>
    </w:div>
    <w:div w:id="669023205">
      <w:bodyDiv w:val="1"/>
      <w:marLeft w:val="0"/>
      <w:marRight w:val="0"/>
      <w:marTop w:val="0"/>
      <w:marBottom w:val="0"/>
      <w:divBdr>
        <w:top w:val="none" w:sz="0" w:space="0" w:color="auto"/>
        <w:left w:val="none" w:sz="0" w:space="0" w:color="auto"/>
        <w:bottom w:val="none" w:sz="0" w:space="0" w:color="auto"/>
        <w:right w:val="none" w:sz="0" w:space="0" w:color="auto"/>
      </w:divBdr>
    </w:div>
    <w:div w:id="721250821">
      <w:bodyDiv w:val="1"/>
      <w:marLeft w:val="0"/>
      <w:marRight w:val="0"/>
      <w:marTop w:val="0"/>
      <w:marBottom w:val="0"/>
      <w:divBdr>
        <w:top w:val="none" w:sz="0" w:space="0" w:color="auto"/>
        <w:left w:val="none" w:sz="0" w:space="0" w:color="auto"/>
        <w:bottom w:val="none" w:sz="0" w:space="0" w:color="auto"/>
        <w:right w:val="none" w:sz="0" w:space="0" w:color="auto"/>
      </w:divBdr>
    </w:div>
    <w:div w:id="769817748">
      <w:bodyDiv w:val="1"/>
      <w:marLeft w:val="0"/>
      <w:marRight w:val="0"/>
      <w:marTop w:val="0"/>
      <w:marBottom w:val="0"/>
      <w:divBdr>
        <w:top w:val="none" w:sz="0" w:space="0" w:color="auto"/>
        <w:left w:val="none" w:sz="0" w:space="0" w:color="auto"/>
        <w:bottom w:val="none" w:sz="0" w:space="0" w:color="auto"/>
        <w:right w:val="none" w:sz="0" w:space="0" w:color="auto"/>
      </w:divBdr>
    </w:div>
    <w:div w:id="1059985730">
      <w:bodyDiv w:val="1"/>
      <w:marLeft w:val="0"/>
      <w:marRight w:val="0"/>
      <w:marTop w:val="0"/>
      <w:marBottom w:val="0"/>
      <w:divBdr>
        <w:top w:val="none" w:sz="0" w:space="0" w:color="auto"/>
        <w:left w:val="none" w:sz="0" w:space="0" w:color="auto"/>
        <w:bottom w:val="none" w:sz="0" w:space="0" w:color="auto"/>
        <w:right w:val="none" w:sz="0" w:space="0" w:color="auto"/>
      </w:divBdr>
    </w:div>
    <w:div w:id="1151099104">
      <w:bodyDiv w:val="1"/>
      <w:marLeft w:val="0"/>
      <w:marRight w:val="0"/>
      <w:marTop w:val="0"/>
      <w:marBottom w:val="0"/>
      <w:divBdr>
        <w:top w:val="none" w:sz="0" w:space="0" w:color="auto"/>
        <w:left w:val="none" w:sz="0" w:space="0" w:color="auto"/>
        <w:bottom w:val="none" w:sz="0" w:space="0" w:color="auto"/>
        <w:right w:val="none" w:sz="0" w:space="0" w:color="auto"/>
      </w:divBdr>
    </w:div>
    <w:div w:id="1228757899">
      <w:bodyDiv w:val="1"/>
      <w:marLeft w:val="0"/>
      <w:marRight w:val="0"/>
      <w:marTop w:val="0"/>
      <w:marBottom w:val="0"/>
      <w:divBdr>
        <w:top w:val="none" w:sz="0" w:space="0" w:color="auto"/>
        <w:left w:val="none" w:sz="0" w:space="0" w:color="auto"/>
        <w:bottom w:val="none" w:sz="0" w:space="0" w:color="auto"/>
        <w:right w:val="none" w:sz="0" w:space="0" w:color="auto"/>
      </w:divBdr>
      <w:divsChild>
        <w:div w:id="1764762949">
          <w:marLeft w:val="0"/>
          <w:marRight w:val="0"/>
          <w:marTop w:val="0"/>
          <w:marBottom w:val="0"/>
          <w:divBdr>
            <w:top w:val="none" w:sz="0" w:space="0" w:color="auto"/>
            <w:left w:val="none" w:sz="0" w:space="0" w:color="auto"/>
            <w:bottom w:val="none" w:sz="0" w:space="0" w:color="auto"/>
            <w:right w:val="none" w:sz="0" w:space="0" w:color="auto"/>
          </w:divBdr>
          <w:divsChild>
            <w:div w:id="1689597285">
              <w:marLeft w:val="0"/>
              <w:marRight w:val="0"/>
              <w:marTop w:val="0"/>
              <w:marBottom w:val="0"/>
              <w:divBdr>
                <w:top w:val="none" w:sz="0" w:space="0" w:color="auto"/>
                <w:left w:val="none" w:sz="0" w:space="0" w:color="auto"/>
                <w:bottom w:val="none" w:sz="0" w:space="0" w:color="auto"/>
                <w:right w:val="none" w:sz="0" w:space="0" w:color="auto"/>
              </w:divBdr>
              <w:divsChild>
                <w:div w:id="754782278">
                  <w:marLeft w:val="0"/>
                  <w:marRight w:val="0"/>
                  <w:marTop w:val="0"/>
                  <w:marBottom w:val="0"/>
                  <w:divBdr>
                    <w:top w:val="none" w:sz="0" w:space="0" w:color="auto"/>
                    <w:left w:val="none" w:sz="0" w:space="0" w:color="auto"/>
                    <w:bottom w:val="none" w:sz="0" w:space="0" w:color="auto"/>
                    <w:right w:val="none" w:sz="0" w:space="0" w:color="auto"/>
                  </w:divBdr>
                  <w:divsChild>
                    <w:div w:id="20970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555913">
      <w:bodyDiv w:val="1"/>
      <w:marLeft w:val="0"/>
      <w:marRight w:val="0"/>
      <w:marTop w:val="0"/>
      <w:marBottom w:val="0"/>
      <w:divBdr>
        <w:top w:val="none" w:sz="0" w:space="0" w:color="auto"/>
        <w:left w:val="none" w:sz="0" w:space="0" w:color="auto"/>
        <w:bottom w:val="none" w:sz="0" w:space="0" w:color="auto"/>
        <w:right w:val="none" w:sz="0" w:space="0" w:color="auto"/>
      </w:divBdr>
      <w:divsChild>
        <w:div w:id="1132287915">
          <w:marLeft w:val="240"/>
          <w:marRight w:val="240"/>
          <w:marTop w:val="0"/>
          <w:marBottom w:val="0"/>
          <w:divBdr>
            <w:top w:val="none" w:sz="0" w:space="0" w:color="auto"/>
            <w:left w:val="none" w:sz="0" w:space="0" w:color="auto"/>
            <w:bottom w:val="none" w:sz="0" w:space="0" w:color="auto"/>
            <w:right w:val="none" w:sz="0" w:space="0" w:color="auto"/>
          </w:divBdr>
          <w:divsChild>
            <w:div w:id="2001541574">
              <w:marLeft w:val="0"/>
              <w:marRight w:val="0"/>
              <w:marTop w:val="0"/>
              <w:marBottom w:val="120"/>
              <w:divBdr>
                <w:top w:val="none" w:sz="0" w:space="0" w:color="auto"/>
                <w:left w:val="none" w:sz="0" w:space="0" w:color="auto"/>
                <w:bottom w:val="single" w:sz="6" w:space="0" w:color="A7A9AC"/>
                <w:right w:val="none" w:sz="0" w:space="0" w:color="auto"/>
              </w:divBdr>
            </w:div>
          </w:divsChild>
        </w:div>
      </w:divsChild>
    </w:div>
    <w:div w:id="1284270625">
      <w:bodyDiv w:val="1"/>
      <w:marLeft w:val="0"/>
      <w:marRight w:val="0"/>
      <w:marTop w:val="0"/>
      <w:marBottom w:val="0"/>
      <w:divBdr>
        <w:top w:val="none" w:sz="0" w:space="0" w:color="auto"/>
        <w:left w:val="none" w:sz="0" w:space="0" w:color="auto"/>
        <w:bottom w:val="none" w:sz="0" w:space="0" w:color="auto"/>
        <w:right w:val="none" w:sz="0" w:space="0" w:color="auto"/>
      </w:divBdr>
    </w:div>
    <w:div w:id="1334607600">
      <w:bodyDiv w:val="1"/>
      <w:marLeft w:val="0"/>
      <w:marRight w:val="0"/>
      <w:marTop w:val="0"/>
      <w:marBottom w:val="0"/>
      <w:divBdr>
        <w:top w:val="none" w:sz="0" w:space="0" w:color="auto"/>
        <w:left w:val="none" w:sz="0" w:space="0" w:color="auto"/>
        <w:bottom w:val="none" w:sz="0" w:space="0" w:color="auto"/>
        <w:right w:val="none" w:sz="0" w:space="0" w:color="auto"/>
      </w:divBdr>
    </w:div>
    <w:div w:id="1449738080">
      <w:bodyDiv w:val="1"/>
      <w:marLeft w:val="0"/>
      <w:marRight w:val="0"/>
      <w:marTop w:val="0"/>
      <w:marBottom w:val="0"/>
      <w:divBdr>
        <w:top w:val="none" w:sz="0" w:space="0" w:color="auto"/>
        <w:left w:val="none" w:sz="0" w:space="0" w:color="auto"/>
        <w:bottom w:val="none" w:sz="0" w:space="0" w:color="auto"/>
        <w:right w:val="none" w:sz="0" w:space="0" w:color="auto"/>
      </w:divBdr>
    </w:div>
    <w:div w:id="1465393858">
      <w:bodyDiv w:val="1"/>
      <w:marLeft w:val="0"/>
      <w:marRight w:val="0"/>
      <w:marTop w:val="0"/>
      <w:marBottom w:val="0"/>
      <w:divBdr>
        <w:top w:val="none" w:sz="0" w:space="0" w:color="auto"/>
        <w:left w:val="none" w:sz="0" w:space="0" w:color="auto"/>
        <w:bottom w:val="none" w:sz="0" w:space="0" w:color="auto"/>
        <w:right w:val="none" w:sz="0" w:space="0" w:color="auto"/>
      </w:divBdr>
    </w:div>
    <w:div w:id="1523275988">
      <w:bodyDiv w:val="1"/>
      <w:marLeft w:val="0"/>
      <w:marRight w:val="0"/>
      <w:marTop w:val="0"/>
      <w:marBottom w:val="0"/>
      <w:divBdr>
        <w:top w:val="none" w:sz="0" w:space="0" w:color="auto"/>
        <w:left w:val="none" w:sz="0" w:space="0" w:color="auto"/>
        <w:bottom w:val="none" w:sz="0" w:space="0" w:color="auto"/>
        <w:right w:val="none" w:sz="0" w:space="0" w:color="auto"/>
      </w:divBdr>
    </w:div>
    <w:div w:id="1640960128">
      <w:bodyDiv w:val="1"/>
      <w:marLeft w:val="0"/>
      <w:marRight w:val="0"/>
      <w:marTop w:val="0"/>
      <w:marBottom w:val="0"/>
      <w:divBdr>
        <w:top w:val="none" w:sz="0" w:space="0" w:color="auto"/>
        <w:left w:val="none" w:sz="0" w:space="0" w:color="auto"/>
        <w:bottom w:val="none" w:sz="0" w:space="0" w:color="auto"/>
        <w:right w:val="none" w:sz="0" w:space="0" w:color="auto"/>
      </w:divBdr>
    </w:div>
    <w:div w:id="1736472099">
      <w:bodyDiv w:val="1"/>
      <w:marLeft w:val="0"/>
      <w:marRight w:val="0"/>
      <w:marTop w:val="0"/>
      <w:marBottom w:val="0"/>
      <w:divBdr>
        <w:top w:val="none" w:sz="0" w:space="0" w:color="auto"/>
        <w:left w:val="none" w:sz="0" w:space="0" w:color="auto"/>
        <w:bottom w:val="none" w:sz="0" w:space="0" w:color="auto"/>
        <w:right w:val="none" w:sz="0" w:space="0" w:color="auto"/>
      </w:divBdr>
    </w:div>
    <w:div w:id="1752582637">
      <w:bodyDiv w:val="1"/>
      <w:marLeft w:val="0"/>
      <w:marRight w:val="0"/>
      <w:marTop w:val="0"/>
      <w:marBottom w:val="0"/>
      <w:divBdr>
        <w:top w:val="none" w:sz="0" w:space="0" w:color="auto"/>
        <w:left w:val="none" w:sz="0" w:space="0" w:color="auto"/>
        <w:bottom w:val="none" w:sz="0" w:space="0" w:color="auto"/>
        <w:right w:val="none" w:sz="0" w:space="0" w:color="auto"/>
      </w:divBdr>
    </w:div>
    <w:div w:id="1821458686">
      <w:bodyDiv w:val="1"/>
      <w:marLeft w:val="0"/>
      <w:marRight w:val="0"/>
      <w:marTop w:val="0"/>
      <w:marBottom w:val="0"/>
      <w:divBdr>
        <w:top w:val="none" w:sz="0" w:space="0" w:color="auto"/>
        <w:left w:val="none" w:sz="0" w:space="0" w:color="auto"/>
        <w:bottom w:val="none" w:sz="0" w:space="0" w:color="auto"/>
        <w:right w:val="none" w:sz="0" w:space="0" w:color="auto"/>
      </w:divBdr>
    </w:div>
    <w:div w:id="1929189253">
      <w:bodyDiv w:val="1"/>
      <w:marLeft w:val="0"/>
      <w:marRight w:val="0"/>
      <w:marTop w:val="0"/>
      <w:marBottom w:val="0"/>
      <w:divBdr>
        <w:top w:val="none" w:sz="0" w:space="0" w:color="auto"/>
        <w:left w:val="none" w:sz="0" w:space="0" w:color="auto"/>
        <w:bottom w:val="none" w:sz="0" w:space="0" w:color="auto"/>
        <w:right w:val="none" w:sz="0" w:space="0" w:color="auto"/>
      </w:divBdr>
    </w:div>
    <w:div w:id="2005039560">
      <w:bodyDiv w:val="1"/>
      <w:marLeft w:val="0"/>
      <w:marRight w:val="0"/>
      <w:marTop w:val="0"/>
      <w:marBottom w:val="0"/>
      <w:divBdr>
        <w:top w:val="none" w:sz="0" w:space="0" w:color="auto"/>
        <w:left w:val="none" w:sz="0" w:space="0" w:color="auto"/>
        <w:bottom w:val="none" w:sz="0" w:space="0" w:color="auto"/>
        <w:right w:val="none" w:sz="0" w:space="0" w:color="auto"/>
      </w:divBdr>
    </w:div>
    <w:div w:id="2062440967">
      <w:bodyDiv w:val="1"/>
      <w:marLeft w:val="0"/>
      <w:marRight w:val="0"/>
      <w:marTop w:val="0"/>
      <w:marBottom w:val="0"/>
      <w:divBdr>
        <w:top w:val="none" w:sz="0" w:space="0" w:color="auto"/>
        <w:left w:val="none" w:sz="0" w:space="0" w:color="auto"/>
        <w:bottom w:val="none" w:sz="0" w:space="0" w:color="auto"/>
        <w:right w:val="none" w:sz="0" w:space="0" w:color="auto"/>
      </w:divBdr>
    </w:div>
    <w:div w:id="2072146161">
      <w:bodyDiv w:val="1"/>
      <w:marLeft w:val="0"/>
      <w:marRight w:val="0"/>
      <w:marTop w:val="0"/>
      <w:marBottom w:val="0"/>
      <w:divBdr>
        <w:top w:val="none" w:sz="0" w:space="0" w:color="auto"/>
        <w:left w:val="none" w:sz="0" w:space="0" w:color="auto"/>
        <w:bottom w:val="none" w:sz="0" w:space="0" w:color="auto"/>
        <w:right w:val="none" w:sz="0" w:space="0" w:color="auto"/>
      </w:divBdr>
    </w:div>
    <w:div w:id="2078552652">
      <w:bodyDiv w:val="1"/>
      <w:marLeft w:val="0"/>
      <w:marRight w:val="0"/>
      <w:marTop w:val="0"/>
      <w:marBottom w:val="0"/>
      <w:divBdr>
        <w:top w:val="none" w:sz="0" w:space="0" w:color="auto"/>
        <w:left w:val="none" w:sz="0" w:space="0" w:color="auto"/>
        <w:bottom w:val="none" w:sz="0" w:space="0" w:color="auto"/>
        <w:right w:val="none" w:sz="0" w:space="0" w:color="auto"/>
      </w:divBdr>
      <w:divsChild>
        <w:div w:id="1512406735">
          <w:marLeft w:val="0"/>
          <w:marRight w:val="0"/>
          <w:marTop w:val="0"/>
          <w:marBottom w:val="0"/>
          <w:divBdr>
            <w:top w:val="none" w:sz="0" w:space="0" w:color="auto"/>
            <w:left w:val="none" w:sz="0" w:space="0" w:color="auto"/>
            <w:bottom w:val="none" w:sz="0" w:space="0" w:color="auto"/>
            <w:right w:val="none" w:sz="0" w:space="0" w:color="auto"/>
          </w:divBdr>
          <w:divsChild>
            <w:div w:id="1991667719">
              <w:marLeft w:val="0"/>
              <w:marRight w:val="0"/>
              <w:marTop w:val="0"/>
              <w:marBottom w:val="0"/>
              <w:divBdr>
                <w:top w:val="none" w:sz="0" w:space="0" w:color="auto"/>
                <w:left w:val="none" w:sz="0" w:space="0" w:color="auto"/>
                <w:bottom w:val="none" w:sz="0" w:space="0" w:color="auto"/>
                <w:right w:val="none" w:sz="0" w:space="0" w:color="auto"/>
              </w:divBdr>
              <w:divsChild>
                <w:div w:id="1413895954">
                  <w:marLeft w:val="0"/>
                  <w:marRight w:val="0"/>
                  <w:marTop w:val="0"/>
                  <w:marBottom w:val="0"/>
                  <w:divBdr>
                    <w:top w:val="none" w:sz="0" w:space="0" w:color="auto"/>
                    <w:left w:val="none" w:sz="0" w:space="0" w:color="auto"/>
                    <w:bottom w:val="none" w:sz="0" w:space="0" w:color="auto"/>
                    <w:right w:val="none" w:sz="0" w:space="0" w:color="auto"/>
                  </w:divBdr>
                  <w:divsChild>
                    <w:div w:id="8728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ysClr val="windowText" lastClr="000000"/>
                </a:solidFill>
                <a:latin typeface="Arial"/>
                <a:ea typeface="Arial"/>
                <a:cs typeface="Arial"/>
              </a:defRPr>
            </a:pPr>
            <a:r>
              <a:rPr lang="en-US" sz="1000" b="1" i="0" u="none" strike="noStrike" baseline="0">
                <a:solidFill>
                  <a:sysClr val="windowText" lastClr="000000"/>
                </a:solidFill>
                <a:latin typeface="Times New Roman"/>
                <a:cs typeface="Times New Roman"/>
              </a:rPr>
              <a:t>Приходи</a:t>
            </a:r>
            <a:r>
              <a:rPr lang="bg-BG" sz="1000" b="1" i="0" u="none" strike="noStrike" baseline="0">
                <a:solidFill>
                  <a:sysClr val="windowText" lastClr="000000"/>
                </a:solidFill>
                <a:latin typeface="Times New Roman"/>
                <a:cs typeface="Times New Roman"/>
              </a:rPr>
              <a:t>, </a:t>
            </a:r>
            <a:r>
              <a:rPr lang="en-US" sz="1000" b="1" i="0" u="none" strike="noStrike" baseline="0">
                <a:solidFill>
                  <a:sysClr val="windowText" lastClr="000000"/>
                </a:solidFill>
                <a:latin typeface="Times New Roman"/>
                <a:cs typeface="Times New Roman"/>
              </a:rPr>
              <a:t>помощи </a:t>
            </a:r>
            <a:r>
              <a:rPr lang="bg-BG" sz="1000" b="1" i="0" u="none" strike="noStrike" baseline="0">
                <a:solidFill>
                  <a:sysClr val="windowText" lastClr="000000"/>
                </a:solidFill>
                <a:latin typeface="Times New Roman"/>
                <a:cs typeface="Times New Roman"/>
              </a:rPr>
              <a:t>и дарения </a:t>
            </a:r>
            <a:r>
              <a:rPr lang="en-US" sz="1000" b="1" i="0" u="none" strike="noStrike" baseline="0">
                <a:solidFill>
                  <a:sysClr val="windowText" lastClr="000000"/>
                </a:solidFill>
                <a:latin typeface="Times New Roman"/>
                <a:cs typeface="Times New Roman"/>
              </a:rPr>
              <a:t>по консолидираната фискална програма</a:t>
            </a:r>
          </a:p>
          <a:p>
            <a:pPr>
              <a:defRPr sz="1200" b="0" i="0" u="none" strike="noStrike" baseline="0">
                <a:solidFill>
                  <a:sysClr val="windowText" lastClr="000000"/>
                </a:solidFill>
                <a:latin typeface="Arial"/>
                <a:ea typeface="Arial"/>
                <a:cs typeface="Arial"/>
              </a:defRPr>
            </a:pPr>
            <a:r>
              <a:rPr lang="en-US" sz="1000" b="1" i="0" u="none" strike="noStrike" baseline="0">
                <a:solidFill>
                  <a:sysClr val="windowText" lastClr="000000"/>
                </a:solidFill>
                <a:latin typeface="Times New Roman"/>
                <a:cs typeface="Times New Roman"/>
              </a:rPr>
              <a:t> </a:t>
            </a:r>
            <a:r>
              <a:rPr lang="bg-BG" sz="1000" b="1" i="0" u="none" strike="noStrike" baseline="0">
                <a:solidFill>
                  <a:sysClr val="windowText" lastClr="000000"/>
                </a:solidFill>
                <a:latin typeface="Times New Roman"/>
                <a:cs typeface="Times New Roman"/>
              </a:rPr>
              <a:t>към </a:t>
            </a:r>
            <a:r>
              <a:rPr lang="bg-BG" sz="1000" b="1" i="0" u="none" strike="noStrike" kern="1200" baseline="0">
                <a:solidFill>
                  <a:sysClr val="windowText" lastClr="000000"/>
                </a:solidFill>
                <a:latin typeface="Times New Roman"/>
                <a:cs typeface="Times New Roman"/>
              </a:rPr>
              <a:t>декември </a:t>
            </a:r>
            <a:r>
              <a:rPr lang="bg-BG" sz="1000" b="1" i="0" u="none" strike="noStrike" baseline="0">
                <a:solidFill>
                  <a:sysClr val="windowText" lastClr="000000"/>
                </a:solidFill>
                <a:latin typeface="Times New Roman"/>
                <a:cs typeface="Times New Roman"/>
              </a:rPr>
              <a:t> </a:t>
            </a:r>
            <a:r>
              <a:rPr lang="bg-BG" sz="1000" b="1" i="0" u="none" strike="noStrike" kern="1200" baseline="0">
                <a:solidFill>
                  <a:sysClr val="windowText" lastClr="000000"/>
                </a:solidFill>
                <a:latin typeface="Times New Roman"/>
                <a:cs typeface="Times New Roman"/>
              </a:rPr>
              <a:t>2024</a:t>
            </a:r>
            <a:r>
              <a:rPr lang="bg-BG" sz="1000" b="1" i="0" u="none" strike="noStrike" baseline="0">
                <a:solidFill>
                  <a:sysClr val="windowText" lastClr="000000"/>
                </a:solidFill>
                <a:latin typeface="Times New Roman"/>
                <a:cs typeface="Times New Roman"/>
              </a:rPr>
              <a:t> </a:t>
            </a:r>
            <a:r>
              <a:rPr lang="en-US" sz="1000" b="1" i="0" u="none" strike="noStrike" baseline="0">
                <a:solidFill>
                  <a:sysClr val="windowText" lastClr="000000"/>
                </a:solidFill>
                <a:latin typeface="Times New Roman"/>
                <a:cs typeface="Times New Roman"/>
              </a:rPr>
              <a:t>г. и </a:t>
            </a:r>
            <a:r>
              <a:rPr lang="en-US" sz="1000" b="1" i="0" u="none" strike="noStrike" kern="1200" baseline="0">
                <a:solidFill>
                  <a:sysClr val="windowText" lastClr="000000"/>
                </a:solidFill>
                <a:latin typeface="Times New Roman"/>
                <a:cs typeface="Times New Roman"/>
              </a:rPr>
              <a:t>202</a:t>
            </a:r>
            <a:r>
              <a:rPr lang="bg-BG" sz="1000" b="1" i="0" u="none" strike="noStrike" kern="1200" baseline="0">
                <a:solidFill>
                  <a:sysClr val="windowText" lastClr="000000"/>
                </a:solidFill>
                <a:latin typeface="Times New Roman"/>
                <a:cs typeface="Times New Roman"/>
              </a:rPr>
              <a:t>5</a:t>
            </a:r>
            <a:r>
              <a:rPr lang="en-US" sz="1000" b="1" i="0" u="none" strike="noStrike" baseline="0">
                <a:solidFill>
                  <a:sysClr val="windowText" lastClr="000000"/>
                </a:solidFill>
                <a:latin typeface="Times New Roman"/>
                <a:cs typeface="Times New Roman"/>
              </a:rPr>
              <a:t> г.</a:t>
            </a:r>
          </a:p>
        </c:rich>
      </c:tx>
      <c:layout>
        <c:manualLayout>
          <c:xMode val="edge"/>
          <c:yMode val="edge"/>
          <c:x val="0.20118264226098204"/>
          <c:y val="1.05446002923104E-3"/>
        </c:manualLayout>
      </c:layout>
      <c:overlay val="0"/>
      <c:spPr>
        <a:noFill/>
        <a:ln w="25398">
          <a:noFill/>
        </a:ln>
      </c:spPr>
    </c:title>
    <c:autoTitleDeleted val="0"/>
    <c:view3D>
      <c:rotX val="24"/>
      <c:rotY val="40"/>
      <c:depthPercent val="100"/>
      <c:rAngAx val="1"/>
    </c:view3D>
    <c:floor>
      <c:thickness val="0"/>
      <c:spPr>
        <a:noFill/>
      </c:spPr>
    </c:floor>
    <c:sideWall>
      <c:thickness val="0"/>
      <c:spPr>
        <a:noFill/>
        <a:ln w="3175">
          <a:solidFill>
            <a:sysClr val="window" lastClr="FFFFFF">
              <a:lumMod val="85000"/>
            </a:sysClr>
          </a:solidFill>
          <a:prstDash val="solid"/>
        </a:ln>
      </c:spPr>
    </c:sideWall>
    <c:backWall>
      <c:thickness val="0"/>
      <c:spPr>
        <a:noFill/>
        <a:ln w="3175">
          <a:solidFill>
            <a:sysClr val="window" lastClr="FFFFFF">
              <a:lumMod val="85000"/>
            </a:sysClr>
          </a:solidFill>
          <a:prstDash val="solid"/>
        </a:ln>
      </c:spPr>
    </c:backWall>
    <c:plotArea>
      <c:layout>
        <c:manualLayout>
          <c:layoutTarget val="inner"/>
          <c:xMode val="edge"/>
          <c:yMode val="edge"/>
          <c:x val="0.25095340355182877"/>
          <c:y val="0.14577781142741791"/>
          <c:w val="0.69015203420858928"/>
          <c:h val="0.70997457994915991"/>
        </c:manualLayout>
      </c:layout>
      <c:bar3DChart>
        <c:barDir val="bar"/>
        <c:grouping val="clustered"/>
        <c:varyColors val="0"/>
        <c:ser>
          <c:idx val="1"/>
          <c:order val="0"/>
          <c:tx>
            <c:strRef>
              <c:f>data!$C$1</c:f>
              <c:strCache>
                <c:ptCount val="1"/>
                <c:pt idx="0">
                  <c:v> декември 2025 г.</c:v>
                </c:pt>
              </c:strCache>
            </c:strRef>
          </c:tx>
          <c:spPr>
            <a:pattFill prst="pct80">
              <a:fgClr>
                <a:srgbClr val="C0C0C0"/>
              </a:fgClr>
              <a:bgClr>
                <a:srgbClr val="993366"/>
              </a:bgClr>
            </a:pattFill>
            <a:ln w="12699">
              <a:solidFill>
                <a:srgbClr val="000000"/>
              </a:solidFill>
              <a:prstDash val="solid"/>
            </a:ln>
          </c:spPr>
          <c:invertIfNegative val="0"/>
          <c:dLbls>
            <c:dLbl>
              <c:idx val="0"/>
              <c:layout>
                <c:manualLayout>
                  <c:x val="1.2963070251670046E-2"/>
                  <c:y val="-9.928152920278904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188-4505-B4AA-F799EA737585}"/>
                </c:ext>
              </c:extLst>
            </c:dLbl>
            <c:dLbl>
              <c:idx val="1"/>
              <c:layout>
                <c:manualLayout>
                  <c:x val="1.3477119707862605E-2"/>
                  <c:y val="-1.594740051432964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188-4505-B4AA-F799EA737585}"/>
                </c:ext>
              </c:extLst>
            </c:dLbl>
            <c:dLbl>
              <c:idx val="2"/>
              <c:layout>
                <c:manualLayout>
                  <c:x val="1.2604218787032811E-2"/>
                  <c:y val="-6.311584789275160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188-4505-B4AA-F799EA737585}"/>
                </c:ext>
              </c:extLst>
            </c:dLbl>
            <c:dLbl>
              <c:idx val="3"/>
              <c:layout>
                <c:manualLayout>
                  <c:x val="1.0322597635161785E-2"/>
                  <c:y val="-1.066094010975900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188-4505-B4AA-F799EA737585}"/>
                </c:ext>
              </c:extLst>
            </c:dLbl>
            <c:dLbl>
              <c:idx val="4"/>
              <c:layout>
                <c:manualLayout>
                  <c:x val="2.3125925238610349E-2"/>
                  <c:y val="-1.8085892418365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88-4505-B4AA-F799EA737585}"/>
                </c:ext>
              </c:extLst>
            </c:dLbl>
            <c:dLbl>
              <c:idx val="5"/>
              <c:layout>
                <c:manualLayout>
                  <c:xMode val="edge"/>
                  <c:yMode val="edge"/>
                  <c:x val="0.86038349087668353"/>
                  <c:y val="1.3043502490371705E-2"/>
                </c:manualLayout>
              </c:layout>
              <c:numFmt formatCode="#,##0.0" sourceLinked="0"/>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88-4505-B4AA-F799EA737585}"/>
                </c:ext>
              </c:extLst>
            </c:dLbl>
            <c:dLbl>
              <c:idx val="6"/>
              <c:layout>
                <c:manualLayout>
                  <c:xMode val="edge"/>
                  <c:yMode val="edge"/>
                  <c:x val="0.86038349087668353"/>
                  <c:y val="1.3043502490371705E-2"/>
                </c:manualLayout>
              </c:layout>
              <c:numFmt formatCode="#,##0.0" sourceLinked="0"/>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88-4505-B4AA-F799EA737585}"/>
                </c:ext>
              </c:extLst>
            </c:dLbl>
            <c:numFmt formatCode="#,##0.0" sourceLinked="0"/>
            <c:spPr>
              <a:solidFill>
                <a:srgbClr val="FFFFFF"/>
              </a:solidFill>
              <a:ln w="25398">
                <a:noFill/>
              </a:ln>
            </c:spPr>
            <c:txPr>
              <a:bodyPr/>
              <a:lstStyle/>
              <a:p>
                <a:pP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data!$A$3:$A$6</c:f>
              <c:strCache>
                <c:ptCount val="4"/>
                <c:pt idx="0">
                  <c:v>Общо приходи, помощи и дарения</c:v>
                </c:pt>
                <c:pt idx="1">
                  <c:v>Данъчни приходи</c:v>
                </c:pt>
                <c:pt idx="2">
                  <c:v>Неданъчни приходи</c:v>
                </c:pt>
                <c:pt idx="3">
                  <c:v>Помощи и дарения</c:v>
                </c:pt>
              </c:strCache>
            </c:strRef>
          </c:cat>
          <c:val>
            <c:numRef>
              <c:f>data!$C$3:$C$6</c:f>
              <c:numCache>
                <c:formatCode>#,#00.0</c:formatCode>
                <c:ptCount val="4"/>
                <c:pt idx="0">
                  <c:v>86086.170220976797</c:v>
                </c:pt>
                <c:pt idx="1">
                  <c:v>67681.841499999995</c:v>
                </c:pt>
                <c:pt idx="2">
                  <c:v>11855.8595350868</c:v>
                </c:pt>
                <c:pt idx="3">
                  <c:v>6548.4691858900005</c:v>
                </c:pt>
              </c:numCache>
            </c:numRef>
          </c:val>
          <c:extLst>
            <c:ext xmlns:c16="http://schemas.microsoft.com/office/drawing/2014/chart" uri="{C3380CC4-5D6E-409C-BE32-E72D297353CC}">
              <c16:uniqueId val="{00000007-C188-4505-B4AA-F799EA737585}"/>
            </c:ext>
          </c:extLst>
        </c:ser>
        <c:ser>
          <c:idx val="0"/>
          <c:order val="1"/>
          <c:tx>
            <c:strRef>
              <c:f>data!$B$1</c:f>
              <c:strCache>
                <c:ptCount val="1"/>
                <c:pt idx="0">
                  <c:v> декември 2024 г.</c:v>
                </c:pt>
              </c:strCache>
            </c:strRef>
          </c:tx>
          <c:spPr>
            <a:pattFill prst="pct80">
              <a:fgClr>
                <a:srgbClr val="000000"/>
              </a:fgClr>
              <a:bgClr>
                <a:sysClr val="window" lastClr="FFFFFF"/>
              </a:bgClr>
            </a:pattFill>
            <a:ln w="12699">
              <a:solidFill>
                <a:srgbClr val="000000"/>
              </a:solidFill>
              <a:prstDash val="solid"/>
            </a:ln>
          </c:spPr>
          <c:invertIfNegative val="0"/>
          <c:dLbls>
            <c:dLbl>
              <c:idx val="0"/>
              <c:layout>
                <c:manualLayout>
                  <c:x val="1.2627753917124E-2"/>
                  <c:y val="-1.99868003418182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C188-4505-B4AA-F799EA737585}"/>
                </c:ext>
              </c:extLst>
            </c:dLbl>
            <c:dLbl>
              <c:idx val="1"/>
              <c:layout>
                <c:manualLayout>
                  <c:x val="1.1606385376070541E-2"/>
                  <c:y val="-3.35359061222000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C188-4505-B4AA-F799EA737585}"/>
                </c:ext>
              </c:extLst>
            </c:dLbl>
            <c:dLbl>
              <c:idx val="2"/>
              <c:layout>
                <c:manualLayout>
                  <c:x val="9.1593598118849696E-3"/>
                  <c:y val="-3.13707215169536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C188-4505-B4AA-F799EA737585}"/>
                </c:ext>
              </c:extLst>
            </c:dLbl>
            <c:dLbl>
              <c:idx val="3"/>
              <c:layout>
                <c:manualLayout>
                  <c:x val="1.6964860997726414E-2"/>
                  <c:y val="-1.84600157303569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C188-4505-B4AA-F799EA737585}"/>
                </c:ext>
              </c:extLst>
            </c:dLbl>
            <c:dLbl>
              <c:idx val="4"/>
              <c:layout>
                <c:manualLayout>
                  <c:x val="8.090605209302942E-3"/>
                  <c:y val="-1.2366513447686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188-4505-B4AA-F799EA737585}"/>
                </c:ext>
              </c:extLst>
            </c:dLbl>
            <c:dLbl>
              <c:idx val="5"/>
              <c:layout>
                <c:manualLayout>
                  <c:xMode val="edge"/>
                  <c:yMode val="edge"/>
                  <c:x val="0.86038349087668353"/>
                  <c:y val="1.3043502490371705E-2"/>
                </c:manualLayout>
              </c:layout>
              <c:numFmt formatCode="#,##0.0" sourceLinked="0"/>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188-4505-B4AA-F799EA737585}"/>
                </c:ext>
              </c:extLst>
            </c:dLbl>
            <c:dLbl>
              <c:idx val="6"/>
              <c:layout>
                <c:manualLayout>
                  <c:xMode val="edge"/>
                  <c:yMode val="edge"/>
                  <c:x val="7.1599180932872524E-3"/>
                  <c:y val="1.3043502490371705E-2"/>
                </c:manualLayout>
              </c:layout>
              <c:numFmt formatCode="#,##0.0" sourceLinked="0"/>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188-4505-B4AA-F799EA737585}"/>
                </c:ext>
              </c:extLst>
            </c:dLbl>
            <c:numFmt formatCode="#,##0.0" sourceLinked="0"/>
            <c:spPr>
              <a:solidFill>
                <a:srgbClr val="FFFFFF"/>
              </a:solidFill>
              <a:ln w="25398">
                <a:noFill/>
              </a:ln>
            </c:spPr>
            <c:txPr>
              <a:bodyPr/>
              <a:lstStyle/>
              <a:p>
                <a:pP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data!$A$3:$A$6</c:f>
              <c:strCache>
                <c:ptCount val="4"/>
                <c:pt idx="0">
                  <c:v>Общо приходи, помощи и дарения</c:v>
                </c:pt>
                <c:pt idx="1">
                  <c:v>Данъчни приходи</c:v>
                </c:pt>
                <c:pt idx="2">
                  <c:v>Неданъчни приходи</c:v>
                </c:pt>
                <c:pt idx="3">
                  <c:v>Помощи и дарения</c:v>
                </c:pt>
              </c:strCache>
            </c:strRef>
          </c:cat>
          <c:val>
            <c:numRef>
              <c:f>data!$B$3:$B$6</c:f>
              <c:numCache>
                <c:formatCode>#,#00.0</c:formatCode>
                <c:ptCount val="4"/>
                <c:pt idx="0">
                  <c:v>72015.138168680001</c:v>
                </c:pt>
                <c:pt idx="1">
                  <c:v>58695.019800000002</c:v>
                </c:pt>
                <c:pt idx="2">
                  <c:v>9687.8880756800008</c:v>
                </c:pt>
                <c:pt idx="3">
                  <c:v>3632.2302930000001</c:v>
                </c:pt>
              </c:numCache>
            </c:numRef>
          </c:val>
          <c:extLst>
            <c:ext xmlns:c16="http://schemas.microsoft.com/office/drawing/2014/chart" uri="{C3380CC4-5D6E-409C-BE32-E72D297353CC}">
              <c16:uniqueId val="{0000000F-C188-4505-B4AA-F799EA737585}"/>
            </c:ext>
          </c:extLst>
        </c:ser>
        <c:dLbls>
          <c:showLegendKey val="0"/>
          <c:showVal val="0"/>
          <c:showCatName val="0"/>
          <c:showSerName val="0"/>
          <c:showPercent val="0"/>
          <c:showBubbleSize val="0"/>
        </c:dLbls>
        <c:gapWidth val="150"/>
        <c:gapDepth val="273"/>
        <c:shape val="cylinder"/>
        <c:axId val="292920704"/>
        <c:axId val="292926592"/>
        <c:axId val="0"/>
      </c:bar3DChart>
      <c:catAx>
        <c:axId val="292920704"/>
        <c:scaling>
          <c:orientation val="minMax"/>
        </c:scaling>
        <c:delete val="0"/>
        <c:axPos val="l"/>
        <c:numFmt formatCode="General" sourceLinked="1"/>
        <c:majorTickMark val="out"/>
        <c:minorTickMark val="none"/>
        <c:tickLblPos val="low"/>
        <c:spPr>
          <a:ln w="9524">
            <a:noFill/>
          </a:ln>
        </c:spPr>
        <c:txPr>
          <a:bodyPr rot="0" vert="horz"/>
          <a:lstStyle/>
          <a:p>
            <a:pPr>
              <a:defRPr sz="900" b="0" i="0" u="none" strike="noStrike" baseline="0">
                <a:solidFill>
                  <a:srgbClr val="000000"/>
                </a:solidFill>
                <a:latin typeface="Times New Roman"/>
                <a:ea typeface="Times New Roman"/>
                <a:cs typeface="Times New Roman"/>
              </a:defRPr>
            </a:pPr>
            <a:endParaRPr lang="bg-BG"/>
          </a:p>
        </c:txPr>
        <c:crossAx val="292926592"/>
        <c:crosses val="autoZero"/>
        <c:auto val="1"/>
        <c:lblAlgn val="ctr"/>
        <c:lblOffset val="100"/>
        <c:noMultiLvlLbl val="0"/>
      </c:catAx>
      <c:valAx>
        <c:axId val="292926592"/>
        <c:scaling>
          <c:orientation val="minMax"/>
        </c:scaling>
        <c:delete val="0"/>
        <c:axPos val="b"/>
        <c:majorGridlines>
          <c:spPr>
            <a:ln w="3175">
              <a:solidFill>
                <a:sysClr val="window" lastClr="FFFFFF">
                  <a:lumMod val="85000"/>
                </a:sysClr>
              </a:solidFill>
              <a:prstDash val="solid"/>
            </a:ln>
          </c:spPr>
        </c:majorGridlines>
        <c:title>
          <c:tx>
            <c:rich>
              <a:bodyPr/>
              <a:lstStyle/>
              <a:p>
                <a:pPr>
                  <a:defRPr sz="900" b="1" i="0" u="none" strike="noStrike" baseline="0">
                    <a:solidFill>
                      <a:srgbClr val="000000"/>
                    </a:solidFill>
                    <a:latin typeface="Times New Roman"/>
                    <a:ea typeface="Times New Roman"/>
                    <a:cs typeface="Times New Roman"/>
                  </a:defRPr>
                </a:pPr>
                <a:r>
                  <a:rPr lang="bg-BG"/>
                  <a:t>млн. лв.</a:t>
                </a:r>
              </a:p>
            </c:rich>
          </c:tx>
          <c:layout>
            <c:manualLayout>
              <c:xMode val="edge"/>
              <c:yMode val="edge"/>
              <c:x val="0.91324272509414584"/>
              <c:y val="0.92457285581237825"/>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bg-BG"/>
          </a:p>
        </c:txPr>
        <c:crossAx val="292920704"/>
        <c:crosses val="autoZero"/>
        <c:crossBetween val="between"/>
      </c:valAx>
      <c:spPr>
        <a:noFill/>
        <a:ln>
          <a:noFill/>
        </a:ln>
      </c:spPr>
    </c:plotArea>
    <c:legend>
      <c:legendPos val="r"/>
      <c:layout>
        <c:manualLayout>
          <c:xMode val="edge"/>
          <c:yMode val="edge"/>
          <c:x val="6.9073947278329327E-3"/>
          <c:y val="0.87270298873931074"/>
          <c:w val="0.14668503937007876"/>
          <c:h val="0.12342223351113368"/>
        </c:manualLayout>
      </c:layout>
      <c:overlay val="0"/>
      <c:spPr>
        <a:solidFill>
          <a:srgbClr val="FFFFFF"/>
        </a:solidFill>
        <a:ln w="3175">
          <a:solidFill>
            <a:srgbClr val="000000"/>
          </a:solidFill>
          <a:prstDash val="solid"/>
        </a:ln>
      </c:spPr>
      <c:txPr>
        <a:bodyPr/>
        <a:lstStyle/>
        <a:p>
          <a:pPr>
            <a:defRPr sz="69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Times New Roman"/>
                <a:ea typeface="Times New Roman"/>
                <a:cs typeface="Times New Roman"/>
              </a:defRPr>
            </a:pPr>
            <a:r>
              <a:rPr lang="bg-BG" sz="1000"/>
              <a:t>Разходи по консолидираната фискална програма </a:t>
            </a:r>
            <a:r>
              <a:rPr lang="bg-BG" sz="1000" b="1" i="0" u="none" strike="noStrike" kern="1200" baseline="0">
                <a:solidFill>
                  <a:srgbClr val="000000"/>
                </a:solidFill>
                <a:latin typeface="Times New Roman"/>
                <a:cs typeface="Times New Roman"/>
              </a:rPr>
              <a:t>към декември 2024 </a:t>
            </a:r>
            <a:r>
              <a:rPr lang="bg-BG" sz="1000"/>
              <a:t>г. и </a:t>
            </a:r>
            <a:r>
              <a:rPr lang="bg-BG" sz="1000" b="1" i="0" u="none" strike="noStrike" kern="1200" baseline="0">
                <a:solidFill>
                  <a:srgbClr val="000000"/>
                </a:solidFill>
                <a:latin typeface="Times New Roman"/>
                <a:cs typeface="Times New Roman"/>
              </a:rPr>
              <a:t>2025</a:t>
            </a:r>
            <a:r>
              <a:rPr lang="bg-BG" sz="1000"/>
              <a:t> г. </a:t>
            </a:r>
            <a:r>
              <a:rPr lang="en-US" sz="1000"/>
              <a:t>(</a:t>
            </a:r>
            <a:r>
              <a:rPr lang="bg-BG" sz="1000"/>
              <a:t>данните</a:t>
            </a:r>
            <a:r>
              <a:rPr lang="bg-BG" sz="1000" baseline="0"/>
              <a:t> за 2024 г. са </a:t>
            </a:r>
            <a:r>
              <a:rPr lang="bg-BG" sz="1000" b="1" i="0" u="none" strike="noStrike" baseline="0">
                <a:effectLst/>
              </a:rPr>
              <a:t>на съпоставима база</a:t>
            </a:r>
            <a:r>
              <a:rPr lang="en-US" sz="1000"/>
              <a:t>)</a:t>
            </a:r>
            <a:endParaRPr lang="bg-BG" sz="1000"/>
          </a:p>
        </c:rich>
      </c:tx>
      <c:layout>
        <c:manualLayout>
          <c:xMode val="edge"/>
          <c:yMode val="edge"/>
          <c:x val="0.16410406246389012"/>
          <c:y val="3.585301837270342E-3"/>
        </c:manualLayout>
      </c:layout>
      <c:overlay val="0"/>
      <c:spPr>
        <a:noFill/>
        <a:ln w="25399">
          <a:noFill/>
        </a:ln>
      </c:spPr>
    </c:title>
    <c:autoTitleDeleted val="0"/>
    <c:view3D>
      <c:rotX val="30"/>
      <c:hPercent val="41"/>
      <c:rotY val="40"/>
      <c:depthPercent val="100"/>
      <c:rAngAx val="1"/>
    </c:view3D>
    <c:floor>
      <c:thickness val="0"/>
      <c:spPr>
        <a:noFill/>
      </c:spPr>
    </c:floor>
    <c:sideWall>
      <c:thickness val="0"/>
      <c:spPr>
        <a:noFill/>
        <a:ln>
          <a:solidFill>
            <a:sysClr val="window" lastClr="FFFFFF">
              <a:lumMod val="85000"/>
            </a:sysClr>
          </a:solidFill>
        </a:ln>
      </c:spPr>
    </c:sideWall>
    <c:backWall>
      <c:thickness val="0"/>
      <c:spPr>
        <a:noFill/>
        <a:ln>
          <a:solidFill>
            <a:sysClr val="window" lastClr="FFFFFF">
              <a:lumMod val="85000"/>
            </a:sysClr>
          </a:solidFill>
        </a:ln>
      </c:spPr>
    </c:backWall>
    <c:plotArea>
      <c:layout>
        <c:manualLayout>
          <c:layoutTarget val="inner"/>
          <c:xMode val="edge"/>
          <c:yMode val="edge"/>
          <c:x val="9.9884653447322863E-2"/>
          <c:y val="0.16291722759747282"/>
          <c:w val="0.89802255960123512"/>
          <c:h val="0.58336868408054166"/>
        </c:manualLayout>
      </c:layout>
      <c:bar3DChart>
        <c:barDir val="col"/>
        <c:grouping val="clustered"/>
        <c:varyColors val="0"/>
        <c:ser>
          <c:idx val="0"/>
          <c:order val="0"/>
          <c:tx>
            <c:strRef>
              <c:f>data!$B$1</c:f>
              <c:strCache>
                <c:ptCount val="1"/>
                <c:pt idx="0">
                  <c:v>декември 2024 г.</c:v>
                </c:pt>
              </c:strCache>
            </c:strRef>
          </c:tx>
          <c:spPr>
            <a:pattFill prst="pct5">
              <a:fgClr>
                <a:srgbClr val="000000"/>
              </a:fgClr>
              <a:bgClr>
                <a:sysClr val="windowText" lastClr="000000">
                  <a:lumMod val="65000"/>
                  <a:lumOff val="35000"/>
                </a:sysClr>
              </a:bgClr>
            </a:pattFill>
            <a:ln w="12700">
              <a:solidFill>
                <a:srgbClr val="000000"/>
              </a:solidFill>
              <a:prstDash val="solid"/>
            </a:ln>
          </c:spPr>
          <c:invertIfNegative val="0"/>
          <c:dLbls>
            <c:dLbl>
              <c:idx val="0"/>
              <c:layout>
                <c:manualLayout>
                  <c:x val="7.3754921259844451E-3"/>
                  <c:y val="0.1778318516637033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831-448E-BB11-1CECA37DFFC1}"/>
                </c:ext>
              </c:extLst>
            </c:dLbl>
            <c:dLbl>
              <c:idx val="1"/>
              <c:layout>
                <c:manualLayout>
                  <c:x val="6.1202427821523912E-3"/>
                  <c:y val="0.163771060875455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831-448E-BB11-1CECA37DFFC1}"/>
                </c:ext>
              </c:extLst>
            </c:dLbl>
            <c:dLbl>
              <c:idx val="2"/>
              <c:layout>
                <c:manualLayout>
                  <c:x val="2.7818241469817085E-3"/>
                  <c:y val="-3.331910930488526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831-448E-BB11-1CECA37DFFC1}"/>
                </c:ext>
              </c:extLst>
            </c:dLbl>
            <c:dLbl>
              <c:idx val="3"/>
              <c:layout>
                <c:manualLayout>
                  <c:x val="1.0317257217847769E-2"/>
                  <c:y val="-2.0692236051138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831-448E-BB11-1CECA37DFFC1}"/>
                </c:ext>
              </c:extLst>
            </c:dLbl>
            <c:dLbl>
              <c:idx val="4"/>
              <c:layout>
                <c:manualLayout>
                  <c:x val="1.6023129921259843E-2"/>
                  <c:y val="-3.35477097620861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831-448E-BB11-1CECA37DFFC1}"/>
                </c:ext>
              </c:extLst>
            </c:dLbl>
            <c:dLbl>
              <c:idx val="5"/>
              <c:layout>
                <c:manualLayout>
                  <c:x val="1.8415952722890771E-2"/>
                  <c:y val="-2.63831742517596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831-448E-BB11-1CECA37DFFC1}"/>
                </c:ext>
              </c:extLst>
            </c:dLbl>
            <c:dLbl>
              <c:idx val="6"/>
              <c:layout>
                <c:manualLayout>
                  <c:xMode val="edge"/>
                  <c:yMode val="edge"/>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31-448E-BB11-1CECA37DFFC1}"/>
                </c:ext>
              </c:extLst>
            </c:dLbl>
            <c:spPr>
              <a:solidFill>
                <a:srgbClr val="FFFFFF"/>
              </a:solidFill>
              <a:ln w="25400">
                <a:noFill/>
              </a:ln>
            </c:spPr>
            <c:txPr>
              <a:bodyPr rot="-5400000" vert="horz"/>
              <a:lstStyle/>
              <a:p>
                <a:pPr algn="ct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data!$A$3:$A$8</c:f>
              <c:strCache>
                <c:ptCount val="6"/>
                <c:pt idx="0">
                  <c:v>Общо разходи</c:v>
                </c:pt>
                <c:pt idx="1">
                  <c:v>Текущи нелихв. разходи</c:v>
                </c:pt>
                <c:pt idx="2">
                  <c:v>Предост. тек.
и капит. трансф. за чужбина</c:v>
                </c:pt>
                <c:pt idx="3">
                  <c:v>Капиталови разходи*</c:v>
                </c:pt>
                <c:pt idx="4">
                  <c:v>Лихви</c:v>
                </c:pt>
                <c:pt idx="5">
                  <c:v>Вноска в бюджета на  ЕС</c:v>
                </c:pt>
              </c:strCache>
            </c:strRef>
          </c:cat>
          <c:val>
            <c:numRef>
              <c:f>data!$B$3:$B$8</c:f>
              <c:numCache>
                <c:formatCode>#,##0.0</c:formatCode>
                <c:ptCount val="6"/>
                <c:pt idx="0">
                  <c:v>79378.775003999981</c:v>
                </c:pt>
                <c:pt idx="1">
                  <c:v>68726.598249999995</c:v>
                </c:pt>
                <c:pt idx="2">
                  <c:v>48.63455299999999</c:v>
                </c:pt>
                <c:pt idx="3">
                  <c:v>8002.4105209999989</c:v>
                </c:pt>
                <c:pt idx="4">
                  <c:v>1008.983071</c:v>
                </c:pt>
                <c:pt idx="5">
                  <c:v>1592.1486089999999</c:v>
                </c:pt>
              </c:numCache>
            </c:numRef>
          </c:val>
          <c:extLst>
            <c:ext xmlns:c16="http://schemas.microsoft.com/office/drawing/2014/chart" uri="{C3380CC4-5D6E-409C-BE32-E72D297353CC}">
              <c16:uniqueId val="{00000007-4831-448E-BB11-1CECA37DFFC1}"/>
            </c:ext>
          </c:extLst>
        </c:ser>
        <c:ser>
          <c:idx val="1"/>
          <c:order val="1"/>
          <c:tx>
            <c:strRef>
              <c:f>data!$C$1</c:f>
              <c:strCache>
                <c:ptCount val="1"/>
                <c:pt idx="0">
                  <c:v>декември 2025 г.</c:v>
                </c:pt>
              </c:strCache>
            </c:strRef>
          </c:tx>
          <c:spPr>
            <a:pattFill prst="pct80">
              <a:fgClr>
                <a:srgbClr val="C0C0C0"/>
              </a:fgClr>
              <a:bgClr>
                <a:sysClr val="windowText" lastClr="000000">
                  <a:lumMod val="65000"/>
                  <a:lumOff val="35000"/>
                </a:sysClr>
              </a:bgClr>
            </a:pattFill>
            <a:ln w="12700">
              <a:solidFill>
                <a:srgbClr val="000000"/>
              </a:solidFill>
              <a:prstDash val="solid"/>
            </a:ln>
          </c:spPr>
          <c:invertIfNegative val="0"/>
          <c:dLbls>
            <c:dLbl>
              <c:idx val="0"/>
              <c:layout>
                <c:manualLayout>
                  <c:x val="9.3784974991333626E-3"/>
                  <c:y val="0.1770141523007298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4831-448E-BB11-1CECA37DFFC1}"/>
                </c:ext>
              </c:extLst>
            </c:dLbl>
            <c:dLbl>
              <c:idx val="1"/>
              <c:layout>
                <c:manualLayout>
                  <c:x val="9.8586969081694981E-3"/>
                  <c:y val="0.1757267550858468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4831-448E-BB11-1CECA37DFFC1}"/>
                </c:ext>
              </c:extLst>
            </c:dLbl>
            <c:dLbl>
              <c:idx val="2"/>
              <c:layout>
                <c:manualLayout>
                  <c:x val="1.3761646981627297E-2"/>
                  <c:y val="-2.78503090339514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4831-448E-BB11-1CECA37DFFC1}"/>
                </c:ext>
              </c:extLst>
            </c:dLbl>
            <c:dLbl>
              <c:idx val="3"/>
              <c:layout>
                <c:manualLayout>
                  <c:x val="1.1285428944023429E-2"/>
                  <c:y val="-1.83772028496437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4831-448E-BB11-1CECA37DFFC1}"/>
                </c:ext>
              </c:extLst>
            </c:dLbl>
            <c:dLbl>
              <c:idx val="4"/>
              <c:layout>
                <c:manualLayout>
                  <c:x val="2.7460301837270402E-2"/>
                  <c:y val="-4.79061891457121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4831-448E-BB11-1CECA37DFFC1}"/>
                </c:ext>
              </c:extLst>
            </c:dLbl>
            <c:dLbl>
              <c:idx val="5"/>
              <c:layout>
                <c:manualLayout>
                  <c:x val="3.0156260750382247E-2"/>
                  <c:y val="-2.8191126375121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4831-448E-BB11-1CECA37DFFC1}"/>
                </c:ext>
              </c:extLst>
            </c:dLbl>
            <c:dLbl>
              <c:idx val="6"/>
              <c:layout>
                <c:manualLayout>
                  <c:xMode val="edge"/>
                  <c:yMode val="edge"/>
                  <c:x val="0.9300813008130081"/>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831-448E-BB11-1CECA37DFFC1}"/>
                </c:ext>
              </c:extLst>
            </c:dLbl>
            <c:spPr>
              <a:solidFill>
                <a:srgbClr val="FFFFFF"/>
              </a:solidFill>
              <a:ln w="25400">
                <a:noFill/>
              </a:ln>
            </c:spPr>
            <c:txPr>
              <a:bodyPr rot="-5400000" vert="horz"/>
              <a:lstStyle/>
              <a:p>
                <a:pPr algn="ct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data!$A$3:$A$8</c:f>
              <c:strCache>
                <c:ptCount val="6"/>
                <c:pt idx="0">
                  <c:v>Общо разходи</c:v>
                </c:pt>
                <c:pt idx="1">
                  <c:v>Текущи нелихв. разходи</c:v>
                </c:pt>
                <c:pt idx="2">
                  <c:v>Предост. тек.
и капит. трансф. за чужбина</c:v>
                </c:pt>
                <c:pt idx="3">
                  <c:v>Капиталови разходи*</c:v>
                </c:pt>
                <c:pt idx="4">
                  <c:v>Лихви</c:v>
                </c:pt>
                <c:pt idx="5">
                  <c:v>Вноска в бюджета на  ЕС</c:v>
                </c:pt>
              </c:strCache>
            </c:strRef>
          </c:cat>
          <c:val>
            <c:numRef>
              <c:f>data!$C$3:$C$8</c:f>
              <c:numCache>
                <c:formatCode>#,##0.0</c:formatCode>
                <c:ptCount val="6"/>
                <c:pt idx="0">
                  <c:v>92914.497864999998</c:v>
                </c:pt>
                <c:pt idx="1">
                  <c:v>77849.874234000003</c:v>
                </c:pt>
                <c:pt idx="2">
                  <c:v>69.912428000000006</c:v>
                </c:pt>
                <c:pt idx="3" formatCode="#,##0.0_ ;\-#,##0.0\ ">
                  <c:v>11517.036503000001</c:v>
                </c:pt>
                <c:pt idx="4">
                  <c:v>1441.6936670000002</c:v>
                </c:pt>
                <c:pt idx="5">
                  <c:v>2035.981033</c:v>
                </c:pt>
              </c:numCache>
            </c:numRef>
          </c:val>
          <c:extLst>
            <c:ext xmlns:c16="http://schemas.microsoft.com/office/drawing/2014/chart" uri="{C3380CC4-5D6E-409C-BE32-E72D297353CC}">
              <c16:uniqueId val="{0000000F-4831-448E-BB11-1CECA37DFFC1}"/>
            </c:ext>
          </c:extLst>
        </c:ser>
        <c:dLbls>
          <c:showLegendKey val="0"/>
          <c:showVal val="0"/>
          <c:showCatName val="0"/>
          <c:showSerName val="0"/>
          <c:showPercent val="0"/>
          <c:showBubbleSize val="0"/>
        </c:dLbls>
        <c:gapWidth val="150"/>
        <c:shape val="cylinder"/>
        <c:axId val="296740736"/>
        <c:axId val="296742272"/>
        <c:axId val="0"/>
      </c:bar3DChart>
      <c:catAx>
        <c:axId val="296740736"/>
        <c:scaling>
          <c:orientation val="minMax"/>
        </c:scaling>
        <c:delete val="0"/>
        <c:axPos val="b"/>
        <c:numFmt formatCode="General" sourceLinked="1"/>
        <c:majorTickMark val="out"/>
        <c:minorTickMark val="none"/>
        <c:tickLblPos val="low"/>
        <c:spPr>
          <a:ln w="9525">
            <a:noFill/>
          </a:ln>
        </c:spPr>
        <c:txPr>
          <a:bodyPr rot="0" vert="horz"/>
          <a:lstStyle/>
          <a:p>
            <a:pPr>
              <a:defRPr sz="990" b="1" i="0" u="none" strike="noStrike" baseline="2000">
                <a:solidFill>
                  <a:srgbClr val="000000"/>
                </a:solidFill>
                <a:latin typeface="Times New Roman"/>
                <a:ea typeface="Times New Roman"/>
                <a:cs typeface="Times New Roman"/>
              </a:defRPr>
            </a:pPr>
            <a:endParaRPr lang="bg-BG"/>
          </a:p>
        </c:txPr>
        <c:crossAx val="296742272"/>
        <c:crosses val="autoZero"/>
        <c:auto val="1"/>
        <c:lblAlgn val="ctr"/>
        <c:lblOffset val="100"/>
        <c:tickMarkSkip val="1"/>
        <c:noMultiLvlLbl val="0"/>
      </c:catAx>
      <c:valAx>
        <c:axId val="296742272"/>
        <c:scaling>
          <c:orientation val="minMax"/>
        </c:scaling>
        <c:delete val="0"/>
        <c:axPos val="l"/>
        <c:majorGridlines>
          <c:spPr>
            <a:ln>
              <a:solidFill>
                <a:sysClr val="window" lastClr="FFFFFF">
                  <a:lumMod val="50000"/>
                </a:sysClr>
              </a:solidFill>
            </a:ln>
          </c:spPr>
        </c:majorGridlines>
        <c:minorGridlines>
          <c:spPr>
            <a:ln>
              <a:noFill/>
            </a:ln>
          </c:spPr>
        </c:minorGridlines>
        <c:title>
          <c:tx>
            <c:rich>
              <a:bodyPr rot="0" vert="horz"/>
              <a:lstStyle/>
              <a:p>
                <a:pPr algn="ctr">
                  <a:defRPr sz="900" b="1" i="0" u="none" strike="noStrike" baseline="0">
                    <a:solidFill>
                      <a:srgbClr val="000000"/>
                    </a:solidFill>
                    <a:latin typeface="Times New Roman"/>
                    <a:ea typeface="Times New Roman"/>
                    <a:cs typeface="Times New Roman"/>
                  </a:defRPr>
                </a:pPr>
                <a:r>
                  <a:rPr lang="bg-BG"/>
                  <a:t>млн. лв.</a:t>
                </a:r>
              </a:p>
            </c:rich>
          </c:tx>
          <c:layout>
            <c:manualLayout>
              <c:xMode val="edge"/>
              <c:yMode val="edge"/>
              <c:x val="1.3654566764060167E-2"/>
              <c:y val="6.4984251968503937E-2"/>
            </c:manualLayout>
          </c:layout>
          <c:overlay val="0"/>
          <c:spPr>
            <a:noFill/>
            <a:ln w="25399">
              <a:noFill/>
            </a:ln>
          </c:spPr>
        </c:title>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bg-BG"/>
          </a:p>
        </c:txPr>
        <c:crossAx val="296740736"/>
        <c:crosses val="autoZero"/>
        <c:crossBetween val="between"/>
      </c:valAx>
      <c:spPr>
        <a:noFill/>
        <a:ln w="25399">
          <a:noFill/>
        </a:ln>
      </c:spPr>
    </c:plotArea>
    <c:legend>
      <c:legendPos val="r"/>
      <c:legendEntry>
        <c:idx val="0"/>
        <c:txPr>
          <a:bodyPr/>
          <a:lstStyle/>
          <a:p>
            <a:pPr>
              <a:defRPr sz="700" b="1" i="0" u="none" strike="noStrike" baseline="0">
                <a:solidFill>
                  <a:srgbClr val="000000"/>
                </a:solidFill>
                <a:latin typeface="Times New Roman"/>
                <a:ea typeface="Times New Roman"/>
                <a:cs typeface="Times New Roman"/>
              </a:defRPr>
            </a:pPr>
            <a:endParaRPr lang="bg-BG"/>
          </a:p>
        </c:txPr>
      </c:legendEntry>
      <c:legendEntry>
        <c:idx val="1"/>
        <c:txPr>
          <a:bodyPr/>
          <a:lstStyle/>
          <a:p>
            <a:pPr>
              <a:defRPr sz="700" b="1" i="0" u="none" strike="noStrike" baseline="0">
                <a:solidFill>
                  <a:srgbClr val="000000"/>
                </a:solidFill>
                <a:latin typeface="Times New Roman"/>
                <a:ea typeface="Times New Roman"/>
                <a:cs typeface="Times New Roman"/>
              </a:defRPr>
            </a:pPr>
            <a:endParaRPr lang="bg-BG"/>
          </a:p>
        </c:txPr>
      </c:legendEntry>
      <c:layout>
        <c:manualLayout>
          <c:xMode val="edge"/>
          <c:yMode val="edge"/>
          <c:x val="6.2893081761007516E-3"/>
          <c:y val="0.91250477411253827"/>
          <c:w val="0.13829049670677956"/>
          <c:h val="8.7496437945256841E-2"/>
        </c:manualLayout>
      </c:layout>
      <c:overlay val="0"/>
      <c:spPr>
        <a:solidFill>
          <a:srgbClr val="FFFFFF"/>
        </a:solidFill>
        <a:ln w="3175">
          <a:solidFill>
            <a:srgbClr val="000000"/>
          </a:solidFill>
          <a:prstDash val="solid"/>
        </a:ln>
      </c:spPr>
      <c:txPr>
        <a:bodyPr/>
        <a:lstStyle/>
        <a:p>
          <a:pPr>
            <a:defRPr sz="70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bg-BG"/>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069391409685821E-2"/>
          <c:y val="3.8309849426716412E-2"/>
          <c:w val="0.90305106959238579"/>
          <c:h val="0.68449451055100907"/>
        </c:manualLayout>
      </c:layout>
      <c:barChart>
        <c:barDir val="col"/>
        <c:grouping val="clustered"/>
        <c:varyColors val="0"/>
        <c:ser>
          <c:idx val="0"/>
          <c:order val="0"/>
          <c:tx>
            <c:strRef>
              <c:f>Sheet1!$B$36</c:f>
              <c:strCache>
                <c:ptCount val="1"/>
                <c:pt idx="0">
                  <c:v> декември 2024 г.</c:v>
                </c:pt>
              </c:strCache>
            </c:strRef>
          </c:tx>
          <c:spPr>
            <a:pattFill prst="pct5">
              <a:fgClr>
                <a:srgbClr val="FFFFFF"/>
              </a:fgClr>
              <a:bgClr>
                <a:srgbClr val="000000"/>
              </a:bgClr>
            </a:pattFill>
            <a:ln w="12683">
              <a:solidFill>
                <a:srgbClr val="000000"/>
              </a:solidFill>
              <a:prstDash val="solid"/>
            </a:ln>
          </c:spPr>
          <c:invertIfNegative val="0"/>
          <c:dLbls>
            <c:dLbl>
              <c:idx val="1"/>
              <c:layout>
                <c:manualLayout>
                  <c:x val="2.2760896779333104E-3"/>
                  <c:y val="4.300390905533313E-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18D-4DD8-BF3D-4CC746472081}"/>
                </c:ext>
              </c:extLst>
            </c:dLbl>
            <c:dLbl>
              <c:idx val="2"/>
              <c:layout>
                <c:manualLayout>
                  <c:x val="0"/>
                  <c:y val="-4.3402777777778578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18D-4DD8-BF3D-4CC746472081}"/>
                </c:ext>
              </c:extLst>
            </c:dLbl>
            <c:dLbl>
              <c:idx val="3"/>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18D-4DD8-BF3D-4CC746472081}"/>
                </c:ext>
              </c:extLst>
            </c:dLbl>
            <c:dLbl>
              <c:idx val="5"/>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18D-4DD8-BF3D-4CC746472081}"/>
                </c:ext>
              </c:extLst>
            </c:dLbl>
            <c:numFmt formatCode="#,##0.0" sourceLinked="0"/>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Sheet1!$A$38:$A$43</c:f>
              <c:strCache>
                <c:ptCount val="6"/>
                <c:pt idx="0">
                  <c:v>Текущи нелихвени разходи</c:v>
                </c:pt>
                <c:pt idx="1">
                  <c:v>Предост. тек. и кап. трансф.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Sheet1!$B$38:$B$43</c:f>
              <c:numCache>
                <c:formatCode>#,##0.0</c:formatCode>
                <c:ptCount val="6"/>
                <c:pt idx="0">
                  <c:v>17678.989874000003</c:v>
                </c:pt>
                <c:pt idx="1">
                  <c:v>28.497714000000002</c:v>
                </c:pt>
                <c:pt idx="2">
                  <c:v>2865.2639829999998</c:v>
                </c:pt>
                <c:pt idx="3">
                  <c:v>953.3617119999999</c:v>
                </c:pt>
                <c:pt idx="4">
                  <c:v>28049.522821000002</c:v>
                </c:pt>
                <c:pt idx="5">
                  <c:v>1592.1486089999999</c:v>
                </c:pt>
              </c:numCache>
            </c:numRef>
          </c:val>
          <c:extLst>
            <c:ext xmlns:c16="http://schemas.microsoft.com/office/drawing/2014/chart" uri="{C3380CC4-5D6E-409C-BE32-E72D297353CC}">
              <c16:uniqueId val="{00000004-518D-4DD8-BF3D-4CC746472081}"/>
            </c:ext>
          </c:extLst>
        </c:ser>
        <c:ser>
          <c:idx val="1"/>
          <c:order val="1"/>
          <c:tx>
            <c:strRef>
              <c:f>Sheet1!$C$36</c:f>
              <c:strCache>
                <c:ptCount val="1"/>
                <c:pt idx="0">
                  <c:v> декември 2025 г.</c:v>
                </c:pt>
              </c:strCache>
            </c:strRef>
          </c:tx>
          <c:spPr>
            <a:pattFill prst="smConfetti">
              <a:fgClr>
                <a:srgbClr val="333333"/>
              </a:fgClr>
              <a:bgClr>
                <a:srgbClr val="FFFFFF"/>
              </a:bgClr>
            </a:pattFill>
            <a:ln w="12683">
              <a:solidFill>
                <a:srgbClr val="000000"/>
              </a:solidFill>
              <a:prstDash val="solid"/>
            </a:ln>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518D-4DD8-BF3D-4CC746472081}"/>
                </c:ext>
              </c:extLst>
            </c:dLbl>
            <c:dLbl>
              <c:idx val="1"/>
              <c:layout>
                <c:manualLayout>
                  <c:x val="-1.3777787060437307E-3"/>
                  <c:y val="-2.245839959660220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518D-4DD8-BF3D-4CC746472081}"/>
                </c:ext>
              </c:extLst>
            </c:dLbl>
            <c:dLbl>
              <c:idx val="2"/>
              <c:layout>
                <c:manualLayout>
                  <c:x val="2.2504468494836203E-3"/>
                  <c:y val="-1.160118657042869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518D-4DD8-BF3D-4CC746472081}"/>
                </c:ext>
              </c:extLst>
            </c:dLbl>
            <c:dLbl>
              <c:idx val="3"/>
              <c:layout>
                <c:manualLayout>
                  <c:x val="4.7141342909059365E-3"/>
                  <c:y val="-1.2333300109638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518D-4DD8-BF3D-4CC746472081}"/>
                </c:ext>
              </c:extLst>
            </c:dLbl>
            <c:dLbl>
              <c:idx val="4"/>
              <c:layout>
                <c:manualLayout>
                  <c:x val="-1.9916680780216536E-3"/>
                  <c:y val="0.1934586753935932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518D-4DD8-BF3D-4CC746472081}"/>
                </c:ext>
              </c:extLst>
            </c:dLbl>
            <c:dLbl>
              <c:idx val="5"/>
              <c:layout>
                <c:manualLayout>
                  <c:x val="1.9210939978656521E-3"/>
                  <c:y val="5.694873583840072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518D-4DD8-BF3D-4CC746472081}"/>
                </c:ext>
              </c:extLst>
            </c:dLbl>
            <c:numFmt formatCode="#,##0.0" sourceLinked="0"/>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Sheet1!$A$38:$A$43</c:f>
              <c:strCache>
                <c:ptCount val="6"/>
                <c:pt idx="0">
                  <c:v>Текущи нелихвени разходи</c:v>
                </c:pt>
                <c:pt idx="1">
                  <c:v>Предост. тек. и кап. трансф.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Sheet1!$C$38:$C$43</c:f>
              <c:numCache>
                <c:formatCode>0.0</c:formatCode>
                <c:ptCount val="6"/>
                <c:pt idx="0" formatCode="#,##0.0">
                  <c:v>20247.850526000002</c:v>
                </c:pt>
                <c:pt idx="1">
                  <c:v>28.893439000000001</c:v>
                </c:pt>
                <c:pt idx="2">
                  <c:v>3647.7736249999998</c:v>
                </c:pt>
                <c:pt idx="3">
                  <c:v>1386.5386850000002</c:v>
                </c:pt>
                <c:pt idx="4" formatCode="#,##0.0">
                  <c:v>30197.539057999998</c:v>
                </c:pt>
                <c:pt idx="5">
                  <c:v>2035.981033</c:v>
                </c:pt>
              </c:numCache>
            </c:numRef>
          </c:val>
          <c:extLst>
            <c:ext xmlns:c16="http://schemas.microsoft.com/office/drawing/2014/chart" uri="{C3380CC4-5D6E-409C-BE32-E72D297353CC}">
              <c16:uniqueId val="{0000000B-518D-4DD8-BF3D-4CC746472081}"/>
            </c:ext>
          </c:extLst>
        </c:ser>
        <c:dLbls>
          <c:showLegendKey val="0"/>
          <c:showVal val="0"/>
          <c:showCatName val="0"/>
          <c:showSerName val="0"/>
          <c:showPercent val="0"/>
          <c:showBubbleSize val="0"/>
        </c:dLbls>
        <c:gapWidth val="150"/>
        <c:axId val="296164736"/>
        <c:axId val="298779776"/>
      </c:barChart>
      <c:catAx>
        <c:axId val="296164736"/>
        <c:scaling>
          <c:orientation val="minMax"/>
        </c:scaling>
        <c:delete val="0"/>
        <c:axPos val="b"/>
        <c:numFmt formatCode="General" sourceLinked="1"/>
        <c:majorTickMark val="out"/>
        <c:minorTickMark val="none"/>
        <c:tickLblPos val="nextTo"/>
        <c:spPr>
          <a:ln w="9512">
            <a:noFill/>
          </a:ln>
        </c:spPr>
        <c:txPr>
          <a:bodyPr rot="0" vert="horz"/>
          <a:lstStyle/>
          <a:p>
            <a:pPr>
              <a:defRPr sz="970" b="1" i="0" u="none" strike="noStrike" baseline="2000">
                <a:solidFill>
                  <a:srgbClr val="000000"/>
                </a:solidFill>
                <a:latin typeface="Times New Roman"/>
                <a:ea typeface="Times New Roman"/>
                <a:cs typeface="Times New Roman"/>
              </a:defRPr>
            </a:pPr>
            <a:endParaRPr lang="bg-BG"/>
          </a:p>
        </c:txPr>
        <c:crossAx val="298779776"/>
        <c:crosses val="autoZero"/>
        <c:auto val="1"/>
        <c:lblAlgn val="ctr"/>
        <c:lblOffset val="100"/>
        <c:tickLblSkip val="1"/>
        <c:tickMarkSkip val="1"/>
        <c:noMultiLvlLbl val="0"/>
      </c:catAx>
      <c:valAx>
        <c:axId val="298779776"/>
        <c:scaling>
          <c:orientation val="minMax"/>
        </c:scaling>
        <c:delete val="0"/>
        <c:axPos val="l"/>
        <c:majorGridlines>
          <c:spPr>
            <a:ln w="3171">
              <a:solidFill>
                <a:srgbClr val="000000"/>
              </a:solidFill>
              <a:prstDash val="solid"/>
            </a:ln>
          </c:spPr>
        </c:majorGridlines>
        <c:title>
          <c:tx>
            <c:rich>
              <a:bodyPr rot="0" vert="horz"/>
              <a:lstStyle/>
              <a:p>
                <a:pPr algn="ctr">
                  <a:defRPr sz="899" b="0" i="0" u="none" strike="noStrike" baseline="0">
                    <a:solidFill>
                      <a:srgbClr val="000000"/>
                    </a:solidFill>
                    <a:latin typeface="Times New Roman"/>
                    <a:ea typeface="Times New Roman"/>
                    <a:cs typeface="Times New Roman"/>
                  </a:defRPr>
                </a:pPr>
                <a:r>
                  <a:rPr lang="bg-BG"/>
                  <a:t>(млн. лв.)</a:t>
                </a:r>
              </a:p>
            </c:rich>
          </c:tx>
          <c:layout>
            <c:manualLayout>
              <c:xMode val="edge"/>
              <c:yMode val="edge"/>
              <c:x val="9.3198691529022576E-4"/>
              <c:y val="0.93341453652604278"/>
            </c:manualLayout>
          </c:layout>
          <c:overlay val="0"/>
          <c:spPr>
            <a:noFill/>
            <a:ln w="25367">
              <a:noFill/>
            </a:ln>
          </c:spPr>
        </c:title>
        <c:numFmt formatCode="#\ ##0" sourceLinked="0"/>
        <c:majorTickMark val="out"/>
        <c:minorTickMark val="none"/>
        <c:tickLblPos val="nextTo"/>
        <c:spPr>
          <a:ln w="3171">
            <a:solidFill>
              <a:srgbClr val="000000"/>
            </a:solidFill>
            <a:prstDash val="solid"/>
          </a:ln>
        </c:spPr>
        <c:txPr>
          <a:bodyPr rot="0" vert="horz"/>
          <a:lstStyle/>
          <a:p>
            <a:pPr>
              <a:defRPr sz="899" b="0" i="0" u="none" strike="noStrike" baseline="0">
                <a:solidFill>
                  <a:srgbClr val="000000"/>
                </a:solidFill>
                <a:latin typeface="Times New Roman"/>
                <a:ea typeface="Times New Roman"/>
                <a:cs typeface="Times New Roman"/>
              </a:defRPr>
            </a:pPr>
            <a:endParaRPr lang="bg-BG"/>
          </a:p>
        </c:txPr>
        <c:crossAx val="296164736"/>
        <c:crosses val="autoZero"/>
        <c:crossBetween val="between"/>
      </c:valAx>
      <c:spPr>
        <a:solidFill>
          <a:srgbClr val="FFFFFF"/>
        </a:solidFill>
        <a:ln w="6350">
          <a:solidFill>
            <a:sysClr val="window" lastClr="FFFFFF">
              <a:lumMod val="85000"/>
            </a:sysClr>
          </a:solidFill>
          <a:prstDash val="solid"/>
        </a:ln>
      </c:spPr>
    </c:plotArea>
    <c:legend>
      <c:legendPos val="r"/>
      <c:legendEntry>
        <c:idx val="0"/>
        <c:txPr>
          <a:bodyPr/>
          <a:lstStyle/>
          <a:p>
            <a:pPr>
              <a:defRPr sz="780" b="1" i="0" u="none" strike="noStrike" baseline="0">
                <a:solidFill>
                  <a:srgbClr val="000000"/>
                </a:solidFill>
                <a:latin typeface="Times New Roman"/>
                <a:ea typeface="Times New Roman"/>
                <a:cs typeface="Times New Roman"/>
              </a:defRPr>
            </a:pPr>
            <a:endParaRPr lang="bg-BG"/>
          </a:p>
        </c:txPr>
      </c:legendEntry>
      <c:legendEntry>
        <c:idx val="1"/>
        <c:txPr>
          <a:bodyPr/>
          <a:lstStyle/>
          <a:p>
            <a:pPr>
              <a:defRPr sz="780" b="1" i="0" u="none" strike="noStrike" baseline="0">
                <a:solidFill>
                  <a:srgbClr val="000000"/>
                </a:solidFill>
                <a:latin typeface="Times New Roman"/>
                <a:ea typeface="Times New Roman"/>
                <a:cs typeface="Times New Roman"/>
              </a:defRPr>
            </a:pPr>
            <a:endParaRPr lang="bg-BG"/>
          </a:p>
        </c:txPr>
      </c:legendEntry>
      <c:layout>
        <c:manualLayout>
          <c:xMode val="edge"/>
          <c:yMode val="edge"/>
          <c:x val="0.38042784974458832"/>
          <c:y val="0.91659665892376085"/>
          <c:w val="0.27736291028137611"/>
          <c:h val="8.2830786585230104E-2"/>
        </c:manualLayout>
      </c:layout>
      <c:overlay val="0"/>
      <c:spPr>
        <a:solidFill>
          <a:srgbClr val="FFFFFF"/>
        </a:solidFill>
        <a:ln w="3171">
          <a:solidFill>
            <a:sysClr val="window" lastClr="FFFFFF">
              <a:lumMod val="85000"/>
            </a:sysClr>
          </a:solidFill>
          <a:prstDash val="solid"/>
        </a:ln>
      </c:spPr>
      <c:txPr>
        <a:bodyPr/>
        <a:lstStyle/>
        <a:p>
          <a:pPr>
            <a:defRPr sz="78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1">
      <a:solidFill>
        <a:srgbClr val="000000"/>
      </a:solidFill>
      <a:prstDash val="solid"/>
    </a:ln>
  </c:spPr>
  <c:txPr>
    <a:bodyPr/>
    <a:lstStyle/>
    <a:p>
      <a:pPr>
        <a:defRPr sz="1124" b="0" i="0" u="none" strike="noStrike" baseline="0">
          <a:solidFill>
            <a:srgbClr val="000000"/>
          </a:solidFill>
          <a:latin typeface="Arial"/>
          <a:ea typeface="Arial"/>
          <a:cs typeface="Arial"/>
        </a:defRPr>
      </a:pPr>
      <a:endParaRPr lang="bg-BG"/>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0.50767</cdr:x>
      <cdr:y>0.50124</cdr:y>
    </cdr:from>
    <cdr:to>
      <cdr:x>0.52046</cdr:x>
      <cdr:y>0.56116</cdr:y>
    </cdr:to>
    <cdr:sp macro="" textlink="">
      <cdr:nvSpPr>
        <cdr:cNvPr id="3073" name="Text Box 1"/>
        <cdr:cNvSpPr txBox="1">
          <a:spLocks xmlns:a="http://schemas.openxmlformats.org/drawingml/2006/main" noChangeArrowheads="1"/>
        </cdr:cNvSpPr>
      </cdr:nvSpPr>
      <cdr:spPr bwMode="auto">
        <a:xfrm xmlns:a="http://schemas.openxmlformats.org/drawingml/2006/main">
          <a:off x="3536779" y="1408614"/>
          <a:ext cx="94821"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bg-BG" sz="1125" b="0" i="0" u="none" strike="noStrike" baseline="0">
              <a:solidFill>
                <a:srgbClr val="000000"/>
              </a:solidFill>
              <a:latin typeface="Arial"/>
              <a:cs typeface="Arial"/>
            </a:rPr>
            <a:t> </a:t>
          </a:r>
        </a:p>
      </cdr:txBody>
    </cdr:sp>
  </cdr:relSizeAnchor>
  <cdr:relSizeAnchor xmlns:cdr="http://schemas.openxmlformats.org/drawingml/2006/chartDrawing">
    <cdr:from>
      <cdr:x>0.50767</cdr:x>
      <cdr:y>0.50124</cdr:y>
    </cdr:from>
    <cdr:to>
      <cdr:x>0.61477</cdr:x>
      <cdr:y>0.56116</cdr:y>
    </cdr:to>
    <cdr:sp macro="" textlink="">
      <cdr:nvSpPr>
        <cdr:cNvPr id="3074" name="Text Box 2"/>
        <cdr:cNvSpPr txBox="1">
          <a:spLocks xmlns:a="http://schemas.openxmlformats.org/drawingml/2006/main" noChangeArrowheads="1"/>
        </cdr:cNvSpPr>
      </cdr:nvSpPr>
      <cdr:spPr bwMode="auto">
        <a:xfrm xmlns:a="http://schemas.openxmlformats.org/drawingml/2006/main">
          <a:off x="3536779" y="1408614"/>
          <a:ext cx="751674"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46221-1F05-45BD-B6C6-D8CF8AFF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29</Pages>
  <Words>16014</Words>
  <Characters>83059</Characters>
  <Application>Microsoft Office Word</Application>
  <DocSecurity>0</DocSecurity>
  <Lines>692</Lines>
  <Paragraphs>197</Paragraphs>
  <ScaleCrop>false</ScaleCrop>
  <HeadingPairs>
    <vt:vector size="2" baseType="variant">
      <vt:variant>
        <vt:lpstr>Title</vt:lpstr>
      </vt:variant>
      <vt:variant>
        <vt:i4>1</vt:i4>
      </vt:variant>
    </vt:vector>
  </HeadingPairs>
  <TitlesOfParts>
    <vt:vector size="1" baseType="lpstr">
      <vt:lpstr>М И Н И С Т Е Р С Т В О   Н А   Ф И Н А Н С И Т Е</vt:lpstr>
    </vt:vector>
  </TitlesOfParts>
  <Company>MoF</Company>
  <LinksUpToDate>false</LinksUpToDate>
  <CharactersWithSpaces>98876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Ф И Н А Н С И Т Е</dc:title>
  <dc:creator>Любомир Малчев</dc:creator>
  <cp:lastModifiedBy>Любомир Малчев</cp:lastModifiedBy>
  <cp:revision>121</cp:revision>
  <cp:lastPrinted>2026-02-13T10:25:00Z</cp:lastPrinted>
  <dcterms:created xsi:type="dcterms:W3CDTF">2026-02-05T09:21:00Z</dcterms:created>
  <dcterms:modified xsi:type="dcterms:W3CDTF">2026-02-13T16:15:00Z</dcterms:modified>
</cp:coreProperties>
</file>