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FAAC" w14:textId="114FC575" w:rsidR="00063E15" w:rsidRPr="003E6923" w:rsidRDefault="00B14BE9" w:rsidP="008314D1">
      <w:pPr>
        <w:pStyle w:val="Title"/>
        <w:pBdr>
          <w:bottom w:val="double" w:sz="6" w:space="0" w:color="auto"/>
        </w:pBdr>
      </w:pPr>
      <w:r w:rsidRPr="003E6923">
        <w:rPr>
          <w:lang w:val="ru-RU"/>
        </w:rPr>
        <w:t xml:space="preserve"> </w:t>
      </w:r>
      <w:r w:rsidR="00063E15" w:rsidRPr="003E6923">
        <w:t>М И Н И С Т Е Р С Т В О   Н А   Ф И Н А Н С И Т Е</w:t>
      </w:r>
    </w:p>
    <w:p w14:paraId="342459D3" w14:textId="77777777" w:rsidR="005F7245" w:rsidRPr="003E6923" w:rsidRDefault="005F7245" w:rsidP="00063E15">
      <w:pPr>
        <w:rPr>
          <w:sz w:val="16"/>
          <w:szCs w:val="16"/>
        </w:rPr>
      </w:pPr>
    </w:p>
    <w:p w14:paraId="7196B61C" w14:textId="77777777" w:rsidR="0019151C" w:rsidRPr="003E6923" w:rsidRDefault="0019151C" w:rsidP="0019151C"/>
    <w:p w14:paraId="3DD554CC" w14:textId="77777777" w:rsidR="00E10331" w:rsidRPr="003E6923" w:rsidRDefault="00E10331" w:rsidP="0019151C"/>
    <w:p w14:paraId="3C22DD11" w14:textId="77777777" w:rsidR="00E9260C" w:rsidRPr="003E6923" w:rsidRDefault="00E9260C" w:rsidP="009B536C">
      <w:pPr>
        <w:pStyle w:val="Heading1"/>
        <w:rPr>
          <w:sz w:val="24"/>
        </w:rPr>
      </w:pPr>
      <w:r w:rsidRPr="003E6923">
        <w:rPr>
          <w:sz w:val="24"/>
        </w:rPr>
        <w:t>ИНФОРМАЦИЯ</w:t>
      </w:r>
    </w:p>
    <w:p w14:paraId="2087AF8B" w14:textId="77777777" w:rsidR="00E9260C" w:rsidRPr="003E6923" w:rsidRDefault="00E9260C" w:rsidP="009B536C">
      <w:pPr>
        <w:jc w:val="center"/>
        <w:rPr>
          <w:b/>
          <w:bCs/>
        </w:rPr>
      </w:pPr>
      <w:r w:rsidRPr="003E6923">
        <w:rPr>
          <w:b/>
          <w:bCs/>
        </w:rPr>
        <w:t xml:space="preserve">ЗА </w:t>
      </w:r>
      <w:r w:rsidR="004E7BF8" w:rsidRPr="003E6923">
        <w:rPr>
          <w:b/>
          <w:bCs/>
        </w:rPr>
        <w:t xml:space="preserve">КАСОВОТО </w:t>
      </w:r>
      <w:r w:rsidRPr="003E6923">
        <w:rPr>
          <w:b/>
          <w:bCs/>
        </w:rPr>
        <w:t xml:space="preserve">ИЗПЪЛНЕНИЕ НА </w:t>
      </w:r>
      <w:r w:rsidR="004E7BF8" w:rsidRPr="003E6923">
        <w:rPr>
          <w:b/>
          <w:bCs/>
        </w:rPr>
        <w:t>ДЪРЖАВНИЯ</w:t>
      </w:r>
      <w:r w:rsidRPr="003E6923">
        <w:rPr>
          <w:b/>
          <w:bCs/>
        </w:rPr>
        <w:t xml:space="preserve"> БЮДЖЕТ</w:t>
      </w:r>
      <w:r w:rsidR="004E7BF8" w:rsidRPr="003E6923">
        <w:rPr>
          <w:b/>
          <w:bCs/>
        </w:rPr>
        <w:t xml:space="preserve"> И НА ОСНОВНИТЕ ПОКАЗАТЕЛИ НА КОНСОЛИДИРАНАТА ФИСКАЛНА ПРОГРАМА </w:t>
      </w:r>
    </w:p>
    <w:p w14:paraId="10661D39" w14:textId="6F93E981" w:rsidR="003F47AB" w:rsidRPr="003E6923" w:rsidRDefault="003F47AB" w:rsidP="003F47AB">
      <w:pPr>
        <w:jc w:val="center"/>
        <w:rPr>
          <w:b/>
          <w:bCs/>
        </w:rPr>
      </w:pPr>
      <w:r w:rsidRPr="003E6923">
        <w:rPr>
          <w:b/>
          <w:bCs/>
        </w:rPr>
        <w:t xml:space="preserve">ЗА </w:t>
      </w:r>
      <w:r w:rsidR="003E6923" w:rsidRPr="003E6923">
        <w:rPr>
          <w:b/>
          <w:bCs/>
        </w:rPr>
        <w:t xml:space="preserve">ДЕВЕТМЕСЕЧИЕТО </w:t>
      </w:r>
      <w:r w:rsidRPr="003E6923">
        <w:rPr>
          <w:b/>
          <w:bCs/>
        </w:rPr>
        <w:t>НА 20</w:t>
      </w:r>
      <w:r w:rsidR="006D5D56" w:rsidRPr="003E6923">
        <w:rPr>
          <w:b/>
          <w:bCs/>
        </w:rPr>
        <w:t>2</w:t>
      </w:r>
      <w:r w:rsidR="008D7032" w:rsidRPr="003E6923">
        <w:rPr>
          <w:b/>
          <w:bCs/>
          <w:lang w:val="ru-RU"/>
        </w:rPr>
        <w:t>5</w:t>
      </w:r>
      <w:r w:rsidRPr="003E6923">
        <w:rPr>
          <w:b/>
          <w:bCs/>
        </w:rPr>
        <w:t xml:space="preserve"> ГОДИНА</w:t>
      </w:r>
    </w:p>
    <w:p w14:paraId="387BD040" w14:textId="77777777" w:rsidR="00430A35" w:rsidRPr="002807FE" w:rsidRDefault="00430A35" w:rsidP="003A06C5">
      <w:pPr>
        <w:rPr>
          <w:b/>
          <w:bCs/>
          <w:color w:val="0070C0"/>
        </w:rPr>
      </w:pPr>
    </w:p>
    <w:p w14:paraId="00F0F81A" w14:textId="77777777" w:rsidR="00E10331" w:rsidRPr="002807FE" w:rsidRDefault="00E10331" w:rsidP="003A06C5">
      <w:pPr>
        <w:rPr>
          <w:b/>
          <w:bCs/>
          <w:color w:val="0070C0"/>
        </w:rPr>
      </w:pPr>
    </w:p>
    <w:p w14:paraId="376AB08C" w14:textId="77777777" w:rsidR="00E10331" w:rsidRPr="002807FE" w:rsidRDefault="00E10331" w:rsidP="003A06C5">
      <w:pPr>
        <w:rPr>
          <w:b/>
          <w:bCs/>
          <w:color w:val="0070C0"/>
        </w:rPr>
      </w:pPr>
    </w:p>
    <w:p w14:paraId="69245D7B" w14:textId="557CA463" w:rsidR="00D70DED" w:rsidRPr="00D70DED" w:rsidRDefault="00D70DED" w:rsidP="00D70DED">
      <w:pPr>
        <w:keepNext/>
        <w:spacing w:before="40"/>
        <w:jc w:val="both"/>
        <w:rPr>
          <w:b/>
          <w:bCs/>
          <w:u w:val="single"/>
        </w:rPr>
      </w:pPr>
      <w:bookmarkStart w:id="0" w:name="_Toc109903428"/>
      <w:r w:rsidRPr="00D70DED">
        <w:rPr>
          <w:b/>
          <w:bCs/>
          <w:u w:val="single"/>
        </w:rPr>
        <w:t>Развитие на икономическата среда</w:t>
      </w:r>
      <w:bookmarkEnd w:id="0"/>
    </w:p>
    <w:p w14:paraId="65CB37AC" w14:textId="619B3123" w:rsidR="00D70DED" w:rsidRDefault="00D70DED" w:rsidP="00585EBF">
      <w:pPr>
        <w:spacing w:before="120" w:after="120"/>
        <w:jc w:val="both"/>
        <w:rPr>
          <w:sz w:val="22"/>
          <w:szCs w:val="22"/>
        </w:rPr>
      </w:pPr>
      <w:r>
        <w:t>Растежът на брутния вътрешен продукт достигна 3,2</w:t>
      </w:r>
      <w:r w:rsidRPr="00D94DB2">
        <w:rPr>
          <w:lang w:val="ru-RU"/>
        </w:rPr>
        <w:t xml:space="preserve"> </w:t>
      </w:r>
      <w:r>
        <w:t>% за първото полугодие на 2025</w:t>
      </w:r>
      <w:r>
        <w:rPr>
          <w:lang w:val="en-US"/>
        </w:rPr>
        <w:t> </w:t>
      </w:r>
      <w:r>
        <w:t>г., и бе движен от вътрешното търсене. Потреблението на домакинствата се повиши с 8,0</w:t>
      </w:r>
      <w:r w:rsidRPr="00D94DB2">
        <w:rPr>
          <w:lang w:val="ru-RU"/>
        </w:rPr>
        <w:t xml:space="preserve"> </w:t>
      </w:r>
      <w:r>
        <w:t>% на годишна база подкрепено от реалното нарастване на доходите. При публичното потребление бе отчетено нарастване от 10,4</w:t>
      </w:r>
      <w:r w:rsidRPr="00D94DB2">
        <w:rPr>
          <w:lang w:val="ru-RU"/>
        </w:rPr>
        <w:t xml:space="preserve"> </w:t>
      </w:r>
      <w:r>
        <w:t>%.  Инвестициите в основен капитал се увеличиха с 10,2</w:t>
      </w:r>
      <w:r w:rsidRPr="00D94DB2">
        <w:rPr>
          <w:lang w:val="ru-RU"/>
        </w:rPr>
        <w:t xml:space="preserve"> </w:t>
      </w:r>
      <w:r>
        <w:t>%. Същевременно, изменението на запасите имаше отрицателен принос към растежа на БВП. Износът на стоки и услуги спадна с 4,2</w:t>
      </w:r>
      <w:r w:rsidRPr="00D94DB2">
        <w:rPr>
          <w:lang w:val="ru-RU"/>
        </w:rPr>
        <w:t xml:space="preserve"> </w:t>
      </w:r>
      <w:r>
        <w:t>% на годишна база, докато вносът се повиши с 3,3</w:t>
      </w:r>
      <w:r w:rsidRPr="00D94DB2">
        <w:rPr>
          <w:lang w:val="ru-RU"/>
        </w:rPr>
        <w:t xml:space="preserve"> </w:t>
      </w:r>
      <w:r>
        <w:t>%. В следствие, нетният износ имаше отрица</w:t>
      </w:r>
      <w:r w:rsidR="00B006A8">
        <w:t>телен принос към растежа на БВП.</w:t>
      </w:r>
    </w:p>
    <w:p w14:paraId="4023C1B0" w14:textId="6CA7FA02" w:rsidR="00D70DED" w:rsidRDefault="00D70DED" w:rsidP="00D70DED">
      <w:pPr>
        <w:spacing w:after="120"/>
        <w:jc w:val="both"/>
      </w:pPr>
      <w:r>
        <w:t>Брутната добавена стойност нарасна с 2,6</w:t>
      </w:r>
      <w:r w:rsidRPr="00D94DB2">
        <w:rPr>
          <w:lang w:val="ru-RU"/>
        </w:rPr>
        <w:t xml:space="preserve"> </w:t>
      </w:r>
      <w:r>
        <w:t xml:space="preserve">%, като бе регистриран растеж от 4,1 % при услугите, с основни положителни приноси от сектори </w:t>
      </w:r>
      <w:r>
        <w:rPr>
          <w:i/>
          <w:iCs/>
        </w:rPr>
        <w:t xml:space="preserve">създаване и разпространение на информация </w:t>
      </w:r>
      <w:r>
        <w:t xml:space="preserve">и от </w:t>
      </w:r>
      <w:r>
        <w:rPr>
          <w:i/>
          <w:iCs/>
        </w:rPr>
        <w:t xml:space="preserve">държавно управление. </w:t>
      </w:r>
      <w:r>
        <w:t xml:space="preserve">При индустрията (без строителството) имаше намаление от 3,8 % на годишна база, а в строителството </w:t>
      </w:r>
      <w:r w:rsidR="00DA1F5A">
        <w:t xml:space="preserve">- </w:t>
      </w:r>
      <w:r>
        <w:t>растеж от 8 %.</w:t>
      </w:r>
    </w:p>
    <w:p w14:paraId="36CA4E9C" w14:textId="0A7A15E7" w:rsidR="00D70DED" w:rsidRDefault="00D70DED" w:rsidP="00D70DED">
      <w:pPr>
        <w:spacing w:after="120"/>
        <w:jc w:val="both"/>
      </w:pPr>
      <w:r>
        <w:t xml:space="preserve">Развитието на краткосрочните индикатори през юли и август предполага запазване на растежа на икономиката през трето тримесечие. За периода юли-август бе отчетен растеж от 5,4 % </w:t>
      </w:r>
      <w:r w:rsidR="00C5543F">
        <w:t>на</w:t>
      </w:r>
      <w:r>
        <w:t xml:space="preserve"> оборота в търговията на дребно, сравним с този за второ тримесечие. Същевременно</w:t>
      </w:r>
      <w:r w:rsidR="00494702">
        <w:t>,</w:t>
      </w:r>
      <w:r>
        <w:t xml:space="preserve"> нарастването на строителната продукция се забави до 3,5 %, а спадът на промишленото производство се задълбочи до 9,3 %. През месец юли производството в бизнес услугите се ускори спрямо второ тримесечие.</w:t>
      </w:r>
    </w:p>
    <w:p w14:paraId="0A369011" w14:textId="5B1B34C2" w:rsidR="00D70DED" w:rsidRPr="00467A34" w:rsidRDefault="00D70DED" w:rsidP="00D70DED">
      <w:pPr>
        <w:spacing w:after="120"/>
        <w:jc w:val="both"/>
        <w:rPr>
          <w:color w:val="000000"/>
        </w:rPr>
      </w:pPr>
      <w:r w:rsidRPr="00467A34">
        <w:rPr>
          <w:color w:val="000000"/>
        </w:rPr>
        <w:t>През първата половина на 2025 г. броят на заетите в икономиката се повиши с 2 %. Растежът на заетостта се дължеше изцяло на секторите строителство (5,2 %) и услуги (4,2 %), докато заетостта в аграрния сектор и промишлеността намаля на годишна база</w:t>
      </w:r>
      <w:r>
        <w:rPr>
          <w:color w:val="000000"/>
        </w:rPr>
        <w:t>,</w:t>
      </w:r>
      <w:r w:rsidRPr="00467A34">
        <w:rPr>
          <w:color w:val="000000"/>
        </w:rPr>
        <w:t xml:space="preserve"> съответно с 3,8 </w:t>
      </w:r>
      <w:r w:rsidR="005613FE" w:rsidRPr="00467A34">
        <w:rPr>
          <w:color w:val="000000"/>
        </w:rPr>
        <w:t>%</w:t>
      </w:r>
      <w:r w:rsidR="005613FE" w:rsidRPr="00D94DB2">
        <w:rPr>
          <w:color w:val="000000"/>
          <w:lang w:val="ru-RU"/>
        </w:rPr>
        <w:t xml:space="preserve"> </w:t>
      </w:r>
      <w:r w:rsidRPr="00467A34">
        <w:rPr>
          <w:color w:val="000000"/>
        </w:rPr>
        <w:t xml:space="preserve">и 2 %. Ускоряване на годишния темп на растеж на заетите се наблюдава както при наетите на трудово и служебно правоотношение (1,5 %), </w:t>
      </w:r>
      <w:r w:rsidR="00956C35" w:rsidRPr="00956C35">
        <w:rPr>
          <w:color w:val="000000"/>
        </w:rPr>
        <w:t xml:space="preserve">така и в още по-голяма степен </w:t>
      </w:r>
      <w:r w:rsidRPr="00467A34">
        <w:rPr>
          <w:color w:val="000000"/>
        </w:rPr>
        <w:t>при самонаетите (3,4 %). Броят на заетите лица в икономиката достигна 3</w:t>
      </w:r>
      <w:r w:rsidR="001902B3">
        <w:rPr>
          <w:color w:val="000000"/>
        </w:rPr>
        <w:t xml:space="preserve"> </w:t>
      </w:r>
      <w:r w:rsidRPr="00467A34">
        <w:rPr>
          <w:color w:val="000000"/>
        </w:rPr>
        <w:t>576 хил. души за първите шест месеца на годината.</w:t>
      </w:r>
    </w:p>
    <w:p w14:paraId="6A418409" w14:textId="77777777" w:rsidR="00D70DED" w:rsidRPr="00467A34" w:rsidRDefault="00D70DED" w:rsidP="00D70DED">
      <w:pPr>
        <w:spacing w:after="120"/>
        <w:jc w:val="both"/>
        <w:rPr>
          <w:color w:val="000000"/>
        </w:rPr>
      </w:pPr>
      <w:r w:rsidRPr="00467A34">
        <w:rPr>
          <w:color w:val="000000"/>
        </w:rPr>
        <w:t xml:space="preserve">Заедно с увеличението на заетостта се наблюдава и намаление </w:t>
      </w:r>
      <w:r>
        <w:rPr>
          <w:color w:val="000000"/>
        </w:rPr>
        <w:t>на</w:t>
      </w:r>
      <w:r w:rsidRPr="00467A34">
        <w:rPr>
          <w:color w:val="000000"/>
        </w:rPr>
        <w:t xml:space="preserve"> коефициент</w:t>
      </w:r>
      <w:r>
        <w:rPr>
          <w:color w:val="000000"/>
        </w:rPr>
        <w:t>а</w:t>
      </w:r>
      <w:r w:rsidRPr="00467A34">
        <w:rPr>
          <w:color w:val="000000"/>
        </w:rPr>
        <w:t xml:space="preserve"> на безработица. Стойностите на показателя трайно се задържат под равнището от 4 % и са сред най-ниските регистрирани в историята на Наблюдението на работната сила </w:t>
      </w:r>
      <w:r w:rsidRPr="00D94DB2">
        <w:rPr>
          <w:color w:val="000000"/>
          <w:lang w:val="ru-RU"/>
        </w:rPr>
        <w:t>(</w:t>
      </w:r>
      <w:r w:rsidRPr="00467A34">
        <w:rPr>
          <w:color w:val="000000"/>
        </w:rPr>
        <w:t>НРС</w:t>
      </w:r>
      <w:r w:rsidRPr="00D94DB2">
        <w:rPr>
          <w:color w:val="000000"/>
          <w:lang w:val="ru-RU"/>
        </w:rPr>
        <w:t>)</w:t>
      </w:r>
      <w:r w:rsidRPr="00467A34">
        <w:rPr>
          <w:color w:val="000000"/>
        </w:rPr>
        <w:t>. Според данните от Наблюдението коефициентът на безработица за възрастовата група 15-64 г. средно за първата половина на 2025 г. бе 3,8 % (при 4,7 % за първата половина на 2024 г.). Данните от Агенция по заетостта за броя на регистрираните безработни също показват сходна тенденция с данните от НРС, което дава основания да се очаква, че и през летните месеци коефициентът на безработица в страната ще се движи по-ниско спрямо регистрираните стойности на показателя за 2024 г.</w:t>
      </w:r>
    </w:p>
    <w:p w14:paraId="6E733F62" w14:textId="4E95381B" w:rsidR="00D70DED" w:rsidRPr="00467A34" w:rsidRDefault="00D70DED" w:rsidP="00D70DED">
      <w:pPr>
        <w:spacing w:after="120"/>
        <w:jc w:val="both"/>
        <w:rPr>
          <w:sz w:val="22"/>
          <w:szCs w:val="22"/>
        </w:rPr>
      </w:pPr>
      <w:r w:rsidRPr="00467A34">
        <w:t xml:space="preserve">През първото полугодие на 2025 г. реалната производителност на труда нарасна с 1,1 %, а номиналният растеж на компенсацията на един нает достигна 11,1 %. Номиналният растеж на компенсацията на един нает бе движен от ръста на доходите в промишлеността (24,5 %), както и в част от услугите като операции с недвижими имоти </w:t>
      </w:r>
      <w:r w:rsidRPr="00D94DB2">
        <w:rPr>
          <w:lang w:val="ru-RU"/>
        </w:rPr>
        <w:t>(</w:t>
      </w:r>
      <w:r w:rsidRPr="00467A34">
        <w:t>17,2 %</w:t>
      </w:r>
      <w:r w:rsidRPr="00D94DB2">
        <w:rPr>
          <w:lang w:val="ru-RU"/>
        </w:rPr>
        <w:t>)</w:t>
      </w:r>
      <w:r w:rsidRPr="00467A34">
        <w:t xml:space="preserve">, финансови и застрахователни дейности </w:t>
      </w:r>
      <w:r w:rsidRPr="00D94DB2">
        <w:rPr>
          <w:lang w:val="ru-RU"/>
        </w:rPr>
        <w:t xml:space="preserve">(12,1 %) </w:t>
      </w:r>
      <w:r w:rsidRPr="00467A34">
        <w:t xml:space="preserve">и сектор държавно управление </w:t>
      </w:r>
      <w:r w:rsidRPr="00D94DB2">
        <w:rPr>
          <w:lang w:val="ru-RU"/>
        </w:rPr>
        <w:t>(</w:t>
      </w:r>
      <w:r w:rsidRPr="00467A34">
        <w:t>11,9 %</w:t>
      </w:r>
      <w:r w:rsidRPr="00D94DB2">
        <w:rPr>
          <w:lang w:val="ru-RU"/>
        </w:rPr>
        <w:t>)</w:t>
      </w:r>
      <w:r w:rsidRPr="00467A34">
        <w:t xml:space="preserve">. От съществено значение за растежа на доходите от труд в страната бяха </w:t>
      </w:r>
      <w:r>
        <w:t>увеличение</w:t>
      </w:r>
      <w:r w:rsidRPr="00467A34">
        <w:t xml:space="preserve"> на възнаграждението на служителите в бюджетните организации от началото на годината и  увеличение</w:t>
      </w:r>
      <w:r>
        <w:t>то</w:t>
      </w:r>
      <w:r w:rsidRPr="00467A34">
        <w:t xml:space="preserve"> на минималната работна заплата. За първите шест месеца на 2025 г. номиналното увеличение на средната работна заплата в страната достигна 11,6 %</w:t>
      </w:r>
      <w:r w:rsidR="008B1D39">
        <w:t>,</w:t>
      </w:r>
      <w:r w:rsidRPr="00467A34">
        <w:t xml:space="preserve"> като </w:t>
      </w:r>
      <w:r>
        <w:t>р</w:t>
      </w:r>
      <w:r w:rsidR="00BB475C">
        <w:t>ъстовет</w:t>
      </w:r>
      <w:r>
        <w:t>е</w:t>
      </w:r>
      <w:r w:rsidRPr="00467A34">
        <w:t xml:space="preserve"> на заплатите в частния и обществения сектор </w:t>
      </w:r>
      <w:r w:rsidRPr="00467A34">
        <w:lastRenderedPageBreak/>
        <w:t>бяха изравнени. Реалният растеж на средната работна заплата възлезе на 7,9</w:t>
      </w:r>
      <w:r w:rsidRPr="00467A34">
        <w:rPr>
          <w:lang w:val="en-US"/>
        </w:rPr>
        <w:t> </w:t>
      </w:r>
      <w:r w:rsidRPr="00467A34">
        <w:t>% (</w:t>
      </w:r>
      <w:proofErr w:type="spellStart"/>
      <w:r w:rsidRPr="00467A34">
        <w:t>дефлиран</w:t>
      </w:r>
      <w:proofErr w:type="spellEnd"/>
      <w:r w:rsidRPr="00467A34">
        <w:t xml:space="preserve"> с ХИПЦ).  </w:t>
      </w:r>
    </w:p>
    <w:p w14:paraId="565384F1" w14:textId="6F3B9963" w:rsidR="00D70DED" w:rsidRDefault="00D70DED" w:rsidP="00D70DED">
      <w:pPr>
        <w:spacing w:after="120"/>
        <w:jc w:val="both"/>
      </w:pPr>
      <w:r w:rsidRPr="00467A34">
        <w:t>Годишният темп на инфлация отчете известно ускорение до 4</w:t>
      </w:r>
      <w:r w:rsidR="009D1F2C">
        <w:t>,</w:t>
      </w:r>
      <w:r w:rsidRPr="00467A34">
        <w:t>1% според ХИПЦ през септември 2025 г.</w:t>
      </w:r>
      <w:r w:rsidR="004C5347">
        <w:t xml:space="preserve"> спрямо септември 2024 г.</w:t>
      </w:r>
      <w:r w:rsidRPr="00467A34">
        <w:t xml:space="preserve"> Водещ принос по основни компоненти на индекса имаха услугите, следвани от храните, като заедно формираха почти 75</w:t>
      </w:r>
      <w:r>
        <w:t xml:space="preserve"> </w:t>
      </w:r>
      <w:r w:rsidRPr="00467A34">
        <w:t>% от нарастването на общия индекс спрямо същия месец на предходната година. Факторите за това бяха преобладаващо вътрешни, в условията на силно потребление на домакинствата и повишение на разходите за труд в икономиката. Енергийните стоки също имаха слабо положителен принос, поради повишението на административните цени на електрическа и топлинна енергия през юли, което не бе компенсирано от поевтиняването на транспортните горива във връзка с низходящата тенденция при цените на суровия петрол. Базисната инфлация</w:t>
      </w:r>
      <w:r>
        <w:rPr>
          <w:rStyle w:val="FootnoteReference"/>
        </w:rPr>
        <w:footnoteReference w:id="2"/>
      </w:r>
      <w:r w:rsidRPr="00467A34">
        <w:t xml:space="preserve"> беше 3,4 % на годишна база през септември</w:t>
      </w:r>
      <w:r w:rsidRPr="00D94DB2">
        <w:rPr>
          <w:lang w:val="ru-RU"/>
        </w:rPr>
        <w:t>.</w:t>
      </w:r>
      <w:r w:rsidR="00332024">
        <w:t xml:space="preserve"> </w:t>
      </w:r>
      <w:r w:rsidR="00B1189B" w:rsidRPr="00B1189B">
        <w:t>В периода януари-август дефицитът по текущата сметка достигна 1,9 % от прогнозния БВП, спрямо излишък от 0,2 % от БВП за същия период на 2024 г. Основен принос за изменението имаше нарастването на отрицателния търговския баланс. Износът на стоки се сви с 5,2 %, воден основно от търговията със страните-членки на ЕС. При вноса бе отчетен растеж от 3,3 %, като приносът от трети страни и тези от ЕС бе почти изравнен. През първите осем месеца на годината излишъкът при търговията с услуги се увеличи с 5,8 %, като приходите от посещения на чужденци в страната нараснаха с 8,2</w:t>
      </w:r>
      <w:r w:rsidR="00F752EC">
        <w:rPr>
          <w:lang w:val="en-US"/>
        </w:rPr>
        <w:t> </w:t>
      </w:r>
      <w:r w:rsidR="00B1189B" w:rsidRPr="00B1189B">
        <w:t>%. Дефицитът по първичния доход леко се подобри в отношение спрямо прогнозния БВП. Излишъкът по вторичния доход също леко се подобри в абсолютна стойност. Привлечените преки чуждестранни инвестиции достигнаха 2,3 млрд. евро или увеличение с 15,2</w:t>
      </w:r>
      <w:r w:rsidR="005E09E5">
        <w:t> </w:t>
      </w:r>
      <w:r w:rsidR="00B1189B" w:rsidRPr="00B1189B">
        <w:t>% спрямо същия период на 2024 г. Към края на август брутният външен дълг на страната бе 47,5 % от прогнозния БВП</w:t>
      </w:r>
      <w:r w:rsidRPr="0078591F">
        <w:rPr>
          <w:color w:val="000000" w:themeColor="text1"/>
        </w:rPr>
        <w:t>.</w:t>
      </w:r>
      <w:r w:rsidR="005613FE" w:rsidRPr="00D94DB2">
        <w:rPr>
          <w:color w:val="000000" w:themeColor="text1"/>
          <w:lang w:val="ru-RU"/>
        </w:rPr>
        <w:t xml:space="preserve"> </w:t>
      </w:r>
      <w:r>
        <w:t>Кредитът за частния сектор продължи да нараства относително бързо през 2025 г. и в края на септември темпът му на растеж на годишна база достигна 15 % при 14,7</w:t>
      </w:r>
      <w:r w:rsidR="00C64164">
        <w:t> </w:t>
      </w:r>
      <w:r>
        <w:t xml:space="preserve">% в края на 2024 г. С по-голям принос за това бяха кредитите за домакинства, чийто темп на растеж за същия период се увеличи от </w:t>
      </w:r>
      <w:r w:rsidRPr="00D94DB2">
        <w:rPr>
          <w:lang w:val="ru-RU"/>
        </w:rPr>
        <w:t>20</w:t>
      </w:r>
      <w:r>
        <w:t>,</w:t>
      </w:r>
      <w:r w:rsidRPr="00D94DB2">
        <w:rPr>
          <w:lang w:val="ru-RU"/>
        </w:rPr>
        <w:t>8</w:t>
      </w:r>
      <w:r>
        <w:rPr>
          <w:lang w:val="en-US"/>
        </w:rPr>
        <w:t> </w:t>
      </w:r>
      <w:r>
        <w:t>% до 20,</w:t>
      </w:r>
      <w:r w:rsidRPr="00D94DB2">
        <w:rPr>
          <w:lang w:val="ru-RU"/>
        </w:rPr>
        <w:t>9</w:t>
      </w:r>
      <w:r>
        <w:t xml:space="preserve"> %. Водеща роля имаха жилищните кредити (с ръст от </w:t>
      </w:r>
      <w:r w:rsidRPr="00D94DB2">
        <w:rPr>
          <w:lang w:val="ru-RU"/>
        </w:rPr>
        <w:t>30</w:t>
      </w:r>
      <w:r>
        <w:t>,</w:t>
      </w:r>
      <w:r w:rsidRPr="00D94DB2">
        <w:rPr>
          <w:lang w:val="ru-RU"/>
        </w:rPr>
        <w:t>4</w:t>
      </w:r>
      <w:r>
        <w:t xml:space="preserve"> %), след като все още ниските лихвени проценти, нарастването на доходите, както и продължаващото нарастване на цените на жилищата продължиха да поддържат търсенето на заемни средства за покупка на недвижими имоти. Потребителските кредити забавиха леко нарастването си от 11,9 % в края на 2024 г. до </w:t>
      </w:r>
      <w:r w:rsidR="00E13E3F">
        <w:t>10,4</w:t>
      </w:r>
      <w:r>
        <w:t xml:space="preserve"> % в края на третото тримесечие на годината. Кредитите за нефинансови предприятия се забавиха леко до 9,7 % в края на септември при 10,1</w:t>
      </w:r>
      <w:r w:rsidR="00603C8F">
        <w:t> </w:t>
      </w:r>
      <w:r>
        <w:t>% в края на предходната година. Това се дължеше на забавяне на ръста на корпоративния овърдрафт, което не бе напълно компенсирано от ускорението на редовните кредити. Годишният темп на нарастване на фирмения овърдрафт в края на септември беше 12 % при 21 % в края на 2024 г. От своя страна, редовните кредити се ускориха на фона на по-високия ръст на частните инвестиции, и темпът им достигна 11,1 % срещу 3,9 % в края на декември 2024 г.</w:t>
      </w:r>
    </w:p>
    <w:p w14:paraId="3BCE0C75" w14:textId="77777777" w:rsidR="005C63FC" w:rsidRPr="002807FE" w:rsidRDefault="005C63FC" w:rsidP="005C63FC">
      <w:pPr>
        <w:rPr>
          <w:color w:val="0070C0"/>
          <w:sz w:val="12"/>
          <w:szCs w:val="12"/>
        </w:rPr>
      </w:pPr>
    </w:p>
    <w:p w14:paraId="3494831A" w14:textId="6527E7C6" w:rsidR="006B0BAB" w:rsidRPr="006B0BAB" w:rsidRDefault="006B0BAB" w:rsidP="006B0BAB">
      <w:pPr>
        <w:keepNext/>
        <w:keepLines/>
        <w:spacing w:before="240"/>
        <w:jc w:val="both"/>
        <w:outlineLvl w:val="2"/>
        <w:rPr>
          <w:b/>
          <w:lang w:eastAsia="bg-BG"/>
        </w:rPr>
      </w:pPr>
      <w:r w:rsidRPr="006B0BAB">
        <w:rPr>
          <w:b/>
          <w:lang w:eastAsia="bg-BG"/>
        </w:rPr>
        <w:t>Основни акценти във връзка с текущото наблюдение на изпълнението на консолидираната фискална про</w:t>
      </w:r>
      <w:r w:rsidR="004D7B89">
        <w:rPr>
          <w:b/>
          <w:lang w:eastAsia="bg-BG"/>
        </w:rPr>
        <w:t>грама към деветмесечието на 2025</w:t>
      </w:r>
      <w:r w:rsidRPr="006B0BAB">
        <w:rPr>
          <w:b/>
          <w:lang w:eastAsia="bg-BG"/>
        </w:rPr>
        <w:t xml:space="preserve"> г.</w:t>
      </w:r>
    </w:p>
    <w:p w14:paraId="40764C3F" w14:textId="77777777" w:rsidR="006B0BAB" w:rsidRPr="005E72F4" w:rsidRDefault="006B0BAB" w:rsidP="006B0BAB">
      <w:pPr>
        <w:pStyle w:val="Heading2"/>
        <w:numPr>
          <w:ilvl w:val="0"/>
          <w:numId w:val="43"/>
        </w:numPr>
        <w:tabs>
          <w:tab w:val="left" w:pos="709"/>
        </w:tabs>
        <w:ind w:hanging="76"/>
        <w:rPr>
          <w:rFonts w:ascii="Times New Roman" w:hAnsi="Times New Roman" w:cs="Times New Roman"/>
          <w:sz w:val="24"/>
          <w:szCs w:val="24"/>
        </w:rPr>
      </w:pPr>
      <w:r w:rsidRPr="005E72F4">
        <w:rPr>
          <w:rFonts w:ascii="Times New Roman" w:hAnsi="Times New Roman" w:cs="Times New Roman"/>
          <w:sz w:val="24"/>
          <w:szCs w:val="24"/>
        </w:rPr>
        <w:t xml:space="preserve">Фискални развития през </w:t>
      </w:r>
      <w:r>
        <w:rPr>
          <w:rFonts w:ascii="Times New Roman" w:hAnsi="Times New Roman" w:cs="Times New Roman"/>
          <w:sz w:val="24"/>
          <w:szCs w:val="24"/>
        </w:rPr>
        <w:t>деветмесечието</w:t>
      </w:r>
      <w:r w:rsidRPr="005E72F4">
        <w:rPr>
          <w:rFonts w:ascii="Times New Roman" w:hAnsi="Times New Roman" w:cs="Times New Roman"/>
          <w:sz w:val="24"/>
          <w:szCs w:val="24"/>
        </w:rPr>
        <w:t xml:space="preserve"> на 202</w:t>
      </w:r>
      <w:r>
        <w:rPr>
          <w:rFonts w:ascii="Times New Roman" w:hAnsi="Times New Roman" w:cs="Times New Roman"/>
          <w:sz w:val="24"/>
          <w:szCs w:val="24"/>
        </w:rPr>
        <w:t>5</w:t>
      </w:r>
      <w:r w:rsidRPr="005E72F4">
        <w:rPr>
          <w:rFonts w:ascii="Times New Roman" w:hAnsi="Times New Roman" w:cs="Times New Roman"/>
          <w:sz w:val="24"/>
          <w:szCs w:val="24"/>
        </w:rPr>
        <w:t xml:space="preserve"> г.</w:t>
      </w:r>
    </w:p>
    <w:p w14:paraId="1557D186" w14:textId="74917614" w:rsidR="006B0BAB" w:rsidRPr="004F3B2A" w:rsidRDefault="006B0BAB" w:rsidP="006B0BAB">
      <w:pPr>
        <w:spacing w:after="120"/>
        <w:jc w:val="both"/>
      </w:pPr>
      <w:r w:rsidRPr="004F3B2A">
        <w:t xml:space="preserve">За </w:t>
      </w:r>
      <w:r>
        <w:t>деветте</w:t>
      </w:r>
      <w:r w:rsidRPr="004F3B2A">
        <w:t xml:space="preserve"> месеца на 2025 г. се наблюдава нарастване на данъчно-осигурителните и неданъчните приходи, докато приходите в частта на помощите и даренията (основно грантове по програмите и фондовете на ЕС) са по-ниски спрямо същия период на предходната година. В номинално изражение приходите по КФП нарастват с</w:t>
      </w:r>
      <w:r w:rsidR="00537E6A">
        <w:t>ъс</w:t>
      </w:r>
      <w:r w:rsidRPr="004F3B2A">
        <w:t xml:space="preserve"> </w:t>
      </w:r>
      <w:r>
        <w:t>7,</w:t>
      </w:r>
      <w:r w:rsidR="00C14F79">
        <w:t>7</w:t>
      </w:r>
      <w:r w:rsidRPr="004F3B2A">
        <w:t xml:space="preserve"> млрд. </w:t>
      </w:r>
      <w:r>
        <w:t>лева</w:t>
      </w:r>
      <w:r w:rsidRPr="004F3B2A">
        <w:t xml:space="preserve"> (1</w:t>
      </w:r>
      <w:r>
        <w:t>4,8</w:t>
      </w:r>
      <w:r w:rsidRPr="004F3B2A">
        <w:t xml:space="preserve"> на сто) спрямо </w:t>
      </w:r>
      <w:r>
        <w:t>деветте</w:t>
      </w:r>
      <w:r w:rsidRPr="004F3B2A">
        <w:t xml:space="preserve"> месеца на 2024 г., като основната част от този ръст се формира от данъчно-осигурителнит</w:t>
      </w:r>
      <w:r>
        <w:t>е приходи, които нарастват с 6,1</w:t>
      </w:r>
      <w:r w:rsidRPr="004F3B2A">
        <w:t xml:space="preserve"> млрд. </w:t>
      </w:r>
      <w:r>
        <w:t>лева</w:t>
      </w:r>
      <w:r w:rsidRPr="004F3B2A">
        <w:t xml:space="preserve"> (14,</w:t>
      </w:r>
      <w:r>
        <w:t>5</w:t>
      </w:r>
      <w:r w:rsidRPr="004F3B2A">
        <w:t xml:space="preserve"> на сто), следвани от неданъчните приходи, които нарастват с </w:t>
      </w:r>
      <w:r>
        <w:t>1,9</w:t>
      </w:r>
      <w:r w:rsidR="00330C3A">
        <w:t> </w:t>
      </w:r>
      <w:r w:rsidRPr="004F3B2A">
        <w:t xml:space="preserve">млрд. </w:t>
      </w:r>
      <w:r>
        <w:t>лева (26,2</w:t>
      </w:r>
      <w:r w:rsidRPr="004F3B2A">
        <w:t xml:space="preserve"> на сто). Приходите от помощи и дарения (основно грантове от ЕС) са с 0,</w:t>
      </w:r>
      <w:r>
        <w:t>3</w:t>
      </w:r>
      <w:r w:rsidR="00CF2A96">
        <w:t> </w:t>
      </w:r>
      <w:r w:rsidRPr="004F3B2A">
        <w:t xml:space="preserve">млрд. </w:t>
      </w:r>
      <w:r>
        <w:t>лева</w:t>
      </w:r>
      <w:r w:rsidRPr="004F3B2A">
        <w:t xml:space="preserve"> по-ниски от отчетените за същия период на 2024 г., тъй като в началото на 2024 г. се получиха по-високи приходи от ЕК, свързани с концентрирането на разходи по </w:t>
      </w:r>
      <w:r w:rsidRPr="004F3B2A">
        <w:lastRenderedPageBreak/>
        <w:t xml:space="preserve">европейски проекти в края на 2023 г., поради приключване на предходния програмен период (2013-2020). </w:t>
      </w:r>
    </w:p>
    <w:p w14:paraId="650DC3D7" w14:textId="79F0FE06" w:rsidR="006B0BAB" w:rsidRDefault="006B0BAB" w:rsidP="006B0BAB">
      <w:pPr>
        <w:spacing w:after="120"/>
        <w:jc w:val="both"/>
      </w:pPr>
      <w:r w:rsidRPr="00E8286D">
        <w:t>При основни</w:t>
      </w:r>
      <w:r w:rsidR="004C5347">
        <w:t>те</w:t>
      </w:r>
      <w:r w:rsidRPr="00E8286D">
        <w:t xml:space="preserve"> групи данъци и осигурителни вноски</w:t>
      </w:r>
      <w:r w:rsidR="004C5347">
        <w:t>, с изключение на косвените,</w:t>
      </w:r>
      <w:r w:rsidRPr="004F3B2A">
        <w:t xml:space="preserve"> прогнозите са близки до планираните годишни цели, като при преките данъци се очаква дори преизпълнение на годишния план с около 1,8 на сто. При ДДС от внос натиск върху приходите през настоящата година оказват цените на суровините на международните пазари, в т.ч. цената на суровия петрол и цените на другите основни групи стоки, пораждащи ДДС от внос, тенденцията на отслабен щатски долар спрямо еврото и други. Техническото допускане за валутния курс USD/EUR към края на септември показва средногодишна стойност от 1,144 USD за 1 EUR, което е поскъпване на единната европейска валута с около 6 на сто за 2025 г. Това при други равни условия води до намаление на облагаемата стойност при внос на стоките и суровините, търгувани в USD, респективно по-ниски постъпления от планираните от ДДС от внос. Влияние оказва и намалението при физическите обеми на някои от стоките, пораждащи ДДС. </w:t>
      </w:r>
      <w:r w:rsidR="00E8286D">
        <w:t>В</w:t>
      </w:r>
      <w:r w:rsidRPr="004F3B2A">
        <w:t>ърху приходите от ДДС оказва</w:t>
      </w:r>
      <w:r w:rsidR="00E8286D">
        <w:t xml:space="preserve"> влияние</w:t>
      </w:r>
      <w:r w:rsidRPr="004F3B2A">
        <w:t xml:space="preserve"> и късното приемане на ЗДБРБ за 2025 г. (27.03.2025 г.), поради което основните мерки в частта на повишаването на събираемостта на приходите бяха въведени в началото на месец юни. В резултат на засиления фискален контрол вследствие на разширяването на обхвата на стоките с висок фискален риск, към края на месец </w:t>
      </w:r>
      <w:r w:rsidR="00D94DB2">
        <w:t>септември</w:t>
      </w:r>
      <w:r w:rsidRPr="004F3B2A">
        <w:t xml:space="preserve"> </w:t>
      </w:r>
      <w:r w:rsidR="00E8286D">
        <w:t>се отчита</w:t>
      </w:r>
      <w:r w:rsidR="00E8286D" w:rsidRPr="004F3B2A">
        <w:t xml:space="preserve"> ръст от 23,</w:t>
      </w:r>
      <w:r w:rsidR="00E8286D">
        <w:t>0 </w:t>
      </w:r>
      <w:r w:rsidR="00E8286D" w:rsidRPr="004F3B2A">
        <w:t xml:space="preserve">% </w:t>
      </w:r>
      <w:r w:rsidR="00E8286D">
        <w:t xml:space="preserve">в </w:t>
      </w:r>
      <w:r w:rsidRPr="004F3B2A">
        <w:t>приходите от ДДС от сделки в страната и ВОП спрямо същия период на миналата година.</w:t>
      </w:r>
    </w:p>
    <w:p w14:paraId="5C1EF7DB" w14:textId="5D86B612" w:rsidR="006B0BAB" w:rsidRPr="004F3B2A" w:rsidRDefault="006B0BAB" w:rsidP="006B0BAB">
      <w:pPr>
        <w:spacing w:after="120"/>
        <w:jc w:val="both"/>
      </w:pPr>
      <w:r w:rsidRPr="004F3B2A">
        <w:t xml:space="preserve">Изпълнението на разчетите в частта на помощите към края на </w:t>
      </w:r>
      <w:r>
        <w:t>деветмесечието</w:t>
      </w:r>
      <w:r w:rsidRPr="004F3B2A">
        <w:t xml:space="preserve"> е относително ниско, основно поради изместване в последното тримесечие на годината на постъпленията по втория, респективно третия транш по Механизма за възстановяване и устойчивост (МВУ). Второто искане за плащане</w:t>
      </w:r>
      <w:r w:rsidR="004C5347">
        <w:t xml:space="preserve"> по МВУ</w:t>
      </w:r>
      <w:r w:rsidRPr="004F3B2A">
        <w:t xml:space="preserve"> постъпи през месец ноември</w:t>
      </w:r>
      <w:r w:rsidR="00E8286D">
        <w:t xml:space="preserve"> в намален размер, поради </w:t>
      </w:r>
      <w:r w:rsidR="004C5347">
        <w:t xml:space="preserve">отложено плащане за </w:t>
      </w:r>
      <w:r w:rsidR="00E8286D">
        <w:t xml:space="preserve">една от </w:t>
      </w:r>
      <w:r w:rsidR="00E54DFC" w:rsidRPr="00E54DFC">
        <w:t>целите/реформите</w:t>
      </w:r>
      <w:r w:rsidRPr="004F3B2A">
        <w:t>. Третото искане за плащане на стойност около 1,6 млрд. евро беше подадено на 01.10.2025 г. На 09.10.2025 г. е подаде</w:t>
      </w:r>
      <w:r w:rsidR="004C5347">
        <w:t xml:space="preserve">на ревизия на НПВУ, която вече </w:t>
      </w:r>
      <w:r w:rsidRPr="004F3B2A">
        <w:t>е</w:t>
      </w:r>
      <w:r w:rsidR="004C5347">
        <w:t xml:space="preserve"> в процедура на одобрение</w:t>
      </w:r>
      <w:r w:rsidRPr="004F3B2A">
        <w:t xml:space="preserve"> от ЕК и </w:t>
      </w:r>
      <w:r w:rsidR="004C5347">
        <w:t xml:space="preserve">се очаква да приключи до края </w:t>
      </w:r>
      <w:r w:rsidRPr="004F3B2A">
        <w:t>на ноември 2025</w:t>
      </w:r>
      <w:r w:rsidR="004C5347">
        <w:t> </w:t>
      </w:r>
      <w:r w:rsidRPr="004F3B2A">
        <w:t>г.</w:t>
      </w:r>
      <w:r w:rsidR="004C5347">
        <w:t xml:space="preserve"> Променените етапи</w:t>
      </w:r>
      <w:r w:rsidR="004C5347">
        <w:rPr>
          <w:lang w:val="en-US"/>
        </w:rPr>
        <w:t>/</w:t>
      </w:r>
      <w:r w:rsidR="004C5347">
        <w:t>цели в резултат на ревизията ще бъдат отново отчетени към ЕК веднага след нейното одобрение.</w:t>
      </w:r>
      <w:r w:rsidRPr="004F3B2A">
        <w:t xml:space="preserve"> Полагат се всички усилия искането да бъде разгледано и оценено от ЕК в първите дни на декември 2025 г., което да позволи приемането на Решение за изпълнение на сумата до края на годината.</w:t>
      </w:r>
    </w:p>
    <w:p w14:paraId="2B1763DA" w14:textId="5996209A" w:rsidR="006B0BAB" w:rsidRPr="00207F10" w:rsidRDefault="006B0BAB" w:rsidP="006B0BAB">
      <w:pPr>
        <w:spacing w:after="120"/>
        <w:jc w:val="both"/>
        <w:rPr>
          <w:color w:val="000000" w:themeColor="text1"/>
        </w:rPr>
      </w:pPr>
      <w:r w:rsidRPr="00207F10">
        <w:rPr>
          <w:color w:val="000000" w:themeColor="text1"/>
        </w:rPr>
        <w:t>Спрямо същия период на предходната година на съпоставима база</w:t>
      </w:r>
      <w:r>
        <w:rPr>
          <w:rStyle w:val="FootnoteReference"/>
          <w:color w:val="000000" w:themeColor="text1"/>
        </w:rPr>
        <w:footnoteReference w:id="3"/>
      </w:r>
      <w:r w:rsidRPr="00207F10">
        <w:rPr>
          <w:color w:val="000000" w:themeColor="text1"/>
        </w:rPr>
        <w:t xml:space="preserve"> разходите и вноската в общия бюджет н</w:t>
      </w:r>
      <w:r>
        <w:rPr>
          <w:color w:val="000000" w:themeColor="text1"/>
        </w:rPr>
        <w:t>а ЕС нарастват номинално с малко над</w:t>
      </w:r>
      <w:r w:rsidRPr="00207F10">
        <w:rPr>
          <w:color w:val="000000" w:themeColor="text1"/>
        </w:rPr>
        <w:t xml:space="preserve"> 9,</w:t>
      </w:r>
      <w:r>
        <w:rPr>
          <w:color w:val="000000" w:themeColor="text1"/>
        </w:rPr>
        <w:t>7</w:t>
      </w:r>
      <w:r w:rsidRPr="00207F10">
        <w:rPr>
          <w:color w:val="000000" w:themeColor="text1"/>
        </w:rPr>
        <w:t xml:space="preserve"> млрд. лв. (17,4 на сто), което се дължи </w:t>
      </w:r>
      <w:r w:rsidR="00D94DB2">
        <w:rPr>
          <w:color w:val="000000" w:themeColor="text1"/>
        </w:rPr>
        <w:t>както</w:t>
      </w:r>
      <w:r w:rsidRPr="00207F10">
        <w:rPr>
          <w:color w:val="000000" w:themeColor="text1"/>
        </w:rPr>
        <w:t xml:space="preserve"> на по-високия размер на разходите по европейските средства,</w:t>
      </w:r>
      <w:r>
        <w:rPr>
          <w:color w:val="000000" w:themeColor="text1"/>
        </w:rPr>
        <w:t xml:space="preserve"> които нарастват </w:t>
      </w:r>
      <w:r w:rsidR="00D94DB2">
        <w:rPr>
          <w:color w:val="000000" w:themeColor="text1"/>
        </w:rPr>
        <w:t xml:space="preserve">с </w:t>
      </w:r>
      <w:r>
        <w:rPr>
          <w:color w:val="000000" w:themeColor="text1"/>
        </w:rPr>
        <w:t>близо 77 на сто спрямо същия период на предходната година,</w:t>
      </w:r>
      <w:r w:rsidRPr="00207F10">
        <w:rPr>
          <w:color w:val="000000" w:themeColor="text1"/>
        </w:rPr>
        <w:t xml:space="preserve"> </w:t>
      </w:r>
      <w:r w:rsidR="00D94DB2">
        <w:rPr>
          <w:color w:val="000000" w:themeColor="text1"/>
        </w:rPr>
        <w:t>така</w:t>
      </w:r>
      <w:r w:rsidRPr="00207F10">
        <w:rPr>
          <w:color w:val="000000" w:themeColor="text1"/>
        </w:rPr>
        <w:t xml:space="preserve"> и на </w:t>
      </w:r>
      <w:r w:rsidR="00734032">
        <w:rPr>
          <w:color w:val="000000" w:themeColor="text1"/>
        </w:rPr>
        <w:t>ръста на разходите</w:t>
      </w:r>
      <w:r w:rsidRPr="00207F10">
        <w:rPr>
          <w:color w:val="000000" w:themeColor="text1"/>
        </w:rPr>
        <w:t xml:space="preserve"> по националния бюджет. </w:t>
      </w:r>
      <w:r>
        <w:rPr>
          <w:color w:val="000000" w:themeColor="text1"/>
        </w:rPr>
        <w:t xml:space="preserve">През настоящата година </w:t>
      </w:r>
      <w:r w:rsidR="00734032">
        <w:rPr>
          <w:color w:val="000000" w:themeColor="text1"/>
        </w:rPr>
        <w:t>бяха</w:t>
      </w:r>
      <w:r>
        <w:rPr>
          <w:color w:val="000000" w:themeColor="text1"/>
        </w:rPr>
        <w:t xml:space="preserve"> пол</w:t>
      </w:r>
      <w:r w:rsidR="00734032">
        <w:rPr>
          <w:color w:val="000000" w:themeColor="text1"/>
        </w:rPr>
        <w:t>ожени</w:t>
      </w:r>
      <w:r>
        <w:rPr>
          <w:color w:val="000000" w:themeColor="text1"/>
        </w:rPr>
        <w:t xml:space="preserve"> м</w:t>
      </w:r>
      <w:r w:rsidR="00D94DB2">
        <w:rPr>
          <w:color w:val="000000" w:themeColor="text1"/>
        </w:rPr>
        <w:t>ного</w:t>
      </w:r>
      <w:r>
        <w:rPr>
          <w:color w:val="000000" w:themeColor="text1"/>
        </w:rPr>
        <w:t xml:space="preserve"> усилия за наваксване на изоставането при усвояването на средствата по НПВУ </w:t>
      </w:r>
      <w:r w:rsidR="00D94DB2">
        <w:rPr>
          <w:color w:val="000000" w:themeColor="text1"/>
        </w:rPr>
        <w:t>с цел</w:t>
      </w:r>
      <w:r>
        <w:rPr>
          <w:color w:val="000000" w:themeColor="text1"/>
        </w:rPr>
        <w:t xml:space="preserve"> страната ни да се възползва максимално от планирания бюджет в рамките на крайния срок за изпълнение на проектите и инвестициите</w:t>
      </w:r>
      <w:r w:rsidR="00D94DB2">
        <w:rPr>
          <w:color w:val="000000" w:themeColor="text1"/>
        </w:rPr>
        <w:t xml:space="preserve"> </w:t>
      </w:r>
      <w:r w:rsidR="00D94DB2" w:rsidRPr="00D94DB2">
        <w:rPr>
          <w:color w:val="000000" w:themeColor="text1"/>
          <w:lang w:val="ru-RU"/>
        </w:rPr>
        <w:t>(</w:t>
      </w:r>
      <w:r>
        <w:rPr>
          <w:color w:val="000000" w:themeColor="text1"/>
        </w:rPr>
        <w:t>31 август 2026</w:t>
      </w:r>
      <w:r w:rsidR="00734032">
        <w:rPr>
          <w:color w:val="000000" w:themeColor="text1"/>
        </w:rPr>
        <w:t> </w:t>
      </w:r>
      <w:r>
        <w:rPr>
          <w:color w:val="000000" w:themeColor="text1"/>
        </w:rPr>
        <w:t>г.</w:t>
      </w:r>
      <w:r w:rsidR="00D94DB2" w:rsidRPr="00D94DB2">
        <w:rPr>
          <w:color w:val="000000" w:themeColor="text1"/>
          <w:lang w:val="ru-RU"/>
        </w:rPr>
        <w:t>).</w:t>
      </w:r>
      <w:r>
        <w:rPr>
          <w:color w:val="000000" w:themeColor="text1"/>
        </w:rPr>
        <w:t xml:space="preserve"> Разходите по националния бюджет отчитат номинален ръст на съпоставима база от 14,</w:t>
      </w:r>
      <w:r w:rsidR="001C3BE9" w:rsidRPr="00D94DB2">
        <w:rPr>
          <w:color w:val="000000" w:themeColor="text1"/>
          <w:lang w:val="ru-RU"/>
        </w:rPr>
        <w:t>7</w:t>
      </w:r>
      <w:r>
        <w:rPr>
          <w:color w:val="000000" w:themeColor="text1"/>
        </w:rPr>
        <w:t xml:space="preserve"> на сто, което се</w:t>
      </w:r>
      <w:r w:rsidRPr="00207F10">
        <w:rPr>
          <w:color w:val="000000" w:themeColor="text1"/>
        </w:rPr>
        <w:t xml:space="preserve"> дължи на влезли в сила нормативни актове, вкл. промени в пенсионната сфера, разходи по реализирането на одобрени от Народното събрание инвестиционни проекти в сферата на отбраната и други инвестиционни разходи, влезли в сила увеличени размери на възнагражденията в редица администрации и други.</w:t>
      </w:r>
    </w:p>
    <w:p w14:paraId="3B5E6D20" w14:textId="1F120037" w:rsidR="006B0BAB" w:rsidRPr="007C1459" w:rsidRDefault="006B0BAB" w:rsidP="006B0BAB">
      <w:pPr>
        <w:spacing w:after="120"/>
        <w:jc w:val="both"/>
        <w:rPr>
          <w:color w:val="000000" w:themeColor="text1"/>
        </w:rPr>
      </w:pPr>
      <w:r w:rsidRPr="007C1459">
        <w:rPr>
          <w:color w:val="000000" w:themeColor="text1"/>
        </w:rPr>
        <w:t>При отделните елементи на разходите, съпоставено със същия период на предходната година, най-значителен номинален ръст се отчита при социалните и здравноосигурителните разходи (3,2 млрд. лв. или 12,6 на сто), в т.</w:t>
      </w:r>
      <w:r w:rsidRPr="00D94DB2">
        <w:rPr>
          <w:color w:val="000000" w:themeColor="text1"/>
          <w:lang w:val="ru-RU"/>
        </w:rPr>
        <w:t xml:space="preserve"> </w:t>
      </w:r>
      <w:r w:rsidRPr="007C1459">
        <w:rPr>
          <w:color w:val="000000" w:themeColor="text1"/>
        </w:rPr>
        <w:t>ч. разходите за пенсии нарастват с 1,9 млрд. лв. (11,8 на сто). Част от мерките в пенсионната сфера, действащи през девет</w:t>
      </w:r>
      <w:r w:rsidR="00734032">
        <w:rPr>
          <w:color w:val="000000" w:themeColor="text1"/>
        </w:rPr>
        <w:t>те</w:t>
      </w:r>
      <w:r w:rsidRPr="007C1459">
        <w:rPr>
          <w:color w:val="000000" w:themeColor="text1"/>
        </w:rPr>
        <w:t xml:space="preserve"> месеца на 2025 г., влязоха в сила </w:t>
      </w:r>
      <w:r w:rsidR="00734032">
        <w:rPr>
          <w:color w:val="000000" w:themeColor="text1"/>
        </w:rPr>
        <w:t>още от</w:t>
      </w:r>
      <w:r w:rsidRPr="007C1459">
        <w:rPr>
          <w:color w:val="000000" w:themeColor="text1"/>
        </w:rPr>
        <w:t xml:space="preserve"> 2024 г. </w:t>
      </w:r>
      <w:r w:rsidR="00734032" w:rsidRPr="00734032">
        <w:rPr>
          <w:color w:val="000000" w:themeColor="text1"/>
        </w:rPr>
        <w:t>Увеличението на пенсиите от 1 юли 2024 г. зас</w:t>
      </w:r>
      <w:r w:rsidR="00734032">
        <w:rPr>
          <w:color w:val="000000" w:themeColor="text1"/>
        </w:rPr>
        <w:t>егна</w:t>
      </w:r>
      <w:r w:rsidR="00734032" w:rsidRPr="00734032">
        <w:rPr>
          <w:color w:val="000000" w:themeColor="text1"/>
        </w:rPr>
        <w:t xml:space="preserve"> над 2 млн. пенсионери след прилагането на съвкупността от предвидени мерки – осъвременяване на трудовите пенсии с </w:t>
      </w:r>
      <w:r w:rsidR="00734032" w:rsidRPr="00734032">
        <w:rPr>
          <w:color w:val="000000" w:themeColor="text1"/>
        </w:rPr>
        <w:lastRenderedPageBreak/>
        <w:t>11</w:t>
      </w:r>
      <w:r w:rsidR="00774020">
        <w:rPr>
          <w:color w:val="000000" w:themeColor="text1"/>
        </w:rPr>
        <w:t> </w:t>
      </w:r>
      <w:r w:rsidR="00734032" w:rsidRPr="00734032">
        <w:rPr>
          <w:color w:val="000000" w:themeColor="text1"/>
        </w:rPr>
        <w:t>%, повишаване на процента на добавката от пенсията на починал съпруг/а, повишаване на минималния размер на пенсията за осигурителен стаж и възраст, определяне на нов по-висок размер на социалната пенсия за старост, повишаване на обвързаните с тях минимални размери на другите видове пенсии и добавки</w:t>
      </w:r>
      <w:r w:rsidR="00734032">
        <w:rPr>
          <w:color w:val="000000" w:themeColor="text1"/>
        </w:rPr>
        <w:t xml:space="preserve">. </w:t>
      </w:r>
      <w:r w:rsidRPr="007C1459">
        <w:rPr>
          <w:color w:val="000000" w:themeColor="text1"/>
        </w:rPr>
        <w:t>Предвид обстоятелството, че посочените мерки не са действали през първото полугодие на 2024 г. при съпоставката със същия период на предходната година се наблюдава базов ефект, ко</w:t>
      </w:r>
      <w:r w:rsidR="00734032">
        <w:rPr>
          <w:color w:val="000000" w:themeColor="text1"/>
        </w:rPr>
        <w:t>йто</w:t>
      </w:r>
      <w:r w:rsidRPr="007C1459">
        <w:rPr>
          <w:color w:val="000000" w:themeColor="text1"/>
        </w:rPr>
        <w:t xml:space="preserve"> обуславя относително високия номинален ръст</w:t>
      </w:r>
      <w:r w:rsidR="00734032">
        <w:rPr>
          <w:color w:val="000000" w:themeColor="text1"/>
        </w:rPr>
        <w:t xml:space="preserve">, дължащ се и на увеличението на пенсиите </w:t>
      </w:r>
      <w:r w:rsidRPr="007C1459">
        <w:rPr>
          <w:color w:val="000000" w:themeColor="text1"/>
        </w:rPr>
        <w:t xml:space="preserve">от 1 юли 2025 г. </w:t>
      </w:r>
      <w:r w:rsidR="00734032">
        <w:rPr>
          <w:color w:val="000000" w:themeColor="text1"/>
        </w:rPr>
        <w:t>по</w:t>
      </w:r>
      <w:r w:rsidRPr="007C1459">
        <w:rPr>
          <w:color w:val="000000" w:themeColor="text1"/>
        </w:rPr>
        <w:t xml:space="preserve"> т. нар. „швейцарско правило“ с 8,6 на сто.</w:t>
      </w:r>
    </w:p>
    <w:p w14:paraId="308D30AE" w14:textId="3F0C0F77" w:rsidR="006B0BAB" w:rsidRPr="00D94DB2" w:rsidRDefault="006B0BAB" w:rsidP="006B0BAB">
      <w:pPr>
        <w:spacing w:after="120"/>
        <w:jc w:val="both"/>
        <w:rPr>
          <w:color w:val="000000" w:themeColor="text1"/>
          <w:lang w:val="ru-RU"/>
        </w:rPr>
      </w:pPr>
      <w:r w:rsidRPr="00020278">
        <w:rPr>
          <w:color w:val="000000" w:themeColor="text1"/>
        </w:rPr>
        <w:t>Друг елемент на разходите, при който се отчита съществено нарастване спрямо деветмесечието на предходната година (с 3,1 млрд. лв. или 21,3 на сто) са разходите за персонал. Разгледани по съставни бюджети, най-съществена част от номиналното нарастване на разходите за персонал се формира по държавния бюджет, които нарастват с близо 1,9 млрд. лв. (2</w:t>
      </w:r>
      <w:r w:rsidRPr="00D94DB2">
        <w:rPr>
          <w:color w:val="000000" w:themeColor="text1"/>
          <w:lang w:val="ru-RU"/>
        </w:rPr>
        <w:t>6</w:t>
      </w:r>
      <w:r w:rsidRPr="00020278">
        <w:rPr>
          <w:color w:val="000000" w:themeColor="text1"/>
        </w:rPr>
        <w:t>,</w:t>
      </w:r>
      <w:r w:rsidRPr="00D94DB2">
        <w:rPr>
          <w:color w:val="000000" w:themeColor="text1"/>
          <w:lang w:val="ru-RU"/>
        </w:rPr>
        <w:t>0</w:t>
      </w:r>
      <w:r w:rsidRPr="00020278">
        <w:rPr>
          <w:color w:val="000000" w:themeColor="text1"/>
        </w:rPr>
        <w:t xml:space="preserve"> на сто), следвани от разходите за персонал по бюджетите на общините, където те нарастват с 0,9 млрд. лв. (1</w:t>
      </w:r>
      <w:r w:rsidRPr="00D94DB2">
        <w:rPr>
          <w:color w:val="000000" w:themeColor="text1"/>
          <w:lang w:val="ru-RU"/>
        </w:rPr>
        <w:t>5</w:t>
      </w:r>
      <w:r w:rsidRPr="00020278">
        <w:rPr>
          <w:color w:val="000000" w:themeColor="text1"/>
        </w:rPr>
        <w:t>,</w:t>
      </w:r>
      <w:r w:rsidRPr="00D94DB2">
        <w:rPr>
          <w:color w:val="000000" w:themeColor="text1"/>
          <w:lang w:val="ru-RU"/>
        </w:rPr>
        <w:t>9</w:t>
      </w:r>
      <w:r w:rsidRPr="00020278">
        <w:rPr>
          <w:color w:val="000000" w:themeColor="text1"/>
        </w:rPr>
        <w:t xml:space="preserve"> на сто). </w:t>
      </w:r>
      <w:r w:rsidR="00E8286D">
        <w:rPr>
          <w:color w:val="000000" w:themeColor="text1"/>
        </w:rPr>
        <w:t>Ръстовете се дължат основно</w:t>
      </w:r>
      <w:r w:rsidR="00991439" w:rsidRPr="00991439">
        <w:rPr>
          <w:color w:val="000000" w:themeColor="text1"/>
        </w:rPr>
        <w:t xml:space="preserve"> н</w:t>
      </w:r>
      <w:r w:rsidR="00F93E25">
        <w:rPr>
          <w:color w:val="000000" w:themeColor="text1"/>
        </w:rPr>
        <w:t xml:space="preserve">а редица законодателни промени, </w:t>
      </w:r>
      <w:r w:rsidR="00991439" w:rsidRPr="00991439">
        <w:rPr>
          <w:color w:val="000000" w:themeColor="text1"/>
        </w:rPr>
        <w:t xml:space="preserve">заложени в </w:t>
      </w:r>
      <w:r w:rsidR="00F93E25">
        <w:rPr>
          <w:color w:val="000000" w:themeColor="text1"/>
        </w:rPr>
        <w:t xml:space="preserve">разчетите на </w:t>
      </w:r>
      <w:r w:rsidR="00991439" w:rsidRPr="00991439">
        <w:rPr>
          <w:color w:val="000000" w:themeColor="text1"/>
        </w:rPr>
        <w:t>ЗДБРБ за 2025 г.</w:t>
      </w:r>
      <w:r w:rsidR="00F93E25">
        <w:rPr>
          <w:color w:val="000000" w:themeColor="text1"/>
        </w:rPr>
        <w:t xml:space="preserve"> </w:t>
      </w:r>
      <w:r w:rsidRPr="00020278">
        <w:rPr>
          <w:color w:val="000000" w:themeColor="text1"/>
        </w:rPr>
        <w:t>В разходите за персонал по бюджетите на общините се включват и разходи за други възнаграждения, които се изплащат за сметка на трансфери от бюджета на МТСП за осъществявани социални услуги.</w:t>
      </w:r>
    </w:p>
    <w:p w14:paraId="339144B3" w14:textId="4E281D01" w:rsidR="006B0BAB" w:rsidRPr="00542F8F" w:rsidRDefault="006B0BAB" w:rsidP="006B0BAB">
      <w:pPr>
        <w:spacing w:after="120"/>
        <w:jc w:val="both"/>
        <w:rPr>
          <w:color w:val="000000" w:themeColor="text1"/>
        </w:rPr>
      </w:pPr>
      <w:r w:rsidRPr="00020278">
        <w:rPr>
          <w:color w:val="000000" w:themeColor="text1"/>
        </w:rPr>
        <w:t xml:space="preserve">Бюджетното салдо по КФП към края на деветмесечието е отрицателно в размер на </w:t>
      </w:r>
      <w:r w:rsidRPr="00542F8F">
        <w:rPr>
          <w:color w:val="000000" w:themeColor="text1"/>
        </w:rPr>
        <w:t>6</w:t>
      </w:r>
      <w:r w:rsidR="002710FF">
        <w:rPr>
          <w:color w:val="000000" w:themeColor="text1"/>
        </w:rPr>
        <w:t>,</w:t>
      </w:r>
      <w:r w:rsidRPr="00542F8F">
        <w:rPr>
          <w:color w:val="000000" w:themeColor="text1"/>
        </w:rPr>
        <w:t>06</w:t>
      </w:r>
      <w:r w:rsidRPr="00020278">
        <w:rPr>
          <w:color w:val="000000" w:themeColor="text1"/>
        </w:rPr>
        <w:t xml:space="preserve"> млрд. лв. (</w:t>
      </w:r>
      <w:r w:rsidRPr="00542F8F">
        <w:rPr>
          <w:color w:val="000000" w:themeColor="text1"/>
        </w:rPr>
        <w:t>2</w:t>
      </w:r>
      <w:r w:rsidR="002710FF">
        <w:rPr>
          <w:color w:val="000000" w:themeColor="text1"/>
        </w:rPr>
        <w:t>,</w:t>
      </w:r>
      <w:r w:rsidRPr="00542F8F">
        <w:rPr>
          <w:color w:val="000000" w:themeColor="text1"/>
        </w:rPr>
        <w:t>7</w:t>
      </w:r>
      <w:r w:rsidRPr="00020278">
        <w:rPr>
          <w:color w:val="000000" w:themeColor="text1"/>
        </w:rPr>
        <w:t xml:space="preserve"> % от прогнозния БВП). </w:t>
      </w:r>
      <w:r w:rsidRPr="00542F8F">
        <w:rPr>
          <w:color w:val="000000" w:themeColor="text1"/>
        </w:rPr>
        <w:t xml:space="preserve">То се формира от дефицит по </w:t>
      </w:r>
      <w:r w:rsidR="00CC42CE">
        <w:rPr>
          <w:color w:val="000000" w:themeColor="text1"/>
        </w:rPr>
        <w:t xml:space="preserve">националния бюджет в размер на </w:t>
      </w:r>
      <w:r>
        <w:rPr>
          <w:color w:val="000000" w:themeColor="text1"/>
        </w:rPr>
        <w:t xml:space="preserve">4 354,1 </w:t>
      </w:r>
      <w:r w:rsidRPr="00542F8F">
        <w:rPr>
          <w:color w:val="000000" w:themeColor="text1"/>
        </w:rPr>
        <w:t xml:space="preserve">млн. </w:t>
      </w:r>
      <w:r>
        <w:rPr>
          <w:color w:val="000000" w:themeColor="text1"/>
        </w:rPr>
        <w:t>лв.</w:t>
      </w:r>
      <w:r w:rsidRPr="00542F8F">
        <w:rPr>
          <w:color w:val="000000" w:themeColor="text1"/>
        </w:rPr>
        <w:t xml:space="preserve"> и дефицит по европейските средства в размер на </w:t>
      </w:r>
      <w:r>
        <w:rPr>
          <w:color w:val="000000" w:themeColor="text1"/>
        </w:rPr>
        <w:t>1 701,6</w:t>
      </w:r>
      <w:r w:rsidRPr="00542F8F">
        <w:rPr>
          <w:color w:val="000000" w:themeColor="text1"/>
        </w:rPr>
        <w:t xml:space="preserve"> млн. </w:t>
      </w:r>
      <w:r>
        <w:rPr>
          <w:color w:val="000000" w:themeColor="text1"/>
        </w:rPr>
        <w:t>лв</w:t>
      </w:r>
      <w:r w:rsidRPr="00542F8F">
        <w:rPr>
          <w:color w:val="000000" w:themeColor="text1"/>
        </w:rPr>
        <w:t xml:space="preserve">. </w:t>
      </w:r>
    </w:p>
    <w:p w14:paraId="6705576C" w14:textId="6DDADD02" w:rsidR="006B0BAB" w:rsidRPr="000C1331" w:rsidRDefault="006B0BAB" w:rsidP="006B0BAB">
      <w:pPr>
        <w:spacing w:after="120"/>
        <w:jc w:val="both"/>
        <w:rPr>
          <w:color w:val="000000" w:themeColor="text1"/>
        </w:rPr>
      </w:pPr>
      <w:r w:rsidRPr="00542F8F">
        <w:rPr>
          <w:color w:val="000000" w:themeColor="text1"/>
        </w:rPr>
        <w:t xml:space="preserve">При анализа на текущите параметри по изпълнението на бюджета към </w:t>
      </w:r>
      <w:r w:rsidR="00A83ED2" w:rsidRPr="00A83ED2">
        <w:rPr>
          <w:color w:val="000000" w:themeColor="text1"/>
        </w:rPr>
        <w:t xml:space="preserve">септември </w:t>
      </w:r>
      <w:r w:rsidRPr="00542F8F">
        <w:rPr>
          <w:color w:val="000000" w:themeColor="text1"/>
        </w:rPr>
        <w:t>следва също така да се има предвид, че се очаква през четвъртото тримесечие на годината да постъпят втори и трети транш по Механизма за възстановяване и</w:t>
      </w:r>
      <w:r>
        <w:rPr>
          <w:color w:val="000000" w:themeColor="text1"/>
        </w:rPr>
        <w:t xml:space="preserve"> устойчивост в общ размер на около</w:t>
      </w:r>
      <w:r w:rsidRPr="00542F8F">
        <w:rPr>
          <w:color w:val="000000" w:themeColor="text1"/>
        </w:rPr>
        <w:t xml:space="preserve"> </w:t>
      </w:r>
      <w:r>
        <w:rPr>
          <w:color w:val="000000" w:themeColor="text1"/>
        </w:rPr>
        <w:t>4</w:t>
      </w:r>
      <w:r w:rsidRPr="00542F8F">
        <w:rPr>
          <w:color w:val="000000" w:themeColor="text1"/>
        </w:rPr>
        <w:t xml:space="preserve">,0 млрд. </w:t>
      </w:r>
      <w:r>
        <w:rPr>
          <w:color w:val="000000" w:themeColor="text1"/>
        </w:rPr>
        <w:t>лв.</w:t>
      </w:r>
      <w:r w:rsidRPr="00542F8F">
        <w:rPr>
          <w:color w:val="000000" w:themeColor="text1"/>
        </w:rPr>
        <w:t>, което ще компенсира напълно натрупания дефицит по европейски</w:t>
      </w:r>
      <w:r>
        <w:rPr>
          <w:color w:val="000000" w:themeColor="text1"/>
        </w:rPr>
        <w:t>те средства (в размер на 1,7</w:t>
      </w:r>
      <w:r w:rsidR="007534AC">
        <w:rPr>
          <w:color w:val="000000" w:themeColor="text1"/>
          <w:lang w:val="en-US"/>
        </w:rPr>
        <w:t> </w:t>
      </w:r>
      <w:r w:rsidRPr="00542F8F">
        <w:rPr>
          <w:color w:val="000000" w:themeColor="text1"/>
        </w:rPr>
        <w:t xml:space="preserve">млрд. </w:t>
      </w:r>
      <w:r>
        <w:rPr>
          <w:color w:val="000000" w:themeColor="text1"/>
        </w:rPr>
        <w:t>лв.</w:t>
      </w:r>
      <w:r w:rsidRPr="00542F8F">
        <w:rPr>
          <w:color w:val="000000" w:themeColor="text1"/>
        </w:rPr>
        <w:t>), респективно текущо ще подобри салдото по КФП.</w:t>
      </w:r>
    </w:p>
    <w:p w14:paraId="52F7C69D" w14:textId="77777777" w:rsidR="006B0BAB" w:rsidRPr="00C80F47" w:rsidRDefault="006B0BAB" w:rsidP="006B0BAB">
      <w:pPr>
        <w:pStyle w:val="Heading2"/>
        <w:numPr>
          <w:ilvl w:val="0"/>
          <w:numId w:val="43"/>
        </w:numPr>
        <w:tabs>
          <w:tab w:val="left" w:pos="709"/>
        </w:tabs>
        <w:ind w:hanging="76"/>
        <w:rPr>
          <w:rFonts w:ascii="Times New Roman" w:hAnsi="Times New Roman" w:cs="Times New Roman"/>
          <w:sz w:val="24"/>
          <w:szCs w:val="24"/>
        </w:rPr>
      </w:pPr>
      <w:r w:rsidRPr="00C80F47">
        <w:rPr>
          <w:rFonts w:ascii="Times New Roman" w:hAnsi="Times New Roman" w:cs="Times New Roman"/>
          <w:sz w:val="24"/>
          <w:szCs w:val="24"/>
        </w:rPr>
        <w:t>Предизвикателства при изпълнението на бюджета до края на бюджетната година</w:t>
      </w:r>
    </w:p>
    <w:p w14:paraId="2C601664" w14:textId="2AAAA1B1" w:rsidR="006B0BAB" w:rsidRPr="004E241F" w:rsidRDefault="003A7320" w:rsidP="006B0BAB">
      <w:pPr>
        <w:spacing w:after="120"/>
        <w:jc w:val="both"/>
      </w:pPr>
      <w:r>
        <w:t>П</w:t>
      </w:r>
      <w:r w:rsidR="006B0BAB" w:rsidRPr="004F3B2A">
        <w:t>рогнозите сочат, че мерките в разходите и потенциалните икономии по бюджетите</w:t>
      </w:r>
      <w:r w:rsidR="006B0BAB">
        <w:t xml:space="preserve"> и сметките за средства от ЕС </w:t>
      </w:r>
      <w:r w:rsidR="002E4C11">
        <w:t>биха могли</w:t>
      </w:r>
      <w:r w:rsidR="006B0BAB">
        <w:t xml:space="preserve"> да</w:t>
      </w:r>
      <w:r w:rsidR="006B0BAB" w:rsidRPr="004F3B2A">
        <w:t xml:space="preserve"> позволят фискалната цел за годината да бъде спазена и дефицитът по КФП да остане в рамките на изискванията на фискалните правила</w:t>
      </w:r>
      <w:r>
        <w:t>.</w:t>
      </w:r>
      <w:r w:rsidR="006B0BAB" w:rsidRPr="004F3B2A">
        <w:t xml:space="preserve"> </w:t>
      </w:r>
      <w:r w:rsidR="006B0BAB">
        <w:t>За постигане на т</w:t>
      </w:r>
      <w:r w:rsidR="005727F7">
        <w:t>ази цел е</w:t>
      </w:r>
      <w:r w:rsidR="006B0BAB">
        <w:t xml:space="preserve"> необходимо да се положат</w:t>
      </w:r>
      <w:r w:rsidR="006B0BAB" w:rsidRPr="004F3B2A">
        <w:t xml:space="preserve"> усилия</w:t>
      </w:r>
      <w:r w:rsidR="006B0BAB">
        <w:t>, както по линия на мерките</w:t>
      </w:r>
      <w:r w:rsidR="006B0BAB" w:rsidRPr="004F3B2A">
        <w:t xml:space="preserve"> за повишаван</w:t>
      </w:r>
      <w:r w:rsidR="006B0BAB">
        <w:t>е на събираемостта на приходите, така и чрез мерки за</w:t>
      </w:r>
      <w:r w:rsidR="006B0BAB" w:rsidRPr="004F3B2A">
        <w:t xml:space="preserve"> приоритизиране и оптимизиране на разходите с цел ограничаване на </w:t>
      </w:r>
      <w:r w:rsidR="006B0BAB" w:rsidRPr="003A7320">
        <w:rPr>
          <w:rStyle w:val="IntenseEmphasis"/>
          <w:i w:val="0"/>
          <w:color w:val="auto"/>
        </w:rPr>
        <w:t>натиска</w:t>
      </w:r>
      <w:r w:rsidR="006B0BAB" w:rsidRPr="003A7320">
        <w:rPr>
          <w:i/>
        </w:rPr>
        <w:t xml:space="preserve"> </w:t>
      </w:r>
      <w:r w:rsidR="006B0BAB" w:rsidRPr="004F3B2A">
        <w:t xml:space="preserve">върху бюджетната позиция. Анализът на параметрите на текущото изпълнение на бюджетите, част от държавния бюджет, очертава потенциални икономии в текущите и капиталовите разходи, предвидени в разчетите по ЗДБРБ за 2025 г. В контекста на напрегнатото бюджетно изпълнение и необходимостта от предприемане на компенсиращи мерки правителството полага максимални усилия за спазване на утвърденото от Народното събрание бюджетно салдо по чл. 1, ал. 3 </w:t>
      </w:r>
      <w:r w:rsidR="009B0A14">
        <w:t>от</w:t>
      </w:r>
      <w:r w:rsidR="006B0BAB" w:rsidRPr="004F3B2A">
        <w:t xml:space="preserve"> ЗДБРБ за 2025 г</w:t>
      </w:r>
      <w:r w:rsidR="009A4E0F">
        <w:t>одина.</w:t>
      </w:r>
    </w:p>
    <w:p w14:paraId="7D47B571" w14:textId="77777777" w:rsidR="006B0BAB" w:rsidRDefault="006B0BAB" w:rsidP="006B0BAB">
      <w:pPr>
        <w:spacing w:after="120"/>
        <w:jc w:val="both"/>
      </w:pPr>
      <w:r w:rsidRPr="004E241F">
        <w:t>В контекста на целите за постигане на салдото на начислена основа, включително при действието на активираната национална клауза за дерогация, важен фактор е недопускане възникването на нови задължения за разходи в края на годината, които независимо че не оказват влияние на касова основа, се отразяват като разход за годината по методологията на ЕСС 2010.</w:t>
      </w:r>
      <w:r>
        <w:t xml:space="preserve"> </w:t>
      </w:r>
    </w:p>
    <w:p w14:paraId="6F09D92B" w14:textId="77777777" w:rsidR="00281237" w:rsidRDefault="00281237" w:rsidP="006B0BAB">
      <w:pPr>
        <w:spacing w:after="120"/>
        <w:jc w:val="both"/>
      </w:pPr>
    </w:p>
    <w:p w14:paraId="67DD269A" w14:textId="77777777" w:rsidR="00281237" w:rsidRPr="000C1331" w:rsidRDefault="00281237" w:rsidP="006B0BAB">
      <w:pPr>
        <w:spacing w:after="120"/>
        <w:jc w:val="both"/>
      </w:pPr>
    </w:p>
    <w:p w14:paraId="7FF797B6" w14:textId="19BE4CC9" w:rsidR="005D7577" w:rsidRPr="006F402B" w:rsidRDefault="005D7577" w:rsidP="005C63FC">
      <w:pPr>
        <w:jc w:val="both"/>
        <w:rPr>
          <w:color w:val="0070C0"/>
          <w:sz w:val="4"/>
          <w:szCs w:val="4"/>
        </w:rPr>
      </w:pPr>
    </w:p>
    <w:p w14:paraId="6389472B" w14:textId="2B186891" w:rsidR="008969AB" w:rsidRPr="002B490A" w:rsidRDefault="008969AB" w:rsidP="00A34FA2">
      <w:pPr>
        <w:pStyle w:val="Heading1"/>
        <w:numPr>
          <w:ilvl w:val="0"/>
          <w:numId w:val="8"/>
        </w:numPr>
        <w:spacing w:before="360"/>
        <w:ind w:left="533" w:right="-108" w:hanging="391"/>
        <w:jc w:val="both"/>
        <w:rPr>
          <w:color w:val="000000" w:themeColor="text1"/>
          <w:sz w:val="24"/>
        </w:rPr>
      </w:pPr>
      <w:r w:rsidRPr="002B490A">
        <w:rPr>
          <w:color w:val="000000" w:themeColor="text1"/>
          <w:sz w:val="24"/>
        </w:rPr>
        <w:lastRenderedPageBreak/>
        <w:t>Основни показатели по консолидираната фискална програма</w:t>
      </w:r>
      <w:r w:rsidRPr="002B490A">
        <w:rPr>
          <w:rStyle w:val="FootnoteReference"/>
          <w:color w:val="000000" w:themeColor="text1"/>
          <w:sz w:val="24"/>
        </w:rPr>
        <w:footnoteReference w:id="4"/>
      </w:r>
      <w:r w:rsidRPr="002B490A">
        <w:rPr>
          <w:color w:val="000000" w:themeColor="text1"/>
          <w:sz w:val="24"/>
        </w:rPr>
        <w:t xml:space="preserve"> за </w:t>
      </w:r>
      <w:r w:rsidR="002B490A" w:rsidRPr="002B490A">
        <w:rPr>
          <w:color w:val="000000" w:themeColor="text1"/>
          <w:sz w:val="24"/>
        </w:rPr>
        <w:t xml:space="preserve">деветмесечието </w:t>
      </w:r>
      <w:r w:rsidRPr="002B490A">
        <w:rPr>
          <w:color w:val="000000" w:themeColor="text1"/>
          <w:sz w:val="24"/>
        </w:rPr>
        <w:t>на 202</w:t>
      </w:r>
      <w:r w:rsidRPr="002B490A">
        <w:rPr>
          <w:color w:val="000000" w:themeColor="text1"/>
          <w:sz w:val="24"/>
          <w:lang w:val="ru-RU"/>
        </w:rPr>
        <w:t>5</w:t>
      </w:r>
      <w:r w:rsidRPr="002B490A">
        <w:rPr>
          <w:color w:val="000000" w:themeColor="text1"/>
          <w:sz w:val="24"/>
        </w:rPr>
        <w:t> г.</w:t>
      </w:r>
    </w:p>
    <w:p w14:paraId="247C2DEA" w14:textId="77777777" w:rsidR="008969AB" w:rsidRPr="002B490A" w:rsidRDefault="008969AB" w:rsidP="008969AB">
      <w:pPr>
        <w:rPr>
          <w:color w:val="000000" w:themeColor="text1"/>
          <w:sz w:val="6"/>
          <w:szCs w:val="12"/>
        </w:rPr>
      </w:pPr>
    </w:p>
    <w:p w14:paraId="7BF8C54C" w14:textId="5D51D31C" w:rsidR="008969AB" w:rsidRPr="002B490A" w:rsidRDefault="008969AB" w:rsidP="008969AB">
      <w:pPr>
        <w:jc w:val="both"/>
        <w:rPr>
          <w:color w:val="000000" w:themeColor="text1"/>
        </w:rPr>
      </w:pPr>
      <w:r w:rsidRPr="002B490A">
        <w:rPr>
          <w:color w:val="000000" w:themeColor="text1"/>
        </w:rPr>
        <w:t xml:space="preserve">Изпълнението на основните показатели по консолидираната фискална програма за </w:t>
      </w:r>
      <w:r w:rsidR="002B490A" w:rsidRPr="002B490A">
        <w:rPr>
          <w:color w:val="000000" w:themeColor="text1"/>
        </w:rPr>
        <w:t>деветмесечието</w:t>
      </w:r>
      <w:r w:rsidR="00A27EC4" w:rsidRPr="002B490A">
        <w:rPr>
          <w:color w:val="000000" w:themeColor="text1"/>
        </w:rPr>
        <w:t xml:space="preserve"> </w:t>
      </w:r>
      <w:r w:rsidRPr="002B490A">
        <w:rPr>
          <w:color w:val="000000" w:themeColor="text1"/>
        </w:rPr>
        <w:t>на 202</w:t>
      </w:r>
      <w:r w:rsidRPr="002B490A">
        <w:rPr>
          <w:color w:val="000000" w:themeColor="text1"/>
          <w:lang w:val="ru-RU"/>
        </w:rPr>
        <w:t>5</w:t>
      </w:r>
      <w:r w:rsidRPr="002B490A">
        <w:rPr>
          <w:color w:val="000000" w:themeColor="text1"/>
        </w:rPr>
        <w:t xml:space="preserve"> г. е представено в следната таблица:</w:t>
      </w:r>
    </w:p>
    <w:p w14:paraId="11B5EB60" w14:textId="77777777" w:rsidR="008969AB" w:rsidRPr="002B490A" w:rsidRDefault="008969AB" w:rsidP="008969AB">
      <w:pPr>
        <w:jc w:val="both"/>
        <w:rPr>
          <w:color w:val="000000" w:themeColor="text1"/>
          <w:sz w:val="4"/>
          <w:szCs w:val="4"/>
        </w:rPr>
      </w:pPr>
    </w:p>
    <w:p w14:paraId="0B13719C" w14:textId="77777777" w:rsidR="008969AB" w:rsidRPr="002B490A" w:rsidRDefault="008969AB" w:rsidP="008969AB">
      <w:pPr>
        <w:spacing w:before="120"/>
        <w:rPr>
          <w:b/>
          <w:i/>
          <w:color w:val="000000" w:themeColor="text1"/>
          <w:sz w:val="22"/>
          <w:szCs w:val="22"/>
        </w:rPr>
      </w:pPr>
      <w:r w:rsidRPr="002B490A">
        <w:rPr>
          <w:b/>
          <w:i/>
          <w:color w:val="000000" w:themeColor="text1"/>
          <w:sz w:val="22"/>
          <w:szCs w:val="22"/>
        </w:rPr>
        <w:t>Таблица</w:t>
      </w:r>
      <w:r w:rsidRPr="002B490A">
        <w:rPr>
          <w:b/>
          <w:i/>
          <w:color w:val="000000" w:themeColor="text1"/>
          <w:sz w:val="22"/>
          <w:szCs w:val="22"/>
          <w:vertAlign w:val="superscript"/>
        </w:rPr>
        <w:footnoteReference w:id="5"/>
      </w:r>
      <w:r w:rsidRPr="002B490A">
        <w:rPr>
          <w:b/>
          <w:i/>
          <w:color w:val="000000" w:themeColor="text1"/>
          <w:sz w:val="22"/>
          <w:szCs w:val="22"/>
        </w:rPr>
        <w:t xml:space="preserve"> №1</w:t>
      </w:r>
      <w:r w:rsidRPr="002B490A">
        <w:rPr>
          <w:b/>
          <w:i/>
          <w:color w:val="000000" w:themeColor="text1"/>
          <w:sz w:val="22"/>
          <w:szCs w:val="22"/>
        </w:rPr>
        <w:tab/>
      </w:r>
    </w:p>
    <w:tbl>
      <w:tblPr>
        <w:tblW w:w="10036" w:type="dxa"/>
        <w:tblInd w:w="98" w:type="dxa"/>
        <w:tblLook w:val="04A0" w:firstRow="1" w:lastRow="0" w:firstColumn="1" w:lastColumn="0" w:noHBand="0" w:noVBand="1"/>
      </w:tblPr>
      <w:tblGrid>
        <w:gridCol w:w="4032"/>
        <w:gridCol w:w="1147"/>
        <w:gridCol w:w="1227"/>
        <w:gridCol w:w="1222"/>
        <w:gridCol w:w="1199"/>
        <w:gridCol w:w="1209"/>
      </w:tblGrid>
      <w:tr w:rsidR="002B490A" w:rsidRPr="002B490A" w14:paraId="61C0A000" w14:textId="77777777" w:rsidTr="002B490A">
        <w:trPr>
          <w:trHeight w:val="265"/>
        </w:trPr>
        <w:tc>
          <w:tcPr>
            <w:tcW w:w="4032" w:type="dxa"/>
            <w:vMerge w:val="restart"/>
            <w:tcBorders>
              <w:top w:val="single" w:sz="8" w:space="0" w:color="auto"/>
              <w:left w:val="single" w:sz="8" w:space="0" w:color="auto"/>
              <w:bottom w:val="single" w:sz="4" w:space="0" w:color="000000"/>
              <w:right w:val="nil"/>
            </w:tcBorders>
            <w:shd w:val="clear" w:color="000000" w:fill="D9D9D9"/>
            <w:noWrap/>
            <w:vAlign w:val="bottom"/>
            <w:hideMark/>
          </w:tcPr>
          <w:p w14:paraId="03FA15D6" w14:textId="77777777" w:rsidR="008969AB" w:rsidRPr="002B490A" w:rsidRDefault="008969AB" w:rsidP="00201AB8">
            <w:pPr>
              <w:jc w:val="center"/>
              <w:rPr>
                <w:b/>
                <w:bCs/>
                <w:color w:val="000000" w:themeColor="text1"/>
                <w:sz w:val="18"/>
                <w:szCs w:val="18"/>
              </w:rPr>
            </w:pPr>
            <w:r w:rsidRPr="002B490A">
              <w:rPr>
                <w:b/>
                <w:bCs/>
                <w:color w:val="000000" w:themeColor="text1"/>
                <w:sz w:val="18"/>
                <w:szCs w:val="18"/>
              </w:rPr>
              <w:t>ПОКАЗАТЕЛ</w:t>
            </w:r>
          </w:p>
        </w:tc>
        <w:tc>
          <w:tcPr>
            <w:tcW w:w="1147" w:type="dxa"/>
            <w:tcBorders>
              <w:top w:val="single" w:sz="8" w:space="0" w:color="auto"/>
              <w:left w:val="single" w:sz="4" w:space="0" w:color="auto"/>
              <w:bottom w:val="nil"/>
              <w:right w:val="single" w:sz="4" w:space="0" w:color="auto"/>
            </w:tcBorders>
            <w:shd w:val="clear" w:color="000000" w:fill="D9D9D9"/>
            <w:noWrap/>
            <w:vAlign w:val="bottom"/>
            <w:hideMark/>
          </w:tcPr>
          <w:p w14:paraId="2C247402" w14:textId="77777777" w:rsidR="008969AB" w:rsidRPr="002B490A" w:rsidRDefault="008969AB" w:rsidP="00201AB8">
            <w:pPr>
              <w:jc w:val="center"/>
              <w:rPr>
                <w:b/>
                <w:bCs/>
                <w:color w:val="000000" w:themeColor="text1"/>
                <w:sz w:val="18"/>
                <w:szCs w:val="18"/>
                <w:highlight w:val="yellow"/>
              </w:rPr>
            </w:pPr>
            <w:r w:rsidRPr="002B490A">
              <w:rPr>
                <w:b/>
                <w:bCs/>
                <w:color w:val="000000" w:themeColor="text1"/>
                <w:sz w:val="18"/>
                <w:szCs w:val="18"/>
              </w:rPr>
              <w:t>Разчет 20</w:t>
            </w:r>
            <w:r w:rsidRPr="002B490A">
              <w:rPr>
                <w:b/>
                <w:bCs/>
                <w:color w:val="000000" w:themeColor="text1"/>
                <w:sz w:val="18"/>
                <w:szCs w:val="18"/>
                <w:lang w:val="en-US"/>
              </w:rPr>
              <w:t>25</w:t>
            </w:r>
            <w:r w:rsidRPr="002B490A">
              <w:rPr>
                <w:b/>
                <w:bCs/>
                <w:color w:val="000000" w:themeColor="text1"/>
                <w:sz w:val="18"/>
                <w:szCs w:val="18"/>
              </w:rPr>
              <w:t xml:space="preserve"> г.</w:t>
            </w:r>
            <w:r w:rsidRPr="002B490A">
              <w:rPr>
                <w:rStyle w:val="FootnoteReference"/>
                <w:b/>
                <w:bCs/>
                <w:color w:val="000000" w:themeColor="text1"/>
                <w:sz w:val="18"/>
                <w:szCs w:val="18"/>
              </w:rPr>
              <w:footnoteReference w:id="6"/>
            </w:r>
          </w:p>
        </w:tc>
        <w:tc>
          <w:tcPr>
            <w:tcW w:w="3648" w:type="dxa"/>
            <w:gridSpan w:val="3"/>
            <w:tcBorders>
              <w:top w:val="single" w:sz="8" w:space="0" w:color="auto"/>
              <w:left w:val="nil"/>
              <w:bottom w:val="single" w:sz="4" w:space="0" w:color="auto"/>
              <w:right w:val="single" w:sz="4" w:space="0" w:color="auto"/>
            </w:tcBorders>
            <w:shd w:val="clear" w:color="000000" w:fill="D9D9D9"/>
            <w:noWrap/>
            <w:vAlign w:val="center"/>
            <w:hideMark/>
          </w:tcPr>
          <w:p w14:paraId="0D832C39" w14:textId="25B63801" w:rsidR="008969AB" w:rsidRPr="002B490A" w:rsidRDefault="008969AB" w:rsidP="002B490A">
            <w:pPr>
              <w:jc w:val="center"/>
              <w:rPr>
                <w:b/>
                <w:bCs/>
                <w:color w:val="000000" w:themeColor="text1"/>
                <w:sz w:val="18"/>
                <w:szCs w:val="18"/>
              </w:rPr>
            </w:pPr>
            <w:r w:rsidRPr="002B490A">
              <w:rPr>
                <w:b/>
                <w:bCs/>
                <w:color w:val="000000" w:themeColor="text1"/>
                <w:sz w:val="18"/>
                <w:szCs w:val="18"/>
              </w:rPr>
              <w:t xml:space="preserve">Отчет към </w:t>
            </w:r>
            <w:r w:rsidR="00464CB3" w:rsidRPr="002B490A">
              <w:rPr>
                <w:b/>
                <w:bCs/>
                <w:color w:val="000000" w:themeColor="text1"/>
                <w:sz w:val="18"/>
                <w:szCs w:val="18"/>
              </w:rPr>
              <w:t>30</w:t>
            </w:r>
            <w:r w:rsidRPr="002B490A">
              <w:rPr>
                <w:b/>
                <w:bCs/>
                <w:color w:val="000000" w:themeColor="text1"/>
                <w:sz w:val="18"/>
                <w:szCs w:val="18"/>
              </w:rPr>
              <w:t>.</w:t>
            </w:r>
            <w:r w:rsidR="00464CB3" w:rsidRPr="002B490A">
              <w:rPr>
                <w:b/>
                <w:bCs/>
                <w:color w:val="000000" w:themeColor="text1"/>
                <w:sz w:val="18"/>
                <w:szCs w:val="18"/>
              </w:rPr>
              <w:t>0</w:t>
            </w:r>
            <w:r w:rsidR="002B490A" w:rsidRPr="002B490A">
              <w:rPr>
                <w:b/>
                <w:bCs/>
                <w:color w:val="000000" w:themeColor="text1"/>
                <w:sz w:val="18"/>
                <w:szCs w:val="18"/>
              </w:rPr>
              <w:t>9</w:t>
            </w:r>
            <w:r w:rsidRPr="002B490A">
              <w:rPr>
                <w:b/>
                <w:bCs/>
                <w:color w:val="000000" w:themeColor="text1"/>
                <w:sz w:val="18"/>
                <w:szCs w:val="18"/>
              </w:rPr>
              <w:t>.20</w:t>
            </w:r>
            <w:r w:rsidRPr="002B490A">
              <w:rPr>
                <w:b/>
                <w:bCs/>
                <w:color w:val="000000" w:themeColor="text1"/>
                <w:sz w:val="18"/>
                <w:szCs w:val="18"/>
                <w:lang w:val="en-US"/>
              </w:rPr>
              <w:t>2</w:t>
            </w:r>
            <w:r w:rsidRPr="002B490A">
              <w:rPr>
                <w:b/>
                <w:bCs/>
                <w:color w:val="000000" w:themeColor="text1"/>
                <w:sz w:val="18"/>
                <w:szCs w:val="18"/>
              </w:rPr>
              <w:t>5 г.</w:t>
            </w:r>
          </w:p>
        </w:tc>
        <w:tc>
          <w:tcPr>
            <w:tcW w:w="1209" w:type="dxa"/>
            <w:tcBorders>
              <w:top w:val="single" w:sz="8" w:space="0" w:color="auto"/>
              <w:left w:val="nil"/>
              <w:bottom w:val="nil"/>
              <w:right w:val="single" w:sz="8" w:space="0" w:color="auto"/>
            </w:tcBorders>
            <w:shd w:val="clear" w:color="000000" w:fill="D9D9D9"/>
            <w:noWrap/>
            <w:vAlign w:val="bottom"/>
            <w:hideMark/>
          </w:tcPr>
          <w:p w14:paraId="7C4442B9" w14:textId="77777777" w:rsidR="008969AB" w:rsidRPr="002B490A" w:rsidRDefault="008969AB" w:rsidP="00201AB8">
            <w:pPr>
              <w:jc w:val="center"/>
              <w:rPr>
                <w:b/>
                <w:bCs/>
                <w:color w:val="000000" w:themeColor="text1"/>
                <w:sz w:val="18"/>
                <w:szCs w:val="18"/>
              </w:rPr>
            </w:pPr>
            <w:r w:rsidRPr="002B490A">
              <w:rPr>
                <w:b/>
                <w:bCs/>
                <w:color w:val="000000" w:themeColor="text1"/>
                <w:sz w:val="18"/>
                <w:szCs w:val="18"/>
              </w:rPr>
              <w:t>Изпълнение</w:t>
            </w:r>
          </w:p>
        </w:tc>
      </w:tr>
      <w:tr w:rsidR="002B490A" w:rsidRPr="002B490A" w14:paraId="6AC058EF" w14:textId="77777777" w:rsidTr="002B490A">
        <w:trPr>
          <w:trHeight w:val="250"/>
        </w:trPr>
        <w:tc>
          <w:tcPr>
            <w:tcW w:w="4032" w:type="dxa"/>
            <w:vMerge/>
            <w:tcBorders>
              <w:top w:val="single" w:sz="8" w:space="0" w:color="auto"/>
              <w:left w:val="single" w:sz="8" w:space="0" w:color="auto"/>
              <w:bottom w:val="single" w:sz="4" w:space="0" w:color="000000"/>
              <w:right w:val="nil"/>
            </w:tcBorders>
            <w:vAlign w:val="center"/>
            <w:hideMark/>
          </w:tcPr>
          <w:p w14:paraId="35C71650" w14:textId="77777777" w:rsidR="008969AB" w:rsidRPr="002B490A" w:rsidRDefault="008969AB" w:rsidP="00201AB8">
            <w:pPr>
              <w:rPr>
                <w:b/>
                <w:bCs/>
                <w:color w:val="000000" w:themeColor="text1"/>
                <w:sz w:val="18"/>
                <w:szCs w:val="18"/>
              </w:rPr>
            </w:pPr>
          </w:p>
        </w:tc>
        <w:tc>
          <w:tcPr>
            <w:tcW w:w="1147" w:type="dxa"/>
            <w:tcBorders>
              <w:top w:val="nil"/>
              <w:left w:val="single" w:sz="4" w:space="0" w:color="auto"/>
              <w:bottom w:val="single" w:sz="4" w:space="0" w:color="auto"/>
              <w:right w:val="single" w:sz="4" w:space="0" w:color="auto"/>
            </w:tcBorders>
            <w:shd w:val="clear" w:color="000000" w:fill="D9D9D9"/>
            <w:noWrap/>
            <w:vAlign w:val="bottom"/>
            <w:hideMark/>
          </w:tcPr>
          <w:p w14:paraId="31AFCDA2" w14:textId="77777777" w:rsidR="008969AB" w:rsidRPr="002B490A" w:rsidRDefault="008969AB" w:rsidP="00201AB8">
            <w:pPr>
              <w:jc w:val="center"/>
              <w:rPr>
                <w:b/>
                <w:bCs/>
                <w:color w:val="000000" w:themeColor="text1"/>
                <w:sz w:val="18"/>
                <w:szCs w:val="18"/>
              </w:rPr>
            </w:pPr>
            <w:r w:rsidRPr="002B490A">
              <w:rPr>
                <w:b/>
                <w:bCs/>
                <w:color w:val="000000" w:themeColor="text1"/>
                <w:sz w:val="18"/>
                <w:szCs w:val="18"/>
              </w:rPr>
              <w:t xml:space="preserve"> КФП</w:t>
            </w:r>
          </w:p>
        </w:tc>
        <w:tc>
          <w:tcPr>
            <w:tcW w:w="1227" w:type="dxa"/>
            <w:tcBorders>
              <w:top w:val="nil"/>
              <w:left w:val="nil"/>
              <w:bottom w:val="single" w:sz="4" w:space="0" w:color="auto"/>
              <w:right w:val="single" w:sz="4" w:space="0" w:color="auto"/>
            </w:tcBorders>
            <w:shd w:val="clear" w:color="000000" w:fill="D9D9D9"/>
            <w:noWrap/>
            <w:vAlign w:val="bottom"/>
            <w:hideMark/>
          </w:tcPr>
          <w:p w14:paraId="4070A022" w14:textId="77777777" w:rsidR="008969AB" w:rsidRPr="002B490A" w:rsidRDefault="008969AB" w:rsidP="00201AB8">
            <w:pPr>
              <w:jc w:val="center"/>
              <w:rPr>
                <w:b/>
                <w:bCs/>
                <w:color w:val="000000" w:themeColor="text1"/>
                <w:sz w:val="18"/>
                <w:szCs w:val="18"/>
              </w:rPr>
            </w:pPr>
            <w:r w:rsidRPr="002B490A">
              <w:rPr>
                <w:b/>
                <w:bCs/>
                <w:color w:val="000000" w:themeColor="text1"/>
                <w:sz w:val="18"/>
                <w:szCs w:val="18"/>
              </w:rPr>
              <w:t xml:space="preserve"> КФП</w:t>
            </w:r>
          </w:p>
        </w:tc>
        <w:tc>
          <w:tcPr>
            <w:tcW w:w="1222" w:type="dxa"/>
            <w:tcBorders>
              <w:top w:val="nil"/>
              <w:left w:val="nil"/>
              <w:bottom w:val="single" w:sz="4" w:space="0" w:color="auto"/>
              <w:right w:val="single" w:sz="4" w:space="0" w:color="auto"/>
            </w:tcBorders>
            <w:shd w:val="clear" w:color="000000" w:fill="D9D9D9"/>
            <w:noWrap/>
            <w:vAlign w:val="bottom"/>
            <w:hideMark/>
          </w:tcPr>
          <w:p w14:paraId="3BBC21DA" w14:textId="77777777" w:rsidR="008969AB" w:rsidRPr="002B490A" w:rsidRDefault="008969AB" w:rsidP="00201AB8">
            <w:pPr>
              <w:jc w:val="center"/>
              <w:rPr>
                <w:b/>
                <w:bCs/>
                <w:color w:val="000000" w:themeColor="text1"/>
                <w:sz w:val="18"/>
                <w:szCs w:val="18"/>
              </w:rPr>
            </w:pPr>
            <w:r w:rsidRPr="002B490A">
              <w:rPr>
                <w:b/>
                <w:bCs/>
                <w:color w:val="000000" w:themeColor="text1"/>
                <w:sz w:val="18"/>
                <w:szCs w:val="18"/>
              </w:rPr>
              <w:t>Национален бюджет</w:t>
            </w:r>
          </w:p>
        </w:tc>
        <w:tc>
          <w:tcPr>
            <w:tcW w:w="1199" w:type="dxa"/>
            <w:tcBorders>
              <w:top w:val="nil"/>
              <w:left w:val="nil"/>
              <w:bottom w:val="single" w:sz="4" w:space="0" w:color="auto"/>
              <w:right w:val="single" w:sz="4" w:space="0" w:color="auto"/>
            </w:tcBorders>
            <w:shd w:val="clear" w:color="000000" w:fill="D9D9D9"/>
            <w:noWrap/>
            <w:vAlign w:val="bottom"/>
            <w:hideMark/>
          </w:tcPr>
          <w:p w14:paraId="3B6B7872" w14:textId="77777777" w:rsidR="008969AB" w:rsidRPr="002B490A" w:rsidRDefault="008969AB" w:rsidP="00201AB8">
            <w:pPr>
              <w:jc w:val="center"/>
              <w:rPr>
                <w:b/>
                <w:bCs/>
                <w:color w:val="000000" w:themeColor="text1"/>
                <w:sz w:val="18"/>
                <w:szCs w:val="18"/>
              </w:rPr>
            </w:pPr>
            <w:r w:rsidRPr="002B490A">
              <w:rPr>
                <w:b/>
                <w:bCs/>
                <w:color w:val="000000" w:themeColor="text1"/>
                <w:sz w:val="18"/>
                <w:szCs w:val="18"/>
              </w:rPr>
              <w:t>Европейски средства</w:t>
            </w:r>
          </w:p>
        </w:tc>
        <w:tc>
          <w:tcPr>
            <w:tcW w:w="1209" w:type="dxa"/>
            <w:tcBorders>
              <w:top w:val="nil"/>
              <w:left w:val="nil"/>
              <w:bottom w:val="single" w:sz="4" w:space="0" w:color="auto"/>
              <w:right w:val="single" w:sz="8" w:space="0" w:color="auto"/>
            </w:tcBorders>
            <w:shd w:val="clear" w:color="000000" w:fill="D9D9D9"/>
            <w:noWrap/>
            <w:vAlign w:val="bottom"/>
            <w:hideMark/>
          </w:tcPr>
          <w:p w14:paraId="24F8757F" w14:textId="77777777" w:rsidR="008969AB" w:rsidRPr="002B490A" w:rsidRDefault="008969AB" w:rsidP="00201AB8">
            <w:pPr>
              <w:jc w:val="center"/>
              <w:rPr>
                <w:b/>
                <w:bCs/>
                <w:color w:val="000000" w:themeColor="text1"/>
                <w:sz w:val="18"/>
                <w:szCs w:val="18"/>
              </w:rPr>
            </w:pPr>
            <w:r w:rsidRPr="002B490A">
              <w:rPr>
                <w:b/>
                <w:bCs/>
                <w:color w:val="000000" w:themeColor="text1"/>
                <w:sz w:val="18"/>
                <w:szCs w:val="18"/>
              </w:rPr>
              <w:t>спрямо разчет</w:t>
            </w:r>
          </w:p>
        </w:tc>
      </w:tr>
      <w:tr w:rsidR="002B490A" w:rsidRPr="002B490A" w14:paraId="3DAFDC97" w14:textId="77777777" w:rsidTr="002B490A">
        <w:trPr>
          <w:trHeight w:val="265"/>
        </w:trPr>
        <w:tc>
          <w:tcPr>
            <w:tcW w:w="4032" w:type="dxa"/>
            <w:tcBorders>
              <w:top w:val="nil"/>
              <w:left w:val="single" w:sz="8" w:space="0" w:color="auto"/>
              <w:bottom w:val="single" w:sz="8" w:space="0" w:color="auto"/>
              <w:right w:val="nil"/>
            </w:tcBorders>
            <w:shd w:val="clear" w:color="000000" w:fill="D9D9D9"/>
            <w:noWrap/>
            <w:vAlign w:val="bottom"/>
            <w:hideMark/>
          </w:tcPr>
          <w:p w14:paraId="7020B3D2" w14:textId="77777777" w:rsidR="008969AB" w:rsidRPr="002B490A" w:rsidRDefault="008969AB" w:rsidP="00201AB8">
            <w:pPr>
              <w:jc w:val="center"/>
              <w:rPr>
                <w:color w:val="000000" w:themeColor="text1"/>
                <w:sz w:val="18"/>
                <w:szCs w:val="18"/>
              </w:rPr>
            </w:pPr>
            <w:r w:rsidRPr="002B490A">
              <w:rPr>
                <w:color w:val="000000" w:themeColor="text1"/>
                <w:sz w:val="18"/>
                <w:szCs w:val="18"/>
              </w:rPr>
              <w:t>к.1</w:t>
            </w:r>
          </w:p>
        </w:tc>
        <w:tc>
          <w:tcPr>
            <w:tcW w:w="1147" w:type="dxa"/>
            <w:tcBorders>
              <w:top w:val="nil"/>
              <w:left w:val="single" w:sz="4" w:space="0" w:color="auto"/>
              <w:bottom w:val="single" w:sz="8" w:space="0" w:color="auto"/>
              <w:right w:val="single" w:sz="4" w:space="0" w:color="auto"/>
            </w:tcBorders>
            <w:shd w:val="clear" w:color="000000" w:fill="D9D9D9"/>
            <w:noWrap/>
            <w:vAlign w:val="bottom"/>
            <w:hideMark/>
          </w:tcPr>
          <w:p w14:paraId="319F67D1" w14:textId="77777777" w:rsidR="008969AB" w:rsidRPr="002B490A" w:rsidRDefault="008969AB" w:rsidP="00201AB8">
            <w:pPr>
              <w:jc w:val="center"/>
              <w:rPr>
                <w:bCs/>
                <w:color w:val="000000" w:themeColor="text1"/>
                <w:sz w:val="18"/>
                <w:szCs w:val="18"/>
              </w:rPr>
            </w:pPr>
            <w:r w:rsidRPr="002B490A">
              <w:rPr>
                <w:bCs/>
                <w:color w:val="000000" w:themeColor="text1"/>
                <w:sz w:val="18"/>
                <w:szCs w:val="18"/>
              </w:rPr>
              <w:t>к.2</w:t>
            </w:r>
          </w:p>
        </w:tc>
        <w:tc>
          <w:tcPr>
            <w:tcW w:w="1227" w:type="dxa"/>
            <w:tcBorders>
              <w:top w:val="nil"/>
              <w:left w:val="nil"/>
              <w:bottom w:val="single" w:sz="8" w:space="0" w:color="auto"/>
              <w:right w:val="single" w:sz="4" w:space="0" w:color="auto"/>
            </w:tcBorders>
            <w:shd w:val="clear" w:color="000000" w:fill="D9D9D9"/>
            <w:noWrap/>
            <w:vAlign w:val="bottom"/>
            <w:hideMark/>
          </w:tcPr>
          <w:p w14:paraId="4B5E7F63" w14:textId="77777777" w:rsidR="008969AB" w:rsidRPr="002B490A" w:rsidRDefault="008969AB" w:rsidP="00201AB8">
            <w:pPr>
              <w:jc w:val="center"/>
              <w:rPr>
                <w:color w:val="000000" w:themeColor="text1"/>
                <w:sz w:val="18"/>
                <w:szCs w:val="18"/>
              </w:rPr>
            </w:pPr>
            <w:r w:rsidRPr="002B490A">
              <w:rPr>
                <w:color w:val="000000" w:themeColor="text1"/>
                <w:sz w:val="18"/>
                <w:szCs w:val="18"/>
              </w:rPr>
              <w:t>к.3=к.4+к.5</w:t>
            </w:r>
          </w:p>
        </w:tc>
        <w:tc>
          <w:tcPr>
            <w:tcW w:w="1222" w:type="dxa"/>
            <w:tcBorders>
              <w:top w:val="nil"/>
              <w:left w:val="nil"/>
              <w:bottom w:val="single" w:sz="8" w:space="0" w:color="auto"/>
              <w:right w:val="single" w:sz="4" w:space="0" w:color="auto"/>
            </w:tcBorders>
            <w:shd w:val="clear" w:color="000000" w:fill="D9D9D9"/>
            <w:noWrap/>
            <w:vAlign w:val="bottom"/>
            <w:hideMark/>
          </w:tcPr>
          <w:p w14:paraId="0349D73B" w14:textId="77777777" w:rsidR="008969AB" w:rsidRPr="002B490A" w:rsidRDefault="008969AB" w:rsidP="00201AB8">
            <w:pPr>
              <w:jc w:val="center"/>
              <w:rPr>
                <w:color w:val="000000" w:themeColor="text1"/>
                <w:sz w:val="18"/>
                <w:szCs w:val="18"/>
              </w:rPr>
            </w:pPr>
            <w:r w:rsidRPr="002B490A">
              <w:rPr>
                <w:color w:val="000000" w:themeColor="text1"/>
                <w:sz w:val="18"/>
                <w:szCs w:val="18"/>
              </w:rPr>
              <w:t>к.4</w:t>
            </w:r>
          </w:p>
        </w:tc>
        <w:tc>
          <w:tcPr>
            <w:tcW w:w="1199" w:type="dxa"/>
            <w:tcBorders>
              <w:top w:val="nil"/>
              <w:left w:val="nil"/>
              <w:bottom w:val="single" w:sz="8" w:space="0" w:color="auto"/>
              <w:right w:val="single" w:sz="4" w:space="0" w:color="auto"/>
            </w:tcBorders>
            <w:shd w:val="clear" w:color="000000" w:fill="D9D9D9"/>
            <w:noWrap/>
            <w:vAlign w:val="bottom"/>
            <w:hideMark/>
          </w:tcPr>
          <w:p w14:paraId="42D292E1" w14:textId="77777777" w:rsidR="008969AB" w:rsidRPr="002B490A" w:rsidRDefault="008969AB" w:rsidP="00201AB8">
            <w:pPr>
              <w:jc w:val="center"/>
              <w:rPr>
                <w:color w:val="000000" w:themeColor="text1"/>
                <w:sz w:val="18"/>
                <w:szCs w:val="18"/>
              </w:rPr>
            </w:pPr>
            <w:r w:rsidRPr="002B490A">
              <w:rPr>
                <w:color w:val="000000" w:themeColor="text1"/>
                <w:sz w:val="18"/>
                <w:szCs w:val="18"/>
              </w:rPr>
              <w:t>к.5</w:t>
            </w:r>
          </w:p>
        </w:tc>
        <w:tc>
          <w:tcPr>
            <w:tcW w:w="1209" w:type="dxa"/>
            <w:tcBorders>
              <w:top w:val="nil"/>
              <w:left w:val="nil"/>
              <w:bottom w:val="single" w:sz="8" w:space="0" w:color="auto"/>
              <w:right w:val="single" w:sz="8" w:space="0" w:color="auto"/>
            </w:tcBorders>
            <w:shd w:val="clear" w:color="000000" w:fill="D9D9D9"/>
            <w:noWrap/>
            <w:vAlign w:val="bottom"/>
            <w:hideMark/>
          </w:tcPr>
          <w:p w14:paraId="23598E2B" w14:textId="77777777" w:rsidR="008969AB" w:rsidRPr="002B490A" w:rsidRDefault="008969AB" w:rsidP="00201AB8">
            <w:pPr>
              <w:jc w:val="center"/>
              <w:rPr>
                <w:bCs/>
                <w:color w:val="000000" w:themeColor="text1"/>
                <w:sz w:val="18"/>
                <w:szCs w:val="18"/>
              </w:rPr>
            </w:pPr>
            <w:r w:rsidRPr="002B490A">
              <w:rPr>
                <w:bCs/>
                <w:color w:val="000000" w:themeColor="text1"/>
                <w:sz w:val="18"/>
                <w:szCs w:val="18"/>
              </w:rPr>
              <w:t>к.6=к.3:к.2</w:t>
            </w:r>
          </w:p>
        </w:tc>
      </w:tr>
      <w:tr w:rsidR="002B490A" w:rsidRPr="002807FE" w14:paraId="1E830204" w14:textId="77777777" w:rsidTr="002B490A">
        <w:trPr>
          <w:trHeight w:val="250"/>
        </w:trPr>
        <w:tc>
          <w:tcPr>
            <w:tcW w:w="4032" w:type="dxa"/>
            <w:tcBorders>
              <w:top w:val="single" w:sz="8" w:space="0" w:color="auto"/>
              <w:left w:val="single" w:sz="8" w:space="0" w:color="auto"/>
              <w:bottom w:val="nil"/>
              <w:right w:val="single" w:sz="4" w:space="0" w:color="auto"/>
            </w:tcBorders>
            <w:shd w:val="clear" w:color="auto" w:fill="auto"/>
            <w:noWrap/>
            <w:vAlign w:val="bottom"/>
            <w:hideMark/>
          </w:tcPr>
          <w:p w14:paraId="1EAE65F3" w14:textId="77777777" w:rsidR="002B490A" w:rsidRPr="002B490A" w:rsidRDefault="002B490A" w:rsidP="002B490A">
            <w:pPr>
              <w:rPr>
                <w:b/>
                <w:bCs/>
                <w:color w:val="000000" w:themeColor="text1"/>
                <w:sz w:val="18"/>
                <w:szCs w:val="18"/>
              </w:rPr>
            </w:pPr>
            <w:r w:rsidRPr="002B490A">
              <w:rPr>
                <w:b/>
                <w:bCs/>
                <w:color w:val="000000" w:themeColor="text1"/>
                <w:sz w:val="18"/>
                <w:szCs w:val="18"/>
              </w:rPr>
              <w:t>ПРИХОДИ, ПОМОЩИ И ДАРЕНИЯ</w:t>
            </w:r>
          </w:p>
        </w:tc>
        <w:tc>
          <w:tcPr>
            <w:tcW w:w="1147" w:type="dxa"/>
            <w:tcBorders>
              <w:top w:val="nil"/>
              <w:left w:val="single" w:sz="4" w:space="0" w:color="auto"/>
              <w:bottom w:val="nil"/>
              <w:right w:val="nil"/>
            </w:tcBorders>
            <w:shd w:val="clear" w:color="auto" w:fill="auto"/>
            <w:noWrap/>
            <w:vAlign w:val="bottom"/>
            <w:hideMark/>
          </w:tcPr>
          <w:p w14:paraId="2389CDA2" w14:textId="77777777" w:rsidR="002B490A" w:rsidRPr="002B490A" w:rsidRDefault="002B490A" w:rsidP="002B490A">
            <w:pPr>
              <w:jc w:val="right"/>
              <w:rPr>
                <w:b/>
                <w:bCs/>
                <w:color w:val="000000" w:themeColor="text1"/>
                <w:sz w:val="18"/>
                <w:szCs w:val="18"/>
              </w:rPr>
            </w:pPr>
            <w:r w:rsidRPr="002B490A">
              <w:rPr>
                <w:b/>
                <w:bCs/>
                <w:color w:val="000000" w:themeColor="text1"/>
                <w:sz w:val="18"/>
                <w:szCs w:val="18"/>
              </w:rPr>
              <w:t>90 270,8</w:t>
            </w:r>
          </w:p>
        </w:tc>
        <w:tc>
          <w:tcPr>
            <w:tcW w:w="1227" w:type="dxa"/>
            <w:tcBorders>
              <w:top w:val="nil"/>
              <w:left w:val="nil"/>
              <w:bottom w:val="nil"/>
              <w:right w:val="nil"/>
            </w:tcBorders>
            <w:shd w:val="clear" w:color="auto" w:fill="auto"/>
            <w:noWrap/>
            <w:vAlign w:val="bottom"/>
            <w:hideMark/>
          </w:tcPr>
          <w:p w14:paraId="78A275B9" w14:textId="0E02A4F9" w:rsidR="002B490A" w:rsidRPr="002807FE" w:rsidRDefault="002B490A" w:rsidP="002B490A">
            <w:pPr>
              <w:jc w:val="right"/>
              <w:rPr>
                <w:b/>
                <w:bCs/>
                <w:color w:val="0070C0"/>
                <w:sz w:val="18"/>
                <w:szCs w:val="18"/>
              </w:rPr>
            </w:pPr>
            <w:r>
              <w:rPr>
                <w:b/>
                <w:bCs/>
                <w:sz w:val="18"/>
                <w:szCs w:val="18"/>
              </w:rPr>
              <w:t>59 755,8</w:t>
            </w:r>
          </w:p>
        </w:tc>
        <w:tc>
          <w:tcPr>
            <w:tcW w:w="1222" w:type="dxa"/>
            <w:tcBorders>
              <w:top w:val="nil"/>
              <w:left w:val="nil"/>
              <w:bottom w:val="nil"/>
              <w:right w:val="nil"/>
            </w:tcBorders>
            <w:shd w:val="clear" w:color="auto" w:fill="auto"/>
            <w:noWrap/>
            <w:vAlign w:val="bottom"/>
            <w:hideMark/>
          </w:tcPr>
          <w:p w14:paraId="0B8B2B0D" w14:textId="39EE66BC" w:rsidR="002B490A" w:rsidRPr="002807FE" w:rsidRDefault="002B490A" w:rsidP="002B490A">
            <w:pPr>
              <w:jc w:val="right"/>
              <w:rPr>
                <w:b/>
                <w:bCs/>
                <w:color w:val="0070C0"/>
                <w:sz w:val="18"/>
                <w:szCs w:val="18"/>
              </w:rPr>
            </w:pPr>
            <w:r>
              <w:rPr>
                <w:b/>
                <w:bCs/>
                <w:sz w:val="18"/>
                <w:szCs w:val="18"/>
              </w:rPr>
              <w:t>57 928,7</w:t>
            </w:r>
          </w:p>
        </w:tc>
        <w:tc>
          <w:tcPr>
            <w:tcW w:w="1199" w:type="dxa"/>
            <w:tcBorders>
              <w:top w:val="nil"/>
              <w:left w:val="nil"/>
              <w:bottom w:val="nil"/>
              <w:right w:val="nil"/>
            </w:tcBorders>
            <w:shd w:val="clear" w:color="auto" w:fill="auto"/>
            <w:noWrap/>
            <w:vAlign w:val="bottom"/>
            <w:hideMark/>
          </w:tcPr>
          <w:p w14:paraId="74FF5A7A" w14:textId="27D20EF5" w:rsidR="002B490A" w:rsidRPr="002807FE" w:rsidRDefault="002B490A" w:rsidP="002B490A">
            <w:pPr>
              <w:jc w:val="right"/>
              <w:rPr>
                <w:b/>
                <w:bCs/>
                <w:color w:val="0070C0"/>
                <w:sz w:val="18"/>
                <w:szCs w:val="18"/>
              </w:rPr>
            </w:pPr>
            <w:r>
              <w:rPr>
                <w:b/>
                <w:bCs/>
                <w:sz w:val="18"/>
                <w:szCs w:val="18"/>
              </w:rPr>
              <w:t>1 827,2</w:t>
            </w:r>
          </w:p>
        </w:tc>
        <w:tc>
          <w:tcPr>
            <w:tcW w:w="1209" w:type="dxa"/>
            <w:tcBorders>
              <w:top w:val="nil"/>
              <w:left w:val="nil"/>
              <w:bottom w:val="nil"/>
              <w:right w:val="single" w:sz="8" w:space="0" w:color="auto"/>
            </w:tcBorders>
            <w:shd w:val="clear" w:color="auto" w:fill="auto"/>
            <w:noWrap/>
            <w:vAlign w:val="bottom"/>
            <w:hideMark/>
          </w:tcPr>
          <w:p w14:paraId="033EE27A" w14:textId="1ECF20CD" w:rsidR="002B490A" w:rsidRPr="002807FE" w:rsidRDefault="002B490A" w:rsidP="002B490A">
            <w:pPr>
              <w:jc w:val="right"/>
              <w:rPr>
                <w:b/>
                <w:bCs/>
                <w:color w:val="0070C0"/>
                <w:sz w:val="18"/>
                <w:szCs w:val="18"/>
              </w:rPr>
            </w:pPr>
            <w:r>
              <w:rPr>
                <w:b/>
                <w:bCs/>
                <w:sz w:val="18"/>
                <w:szCs w:val="18"/>
              </w:rPr>
              <w:t>66,2%</w:t>
            </w:r>
          </w:p>
        </w:tc>
      </w:tr>
      <w:tr w:rsidR="002B490A" w:rsidRPr="002807FE" w14:paraId="2772875F" w14:textId="77777777" w:rsidTr="002B490A">
        <w:trPr>
          <w:trHeight w:val="250"/>
        </w:trPr>
        <w:tc>
          <w:tcPr>
            <w:tcW w:w="4032" w:type="dxa"/>
            <w:tcBorders>
              <w:top w:val="nil"/>
              <w:left w:val="single" w:sz="8" w:space="0" w:color="auto"/>
              <w:bottom w:val="nil"/>
              <w:right w:val="single" w:sz="4" w:space="0" w:color="auto"/>
            </w:tcBorders>
            <w:shd w:val="clear" w:color="auto" w:fill="auto"/>
            <w:noWrap/>
            <w:vAlign w:val="bottom"/>
            <w:hideMark/>
          </w:tcPr>
          <w:p w14:paraId="22F126ED" w14:textId="77777777" w:rsidR="002B490A" w:rsidRPr="002B490A" w:rsidRDefault="002B490A" w:rsidP="002B490A">
            <w:pPr>
              <w:rPr>
                <w:color w:val="000000" w:themeColor="text1"/>
                <w:sz w:val="18"/>
                <w:szCs w:val="18"/>
              </w:rPr>
            </w:pPr>
            <w:r w:rsidRPr="002B490A">
              <w:rPr>
                <w:color w:val="000000" w:themeColor="text1"/>
                <w:sz w:val="18"/>
                <w:szCs w:val="18"/>
              </w:rPr>
              <w:t xml:space="preserve">  Данъчни приходи</w:t>
            </w:r>
          </w:p>
        </w:tc>
        <w:tc>
          <w:tcPr>
            <w:tcW w:w="1147" w:type="dxa"/>
            <w:tcBorders>
              <w:top w:val="nil"/>
              <w:left w:val="single" w:sz="4" w:space="0" w:color="auto"/>
              <w:bottom w:val="nil"/>
              <w:right w:val="nil"/>
            </w:tcBorders>
            <w:shd w:val="clear" w:color="auto" w:fill="auto"/>
            <w:noWrap/>
            <w:vAlign w:val="bottom"/>
            <w:hideMark/>
          </w:tcPr>
          <w:p w14:paraId="186F29EB" w14:textId="77777777" w:rsidR="002B490A" w:rsidRPr="002B490A" w:rsidRDefault="002B490A" w:rsidP="002B490A">
            <w:pPr>
              <w:jc w:val="right"/>
              <w:rPr>
                <w:color w:val="000000" w:themeColor="text1"/>
                <w:sz w:val="18"/>
                <w:szCs w:val="18"/>
              </w:rPr>
            </w:pPr>
            <w:r w:rsidRPr="002B490A">
              <w:rPr>
                <w:color w:val="000000" w:themeColor="text1"/>
                <w:sz w:val="18"/>
                <w:szCs w:val="18"/>
              </w:rPr>
              <w:t>70 843,2</w:t>
            </w:r>
          </w:p>
        </w:tc>
        <w:tc>
          <w:tcPr>
            <w:tcW w:w="1227" w:type="dxa"/>
            <w:tcBorders>
              <w:top w:val="nil"/>
              <w:left w:val="nil"/>
              <w:bottom w:val="nil"/>
              <w:right w:val="nil"/>
            </w:tcBorders>
            <w:shd w:val="clear" w:color="auto" w:fill="auto"/>
            <w:noWrap/>
            <w:vAlign w:val="bottom"/>
            <w:hideMark/>
          </w:tcPr>
          <w:p w14:paraId="7BA7CB59" w14:textId="6B91477A" w:rsidR="002B490A" w:rsidRPr="002807FE" w:rsidRDefault="002B490A" w:rsidP="002B490A">
            <w:pPr>
              <w:jc w:val="right"/>
              <w:rPr>
                <w:color w:val="0070C0"/>
                <w:sz w:val="18"/>
                <w:szCs w:val="18"/>
              </w:rPr>
            </w:pPr>
            <w:r>
              <w:rPr>
                <w:sz w:val="18"/>
                <w:szCs w:val="18"/>
              </w:rPr>
              <w:t>48 405,5</w:t>
            </w:r>
          </w:p>
        </w:tc>
        <w:tc>
          <w:tcPr>
            <w:tcW w:w="1222" w:type="dxa"/>
            <w:tcBorders>
              <w:top w:val="nil"/>
              <w:left w:val="nil"/>
              <w:bottom w:val="nil"/>
              <w:right w:val="nil"/>
            </w:tcBorders>
            <w:shd w:val="clear" w:color="auto" w:fill="auto"/>
            <w:noWrap/>
            <w:vAlign w:val="bottom"/>
            <w:hideMark/>
          </w:tcPr>
          <w:p w14:paraId="6F311143" w14:textId="4543001F" w:rsidR="002B490A" w:rsidRPr="002807FE" w:rsidRDefault="002B490A" w:rsidP="002B490A">
            <w:pPr>
              <w:jc w:val="right"/>
              <w:rPr>
                <w:color w:val="0070C0"/>
                <w:sz w:val="18"/>
                <w:szCs w:val="18"/>
              </w:rPr>
            </w:pPr>
            <w:r>
              <w:rPr>
                <w:sz w:val="18"/>
                <w:szCs w:val="18"/>
              </w:rPr>
              <w:t>48 405,5</w:t>
            </w:r>
          </w:p>
        </w:tc>
        <w:tc>
          <w:tcPr>
            <w:tcW w:w="1199" w:type="dxa"/>
            <w:tcBorders>
              <w:top w:val="nil"/>
              <w:left w:val="nil"/>
              <w:bottom w:val="nil"/>
              <w:right w:val="nil"/>
            </w:tcBorders>
            <w:shd w:val="clear" w:color="auto" w:fill="auto"/>
            <w:noWrap/>
            <w:vAlign w:val="bottom"/>
            <w:hideMark/>
          </w:tcPr>
          <w:p w14:paraId="487021F6" w14:textId="432E73DF" w:rsidR="002B490A" w:rsidRPr="002807FE" w:rsidRDefault="002B490A" w:rsidP="002B490A">
            <w:pPr>
              <w:jc w:val="right"/>
              <w:rPr>
                <w:color w:val="0070C0"/>
                <w:sz w:val="18"/>
                <w:szCs w:val="18"/>
              </w:rPr>
            </w:pPr>
          </w:p>
        </w:tc>
        <w:tc>
          <w:tcPr>
            <w:tcW w:w="1209" w:type="dxa"/>
            <w:tcBorders>
              <w:top w:val="nil"/>
              <w:left w:val="nil"/>
              <w:bottom w:val="nil"/>
              <w:right w:val="single" w:sz="8" w:space="0" w:color="auto"/>
            </w:tcBorders>
            <w:shd w:val="clear" w:color="auto" w:fill="auto"/>
            <w:noWrap/>
            <w:vAlign w:val="bottom"/>
            <w:hideMark/>
          </w:tcPr>
          <w:p w14:paraId="10D3C67E" w14:textId="637BE79F" w:rsidR="002B490A" w:rsidRPr="002807FE" w:rsidRDefault="002B490A" w:rsidP="002B490A">
            <w:pPr>
              <w:jc w:val="right"/>
              <w:rPr>
                <w:color w:val="0070C0"/>
                <w:sz w:val="18"/>
                <w:szCs w:val="18"/>
              </w:rPr>
            </w:pPr>
            <w:r>
              <w:rPr>
                <w:sz w:val="18"/>
                <w:szCs w:val="18"/>
              </w:rPr>
              <w:t>68,3%</w:t>
            </w:r>
          </w:p>
        </w:tc>
      </w:tr>
      <w:tr w:rsidR="002B490A" w:rsidRPr="002807FE" w14:paraId="49C0AC5C" w14:textId="77777777" w:rsidTr="002B490A">
        <w:trPr>
          <w:trHeight w:val="250"/>
        </w:trPr>
        <w:tc>
          <w:tcPr>
            <w:tcW w:w="4032" w:type="dxa"/>
            <w:tcBorders>
              <w:top w:val="nil"/>
              <w:left w:val="single" w:sz="8" w:space="0" w:color="auto"/>
              <w:bottom w:val="nil"/>
              <w:right w:val="single" w:sz="4" w:space="0" w:color="auto"/>
            </w:tcBorders>
            <w:shd w:val="clear" w:color="auto" w:fill="auto"/>
            <w:noWrap/>
            <w:vAlign w:val="bottom"/>
            <w:hideMark/>
          </w:tcPr>
          <w:p w14:paraId="6FC018CE" w14:textId="77777777" w:rsidR="002B490A" w:rsidRPr="002B490A" w:rsidRDefault="002B490A" w:rsidP="002B490A">
            <w:pPr>
              <w:rPr>
                <w:color w:val="000000" w:themeColor="text1"/>
                <w:sz w:val="18"/>
                <w:szCs w:val="18"/>
              </w:rPr>
            </w:pPr>
            <w:r w:rsidRPr="002B490A">
              <w:rPr>
                <w:color w:val="000000" w:themeColor="text1"/>
                <w:sz w:val="18"/>
                <w:szCs w:val="18"/>
              </w:rPr>
              <w:t xml:space="preserve">  Неданъчни приходи</w:t>
            </w:r>
          </w:p>
        </w:tc>
        <w:tc>
          <w:tcPr>
            <w:tcW w:w="1147" w:type="dxa"/>
            <w:tcBorders>
              <w:top w:val="nil"/>
              <w:left w:val="single" w:sz="4" w:space="0" w:color="auto"/>
              <w:bottom w:val="nil"/>
              <w:right w:val="nil"/>
            </w:tcBorders>
            <w:shd w:val="clear" w:color="auto" w:fill="auto"/>
            <w:noWrap/>
            <w:vAlign w:val="bottom"/>
            <w:hideMark/>
          </w:tcPr>
          <w:p w14:paraId="37849A1C" w14:textId="77777777" w:rsidR="002B490A" w:rsidRPr="002B490A" w:rsidRDefault="002B490A" w:rsidP="002B490A">
            <w:pPr>
              <w:jc w:val="right"/>
              <w:rPr>
                <w:color w:val="000000" w:themeColor="text1"/>
                <w:sz w:val="18"/>
                <w:szCs w:val="18"/>
              </w:rPr>
            </w:pPr>
            <w:r w:rsidRPr="002B490A">
              <w:rPr>
                <w:color w:val="000000" w:themeColor="text1"/>
                <w:sz w:val="18"/>
                <w:szCs w:val="18"/>
              </w:rPr>
              <w:t>11 988,7</w:t>
            </w:r>
          </w:p>
        </w:tc>
        <w:tc>
          <w:tcPr>
            <w:tcW w:w="1227" w:type="dxa"/>
            <w:tcBorders>
              <w:top w:val="nil"/>
              <w:left w:val="nil"/>
              <w:bottom w:val="nil"/>
              <w:right w:val="nil"/>
            </w:tcBorders>
            <w:shd w:val="clear" w:color="auto" w:fill="auto"/>
            <w:noWrap/>
            <w:vAlign w:val="bottom"/>
            <w:hideMark/>
          </w:tcPr>
          <w:p w14:paraId="75190700" w14:textId="5B92D41A" w:rsidR="002B490A" w:rsidRPr="002807FE" w:rsidRDefault="002B490A" w:rsidP="002B490A">
            <w:pPr>
              <w:jc w:val="right"/>
              <w:rPr>
                <w:color w:val="0070C0"/>
                <w:sz w:val="18"/>
                <w:szCs w:val="18"/>
              </w:rPr>
            </w:pPr>
            <w:r>
              <w:rPr>
                <w:sz w:val="18"/>
                <w:szCs w:val="18"/>
              </w:rPr>
              <w:t>9 113,3</w:t>
            </w:r>
          </w:p>
        </w:tc>
        <w:tc>
          <w:tcPr>
            <w:tcW w:w="1222" w:type="dxa"/>
            <w:tcBorders>
              <w:top w:val="nil"/>
              <w:left w:val="nil"/>
              <w:bottom w:val="nil"/>
              <w:right w:val="nil"/>
            </w:tcBorders>
            <w:shd w:val="clear" w:color="auto" w:fill="auto"/>
            <w:noWrap/>
            <w:vAlign w:val="bottom"/>
            <w:hideMark/>
          </w:tcPr>
          <w:p w14:paraId="5C2E7B3E" w14:textId="683C17B2" w:rsidR="002B490A" w:rsidRPr="002807FE" w:rsidRDefault="002B490A" w:rsidP="002B490A">
            <w:pPr>
              <w:jc w:val="right"/>
              <w:rPr>
                <w:color w:val="0070C0"/>
                <w:sz w:val="18"/>
                <w:szCs w:val="18"/>
              </w:rPr>
            </w:pPr>
            <w:r>
              <w:rPr>
                <w:sz w:val="18"/>
                <w:szCs w:val="18"/>
              </w:rPr>
              <w:t>9 118,6</w:t>
            </w:r>
          </w:p>
        </w:tc>
        <w:tc>
          <w:tcPr>
            <w:tcW w:w="1199" w:type="dxa"/>
            <w:tcBorders>
              <w:top w:val="nil"/>
              <w:left w:val="nil"/>
              <w:bottom w:val="nil"/>
              <w:right w:val="nil"/>
            </w:tcBorders>
            <w:shd w:val="clear" w:color="auto" w:fill="auto"/>
            <w:noWrap/>
            <w:vAlign w:val="bottom"/>
            <w:hideMark/>
          </w:tcPr>
          <w:p w14:paraId="7E3AD741" w14:textId="347D388B" w:rsidR="002B490A" w:rsidRPr="002807FE" w:rsidRDefault="002B490A" w:rsidP="002B490A">
            <w:pPr>
              <w:jc w:val="right"/>
              <w:rPr>
                <w:color w:val="0070C0"/>
                <w:sz w:val="18"/>
                <w:szCs w:val="18"/>
              </w:rPr>
            </w:pPr>
            <w:r>
              <w:rPr>
                <w:sz w:val="18"/>
                <w:szCs w:val="18"/>
              </w:rPr>
              <w:t>-5,3</w:t>
            </w:r>
          </w:p>
        </w:tc>
        <w:tc>
          <w:tcPr>
            <w:tcW w:w="1209" w:type="dxa"/>
            <w:tcBorders>
              <w:top w:val="nil"/>
              <w:left w:val="nil"/>
              <w:bottom w:val="nil"/>
              <w:right w:val="single" w:sz="8" w:space="0" w:color="auto"/>
            </w:tcBorders>
            <w:shd w:val="clear" w:color="auto" w:fill="auto"/>
            <w:noWrap/>
            <w:vAlign w:val="bottom"/>
            <w:hideMark/>
          </w:tcPr>
          <w:p w14:paraId="3260E1BC" w14:textId="66010C5A" w:rsidR="002B490A" w:rsidRPr="002807FE" w:rsidRDefault="002B490A" w:rsidP="002B490A">
            <w:pPr>
              <w:jc w:val="right"/>
              <w:rPr>
                <w:color w:val="0070C0"/>
                <w:sz w:val="18"/>
                <w:szCs w:val="18"/>
              </w:rPr>
            </w:pPr>
            <w:r>
              <w:rPr>
                <w:sz w:val="18"/>
                <w:szCs w:val="18"/>
              </w:rPr>
              <w:t>76,0%</w:t>
            </w:r>
          </w:p>
        </w:tc>
      </w:tr>
      <w:tr w:rsidR="002B490A" w:rsidRPr="002807FE" w14:paraId="737B7B05" w14:textId="77777777" w:rsidTr="002B490A">
        <w:trPr>
          <w:trHeight w:val="250"/>
        </w:trPr>
        <w:tc>
          <w:tcPr>
            <w:tcW w:w="4032" w:type="dxa"/>
            <w:tcBorders>
              <w:top w:val="nil"/>
              <w:left w:val="single" w:sz="8" w:space="0" w:color="auto"/>
              <w:bottom w:val="single" w:sz="4" w:space="0" w:color="auto"/>
              <w:right w:val="single" w:sz="4" w:space="0" w:color="auto"/>
            </w:tcBorders>
            <w:shd w:val="clear" w:color="auto" w:fill="auto"/>
            <w:noWrap/>
            <w:vAlign w:val="bottom"/>
            <w:hideMark/>
          </w:tcPr>
          <w:p w14:paraId="7FA10EB3" w14:textId="77777777" w:rsidR="002B490A" w:rsidRPr="002B490A" w:rsidRDefault="002B490A" w:rsidP="002B490A">
            <w:pPr>
              <w:rPr>
                <w:color w:val="000000" w:themeColor="text1"/>
                <w:sz w:val="18"/>
                <w:szCs w:val="18"/>
              </w:rPr>
            </w:pPr>
            <w:r w:rsidRPr="002B490A">
              <w:rPr>
                <w:color w:val="000000" w:themeColor="text1"/>
                <w:sz w:val="18"/>
                <w:szCs w:val="18"/>
              </w:rPr>
              <w:t xml:space="preserve">  Помощи и дарения</w:t>
            </w:r>
          </w:p>
        </w:tc>
        <w:tc>
          <w:tcPr>
            <w:tcW w:w="1147" w:type="dxa"/>
            <w:tcBorders>
              <w:top w:val="nil"/>
              <w:left w:val="single" w:sz="4" w:space="0" w:color="auto"/>
              <w:bottom w:val="single" w:sz="4" w:space="0" w:color="auto"/>
              <w:right w:val="nil"/>
            </w:tcBorders>
            <w:shd w:val="clear" w:color="auto" w:fill="auto"/>
            <w:noWrap/>
            <w:vAlign w:val="bottom"/>
            <w:hideMark/>
          </w:tcPr>
          <w:p w14:paraId="60BDDB97" w14:textId="77777777" w:rsidR="002B490A" w:rsidRPr="002B490A" w:rsidRDefault="002B490A" w:rsidP="002B490A">
            <w:pPr>
              <w:jc w:val="right"/>
              <w:rPr>
                <w:color w:val="000000" w:themeColor="text1"/>
                <w:sz w:val="18"/>
                <w:szCs w:val="18"/>
              </w:rPr>
            </w:pPr>
            <w:r w:rsidRPr="002B490A">
              <w:rPr>
                <w:color w:val="000000" w:themeColor="text1"/>
                <w:sz w:val="18"/>
                <w:szCs w:val="18"/>
              </w:rPr>
              <w:t>7 438,9</w:t>
            </w:r>
          </w:p>
        </w:tc>
        <w:tc>
          <w:tcPr>
            <w:tcW w:w="1227" w:type="dxa"/>
            <w:tcBorders>
              <w:top w:val="nil"/>
              <w:left w:val="nil"/>
              <w:bottom w:val="nil"/>
              <w:right w:val="nil"/>
            </w:tcBorders>
            <w:shd w:val="clear" w:color="auto" w:fill="auto"/>
            <w:noWrap/>
            <w:vAlign w:val="bottom"/>
            <w:hideMark/>
          </w:tcPr>
          <w:p w14:paraId="6E9E25B7" w14:textId="31EAAC7B" w:rsidR="002B490A" w:rsidRPr="002807FE" w:rsidRDefault="002B490A" w:rsidP="002B490A">
            <w:pPr>
              <w:jc w:val="right"/>
              <w:rPr>
                <w:color w:val="0070C0"/>
                <w:sz w:val="18"/>
                <w:szCs w:val="18"/>
              </w:rPr>
            </w:pPr>
            <w:r>
              <w:rPr>
                <w:sz w:val="18"/>
                <w:szCs w:val="18"/>
              </w:rPr>
              <w:t>2 237,0</w:t>
            </w:r>
          </w:p>
        </w:tc>
        <w:tc>
          <w:tcPr>
            <w:tcW w:w="1222" w:type="dxa"/>
            <w:tcBorders>
              <w:top w:val="nil"/>
              <w:left w:val="nil"/>
              <w:bottom w:val="nil"/>
              <w:right w:val="nil"/>
            </w:tcBorders>
            <w:shd w:val="clear" w:color="auto" w:fill="auto"/>
            <w:noWrap/>
            <w:vAlign w:val="bottom"/>
            <w:hideMark/>
          </w:tcPr>
          <w:p w14:paraId="4419D2F8" w14:textId="5C96E673" w:rsidR="002B490A" w:rsidRPr="002807FE" w:rsidRDefault="002B490A" w:rsidP="002B490A">
            <w:pPr>
              <w:jc w:val="right"/>
              <w:rPr>
                <w:color w:val="0070C0"/>
                <w:sz w:val="18"/>
                <w:szCs w:val="18"/>
              </w:rPr>
            </w:pPr>
            <w:r>
              <w:rPr>
                <w:sz w:val="18"/>
                <w:szCs w:val="18"/>
              </w:rPr>
              <w:t>404,6</w:t>
            </w:r>
          </w:p>
        </w:tc>
        <w:tc>
          <w:tcPr>
            <w:tcW w:w="1199" w:type="dxa"/>
            <w:tcBorders>
              <w:top w:val="nil"/>
              <w:left w:val="nil"/>
              <w:bottom w:val="nil"/>
              <w:right w:val="nil"/>
            </w:tcBorders>
            <w:shd w:val="clear" w:color="auto" w:fill="auto"/>
            <w:noWrap/>
            <w:vAlign w:val="bottom"/>
            <w:hideMark/>
          </w:tcPr>
          <w:p w14:paraId="2DBF46BE" w14:textId="387F7F8A" w:rsidR="002B490A" w:rsidRPr="002807FE" w:rsidRDefault="002B490A" w:rsidP="002B490A">
            <w:pPr>
              <w:jc w:val="right"/>
              <w:rPr>
                <w:color w:val="0070C0"/>
                <w:sz w:val="18"/>
                <w:szCs w:val="18"/>
              </w:rPr>
            </w:pPr>
            <w:r>
              <w:rPr>
                <w:sz w:val="18"/>
                <w:szCs w:val="18"/>
              </w:rPr>
              <w:t>1</w:t>
            </w:r>
            <w:r w:rsidR="00531A98">
              <w:rPr>
                <w:sz w:val="18"/>
                <w:szCs w:val="18"/>
                <w:lang w:val="en-US"/>
              </w:rPr>
              <w:t xml:space="preserve"> </w:t>
            </w:r>
            <w:r>
              <w:rPr>
                <w:sz w:val="18"/>
                <w:szCs w:val="18"/>
              </w:rPr>
              <w:t>832,4</w:t>
            </w:r>
          </w:p>
        </w:tc>
        <w:tc>
          <w:tcPr>
            <w:tcW w:w="1209" w:type="dxa"/>
            <w:tcBorders>
              <w:top w:val="nil"/>
              <w:left w:val="nil"/>
              <w:bottom w:val="nil"/>
              <w:right w:val="single" w:sz="8" w:space="0" w:color="auto"/>
            </w:tcBorders>
            <w:shd w:val="clear" w:color="auto" w:fill="auto"/>
            <w:noWrap/>
            <w:vAlign w:val="bottom"/>
            <w:hideMark/>
          </w:tcPr>
          <w:p w14:paraId="1E09A7EA" w14:textId="3B1C2DF7" w:rsidR="002B490A" w:rsidRPr="002807FE" w:rsidRDefault="002B490A" w:rsidP="002B490A">
            <w:pPr>
              <w:jc w:val="right"/>
              <w:rPr>
                <w:color w:val="0070C0"/>
                <w:sz w:val="18"/>
                <w:szCs w:val="18"/>
              </w:rPr>
            </w:pPr>
            <w:r>
              <w:rPr>
                <w:sz w:val="18"/>
                <w:szCs w:val="18"/>
              </w:rPr>
              <w:t>30,1%</w:t>
            </w:r>
          </w:p>
        </w:tc>
      </w:tr>
      <w:tr w:rsidR="002B490A" w:rsidRPr="002807FE" w14:paraId="2BE59CBD" w14:textId="77777777" w:rsidTr="002B490A">
        <w:trPr>
          <w:trHeight w:val="472"/>
        </w:trPr>
        <w:tc>
          <w:tcPr>
            <w:tcW w:w="4032" w:type="dxa"/>
            <w:tcBorders>
              <w:top w:val="single" w:sz="4" w:space="0" w:color="auto"/>
              <w:left w:val="single" w:sz="8" w:space="0" w:color="auto"/>
              <w:bottom w:val="nil"/>
              <w:right w:val="single" w:sz="4" w:space="0" w:color="auto"/>
            </w:tcBorders>
            <w:shd w:val="clear" w:color="auto" w:fill="auto"/>
            <w:vAlign w:val="bottom"/>
            <w:hideMark/>
          </w:tcPr>
          <w:p w14:paraId="632B65CD" w14:textId="77777777" w:rsidR="002B490A" w:rsidRPr="002B490A" w:rsidRDefault="002B490A" w:rsidP="002B490A">
            <w:pPr>
              <w:rPr>
                <w:b/>
                <w:bCs/>
                <w:color w:val="000000" w:themeColor="text1"/>
                <w:sz w:val="18"/>
                <w:szCs w:val="18"/>
              </w:rPr>
            </w:pPr>
            <w:r w:rsidRPr="002B490A">
              <w:rPr>
                <w:b/>
                <w:bCs/>
                <w:color w:val="000000" w:themeColor="text1"/>
                <w:sz w:val="18"/>
                <w:szCs w:val="18"/>
              </w:rPr>
              <w:t>РАЗХОДИ И ВНОСКА ЗА ОБЩИЯ БЮДЖЕТ НА ЕС</w:t>
            </w:r>
          </w:p>
        </w:tc>
        <w:tc>
          <w:tcPr>
            <w:tcW w:w="1147" w:type="dxa"/>
            <w:tcBorders>
              <w:top w:val="single" w:sz="4" w:space="0" w:color="auto"/>
              <w:left w:val="single" w:sz="4" w:space="0" w:color="auto"/>
              <w:bottom w:val="nil"/>
              <w:right w:val="nil"/>
            </w:tcBorders>
            <w:shd w:val="clear" w:color="auto" w:fill="auto"/>
            <w:noWrap/>
            <w:vAlign w:val="bottom"/>
            <w:hideMark/>
          </w:tcPr>
          <w:p w14:paraId="12ED5466" w14:textId="77777777" w:rsidR="002B490A" w:rsidRPr="002B490A" w:rsidRDefault="002B490A" w:rsidP="002B490A">
            <w:pPr>
              <w:jc w:val="right"/>
              <w:rPr>
                <w:b/>
                <w:bCs/>
                <w:color w:val="000000" w:themeColor="text1"/>
                <w:sz w:val="18"/>
                <w:szCs w:val="18"/>
              </w:rPr>
            </w:pPr>
            <w:r w:rsidRPr="002B490A">
              <w:rPr>
                <w:b/>
                <w:bCs/>
                <w:color w:val="000000" w:themeColor="text1"/>
                <w:sz w:val="18"/>
                <w:szCs w:val="18"/>
              </w:rPr>
              <w:t>96 706,0</w:t>
            </w:r>
          </w:p>
        </w:tc>
        <w:tc>
          <w:tcPr>
            <w:tcW w:w="1227" w:type="dxa"/>
            <w:tcBorders>
              <w:top w:val="single" w:sz="4" w:space="0" w:color="auto"/>
              <w:left w:val="nil"/>
              <w:bottom w:val="nil"/>
              <w:right w:val="nil"/>
            </w:tcBorders>
            <w:shd w:val="clear" w:color="auto" w:fill="auto"/>
            <w:noWrap/>
            <w:vAlign w:val="bottom"/>
            <w:hideMark/>
          </w:tcPr>
          <w:p w14:paraId="35CB8840" w14:textId="29B74F9F" w:rsidR="002B490A" w:rsidRPr="002807FE" w:rsidRDefault="002B490A" w:rsidP="002B490A">
            <w:pPr>
              <w:jc w:val="right"/>
              <w:rPr>
                <w:b/>
                <w:bCs/>
                <w:color w:val="0070C0"/>
                <w:sz w:val="18"/>
                <w:szCs w:val="18"/>
              </w:rPr>
            </w:pPr>
            <w:r>
              <w:rPr>
                <w:b/>
                <w:bCs/>
                <w:sz w:val="18"/>
                <w:szCs w:val="18"/>
              </w:rPr>
              <w:t>65 811,5</w:t>
            </w:r>
          </w:p>
        </w:tc>
        <w:tc>
          <w:tcPr>
            <w:tcW w:w="1222" w:type="dxa"/>
            <w:tcBorders>
              <w:top w:val="single" w:sz="4" w:space="0" w:color="auto"/>
              <w:left w:val="nil"/>
              <w:bottom w:val="nil"/>
              <w:right w:val="nil"/>
            </w:tcBorders>
            <w:shd w:val="clear" w:color="auto" w:fill="auto"/>
            <w:noWrap/>
            <w:vAlign w:val="bottom"/>
            <w:hideMark/>
          </w:tcPr>
          <w:p w14:paraId="5C36C5C2" w14:textId="6E737BFD" w:rsidR="002B490A" w:rsidRPr="002807FE" w:rsidRDefault="002B490A" w:rsidP="002B490A">
            <w:pPr>
              <w:jc w:val="right"/>
              <w:rPr>
                <w:b/>
                <w:bCs/>
                <w:color w:val="0070C0"/>
                <w:sz w:val="18"/>
                <w:szCs w:val="18"/>
              </w:rPr>
            </w:pPr>
            <w:r>
              <w:rPr>
                <w:b/>
                <w:bCs/>
                <w:sz w:val="18"/>
                <w:szCs w:val="18"/>
              </w:rPr>
              <w:t>61 532,2</w:t>
            </w:r>
          </w:p>
        </w:tc>
        <w:tc>
          <w:tcPr>
            <w:tcW w:w="1199" w:type="dxa"/>
            <w:tcBorders>
              <w:top w:val="single" w:sz="4" w:space="0" w:color="auto"/>
              <w:left w:val="nil"/>
              <w:bottom w:val="nil"/>
              <w:right w:val="nil"/>
            </w:tcBorders>
            <w:shd w:val="clear" w:color="auto" w:fill="auto"/>
            <w:noWrap/>
            <w:vAlign w:val="bottom"/>
            <w:hideMark/>
          </w:tcPr>
          <w:p w14:paraId="3C4D7A65" w14:textId="48541B7A" w:rsidR="002B490A" w:rsidRPr="002807FE" w:rsidRDefault="002B490A" w:rsidP="002B490A">
            <w:pPr>
              <w:jc w:val="right"/>
              <w:rPr>
                <w:b/>
                <w:bCs/>
                <w:color w:val="0070C0"/>
                <w:sz w:val="18"/>
                <w:szCs w:val="18"/>
              </w:rPr>
            </w:pPr>
            <w:r>
              <w:rPr>
                <w:b/>
                <w:bCs/>
                <w:sz w:val="18"/>
                <w:szCs w:val="18"/>
              </w:rPr>
              <w:t>4 279,3</w:t>
            </w:r>
          </w:p>
        </w:tc>
        <w:tc>
          <w:tcPr>
            <w:tcW w:w="1209" w:type="dxa"/>
            <w:tcBorders>
              <w:top w:val="single" w:sz="4" w:space="0" w:color="auto"/>
              <w:left w:val="nil"/>
              <w:bottom w:val="nil"/>
              <w:right w:val="single" w:sz="8" w:space="0" w:color="auto"/>
            </w:tcBorders>
            <w:shd w:val="clear" w:color="auto" w:fill="auto"/>
            <w:noWrap/>
            <w:vAlign w:val="bottom"/>
            <w:hideMark/>
          </w:tcPr>
          <w:p w14:paraId="035D4325" w14:textId="1907FEDB" w:rsidR="002B490A" w:rsidRPr="002807FE" w:rsidRDefault="002B490A" w:rsidP="002B490A">
            <w:pPr>
              <w:jc w:val="right"/>
              <w:rPr>
                <w:b/>
                <w:bCs/>
                <w:color w:val="0070C0"/>
                <w:sz w:val="18"/>
                <w:szCs w:val="18"/>
              </w:rPr>
            </w:pPr>
            <w:r>
              <w:rPr>
                <w:b/>
                <w:bCs/>
                <w:sz w:val="18"/>
                <w:szCs w:val="18"/>
              </w:rPr>
              <w:t>68,1%</w:t>
            </w:r>
          </w:p>
        </w:tc>
      </w:tr>
      <w:tr w:rsidR="002B490A" w:rsidRPr="002807FE" w14:paraId="176D86A2" w14:textId="77777777" w:rsidTr="002B490A">
        <w:trPr>
          <w:trHeight w:val="250"/>
        </w:trPr>
        <w:tc>
          <w:tcPr>
            <w:tcW w:w="4032" w:type="dxa"/>
            <w:tcBorders>
              <w:top w:val="nil"/>
              <w:left w:val="single" w:sz="8" w:space="0" w:color="auto"/>
              <w:bottom w:val="nil"/>
              <w:right w:val="single" w:sz="4" w:space="0" w:color="auto"/>
            </w:tcBorders>
            <w:shd w:val="clear" w:color="auto" w:fill="auto"/>
            <w:noWrap/>
            <w:vAlign w:val="bottom"/>
            <w:hideMark/>
          </w:tcPr>
          <w:p w14:paraId="22BABE47" w14:textId="77777777" w:rsidR="002B490A" w:rsidRPr="002B490A" w:rsidRDefault="002B490A" w:rsidP="002B490A">
            <w:pPr>
              <w:rPr>
                <w:color w:val="000000" w:themeColor="text1"/>
                <w:sz w:val="18"/>
                <w:szCs w:val="18"/>
              </w:rPr>
            </w:pPr>
            <w:r w:rsidRPr="002B490A">
              <w:rPr>
                <w:color w:val="000000" w:themeColor="text1"/>
                <w:sz w:val="18"/>
                <w:szCs w:val="18"/>
              </w:rPr>
              <w:t xml:space="preserve">  Нелихвени</w:t>
            </w:r>
          </w:p>
        </w:tc>
        <w:tc>
          <w:tcPr>
            <w:tcW w:w="1147" w:type="dxa"/>
            <w:tcBorders>
              <w:top w:val="nil"/>
              <w:left w:val="single" w:sz="4" w:space="0" w:color="auto"/>
              <w:bottom w:val="nil"/>
              <w:right w:val="nil"/>
            </w:tcBorders>
            <w:shd w:val="clear" w:color="auto" w:fill="auto"/>
            <w:noWrap/>
            <w:vAlign w:val="bottom"/>
            <w:hideMark/>
          </w:tcPr>
          <w:p w14:paraId="7122656F" w14:textId="77777777" w:rsidR="002B490A" w:rsidRPr="002B490A" w:rsidRDefault="002B490A" w:rsidP="002B490A">
            <w:pPr>
              <w:jc w:val="right"/>
              <w:rPr>
                <w:color w:val="000000" w:themeColor="text1"/>
                <w:sz w:val="18"/>
                <w:szCs w:val="18"/>
              </w:rPr>
            </w:pPr>
            <w:r w:rsidRPr="002B490A">
              <w:rPr>
                <w:color w:val="000000" w:themeColor="text1"/>
                <w:sz w:val="18"/>
                <w:szCs w:val="18"/>
              </w:rPr>
              <w:t>92 653,1</w:t>
            </w:r>
          </w:p>
        </w:tc>
        <w:tc>
          <w:tcPr>
            <w:tcW w:w="1227" w:type="dxa"/>
            <w:tcBorders>
              <w:top w:val="nil"/>
              <w:left w:val="nil"/>
              <w:bottom w:val="nil"/>
              <w:right w:val="nil"/>
            </w:tcBorders>
            <w:shd w:val="clear" w:color="auto" w:fill="auto"/>
            <w:noWrap/>
            <w:vAlign w:val="bottom"/>
            <w:hideMark/>
          </w:tcPr>
          <w:p w14:paraId="4F9A43A4" w14:textId="4FE4DE9E" w:rsidR="002B490A" w:rsidRPr="002807FE" w:rsidRDefault="002B490A" w:rsidP="002B490A">
            <w:pPr>
              <w:jc w:val="right"/>
              <w:rPr>
                <w:color w:val="0070C0"/>
                <w:sz w:val="18"/>
                <w:szCs w:val="18"/>
              </w:rPr>
            </w:pPr>
            <w:r>
              <w:rPr>
                <w:sz w:val="18"/>
                <w:szCs w:val="18"/>
              </w:rPr>
              <w:t>63 000,9</w:t>
            </w:r>
          </w:p>
        </w:tc>
        <w:tc>
          <w:tcPr>
            <w:tcW w:w="1222" w:type="dxa"/>
            <w:tcBorders>
              <w:top w:val="nil"/>
              <w:left w:val="nil"/>
              <w:bottom w:val="nil"/>
              <w:right w:val="nil"/>
            </w:tcBorders>
            <w:shd w:val="clear" w:color="auto" w:fill="auto"/>
            <w:noWrap/>
            <w:vAlign w:val="bottom"/>
            <w:hideMark/>
          </w:tcPr>
          <w:p w14:paraId="6C21CF34" w14:textId="38002EB4" w:rsidR="002B490A" w:rsidRPr="002807FE" w:rsidRDefault="002B490A" w:rsidP="002B490A">
            <w:pPr>
              <w:jc w:val="right"/>
              <w:rPr>
                <w:color w:val="0070C0"/>
                <w:sz w:val="18"/>
                <w:szCs w:val="18"/>
              </w:rPr>
            </w:pPr>
            <w:r>
              <w:rPr>
                <w:sz w:val="18"/>
                <w:szCs w:val="18"/>
              </w:rPr>
              <w:t>58 721,7</w:t>
            </w:r>
          </w:p>
        </w:tc>
        <w:tc>
          <w:tcPr>
            <w:tcW w:w="1199" w:type="dxa"/>
            <w:tcBorders>
              <w:top w:val="nil"/>
              <w:left w:val="nil"/>
              <w:bottom w:val="nil"/>
              <w:right w:val="nil"/>
            </w:tcBorders>
            <w:shd w:val="clear" w:color="auto" w:fill="auto"/>
            <w:noWrap/>
            <w:vAlign w:val="bottom"/>
            <w:hideMark/>
          </w:tcPr>
          <w:p w14:paraId="6816FBEB" w14:textId="4D4A15FE" w:rsidR="002B490A" w:rsidRPr="002807FE" w:rsidRDefault="002B490A" w:rsidP="002B490A">
            <w:pPr>
              <w:jc w:val="right"/>
              <w:rPr>
                <w:color w:val="0070C0"/>
                <w:sz w:val="18"/>
                <w:szCs w:val="18"/>
              </w:rPr>
            </w:pPr>
            <w:r>
              <w:rPr>
                <w:sz w:val="18"/>
                <w:szCs w:val="18"/>
              </w:rPr>
              <w:t>4 279,3</w:t>
            </w:r>
          </w:p>
        </w:tc>
        <w:tc>
          <w:tcPr>
            <w:tcW w:w="1209" w:type="dxa"/>
            <w:tcBorders>
              <w:top w:val="nil"/>
              <w:left w:val="nil"/>
              <w:bottom w:val="nil"/>
              <w:right w:val="single" w:sz="8" w:space="0" w:color="auto"/>
            </w:tcBorders>
            <w:shd w:val="clear" w:color="auto" w:fill="auto"/>
            <w:noWrap/>
            <w:vAlign w:val="bottom"/>
            <w:hideMark/>
          </w:tcPr>
          <w:p w14:paraId="54CB544A" w14:textId="1A16C542" w:rsidR="002B490A" w:rsidRPr="002807FE" w:rsidRDefault="002B490A" w:rsidP="002B490A">
            <w:pPr>
              <w:jc w:val="right"/>
              <w:rPr>
                <w:color w:val="0070C0"/>
                <w:sz w:val="18"/>
                <w:szCs w:val="18"/>
              </w:rPr>
            </w:pPr>
            <w:r>
              <w:rPr>
                <w:sz w:val="18"/>
                <w:szCs w:val="18"/>
              </w:rPr>
              <w:t>68,0%</w:t>
            </w:r>
          </w:p>
        </w:tc>
      </w:tr>
      <w:tr w:rsidR="002B490A" w:rsidRPr="002807FE" w14:paraId="1E124835" w14:textId="77777777" w:rsidTr="002B490A">
        <w:trPr>
          <w:trHeight w:val="250"/>
        </w:trPr>
        <w:tc>
          <w:tcPr>
            <w:tcW w:w="4032" w:type="dxa"/>
            <w:tcBorders>
              <w:top w:val="nil"/>
              <w:left w:val="single" w:sz="8" w:space="0" w:color="auto"/>
              <w:bottom w:val="nil"/>
              <w:right w:val="single" w:sz="4" w:space="0" w:color="auto"/>
            </w:tcBorders>
            <w:shd w:val="clear" w:color="auto" w:fill="auto"/>
            <w:noWrap/>
            <w:vAlign w:val="bottom"/>
            <w:hideMark/>
          </w:tcPr>
          <w:p w14:paraId="5FD2AFF8" w14:textId="77777777" w:rsidR="002B490A" w:rsidRPr="002B490A" w:rsidRDefault="002B490A" w:rsidP="002B490A">
            <w:pPr>
              <w:rPr>
                <w:color w:val="000000" w:themeColor="text1"/>
                <w:sz w:val="18"/>
                <w:szCs w:val="18"/>
              </w:rPr>
            </w:pPr>
            <w:r w:rsidRPr="002B490A">
              <w:rPr>
                <w:color w:val="000000" w:themeColor="text1"/>
                <w:sz w:val="18"/>
                <w:szCs w:val="18"/>
              </w:rPr>
              <w:t xml:space="preserve">    Текущи</w:t>
            </w:r>
          </w:p>
        </w:tc>
        <w:tc>
          <w:tcPr>
            <w:tcW w:w="1147" w:type="dxa"/>
            <w:tcBorders>
              <w:top w:val="nil"/>
              <w:left w:val="single" w:sz="4" w:space="0" w:color="auto"/>
              <w:bottom w:val="nil"/>
              <w:right w:val="nil"/>
            </w:tcBorders>
            <w:shd w:val="clear" w:color="auto" w:fill="auto"/>
            <w:noWrap/>
            <w:vAlign w:val="bottom"/>
            <w:hideMark/>
          </w:tcPr>
          <w:p w14:paraId="30B5A2FF" w14:textId="77777777" w:rsidR="002B490A" w:rsidRPr="002B490A" w:rsidRDefault="002B490A" w:rsidP="002B490A">
            <w:pPr>
              <w:jc w:val="right"/>
              <w:rPr>
                <w:color w:val="000000" w:themeColor="text1"/>
                <w:sz w:val="18"/>
                <w:szCs w:val="18"/>
              </w:rPr>
            </w:pPr>
            <w:r w:rsidRPr="002B490A">
              <w:rPr>
                <w:color w:val="000000" w:themeColor="text1"/>
                <w:sz w:val="18"/>
                <w:szCs w:val="18"/>
              </w:rPr>
              <w:t>79 151,2</w:t>
            </w:r>
          </w:p>
        </w:tc>
        <w:tc>
          <w:tcPr>
            <w:tcW w:w="1227" w:type="dxa"/>
            <w:tcBorders>
              <w:top w:val="nil"/>
              <w:left w:val="nil"/>
              <w:bottom w:val="nil"/>
              <w:right w:val="nil"/>
            </w:tcBorders>
            <w:shd w:val="clear" w:color="auto" w:fill="auto"/>
            <w:noWrap/>
            <w:vAlign w:val="bottom"/>
            <w:hideMark/>
          </w:tcPr>
          <w:p w14:paraId="433AEBAD" w14:textId="13C6B38A" w:rsidR="002B490A" w:rsidRPr="002807FE" w:rsidRDefault="002B490A" w:rsidP="002B490A">
            <w:pPr>
              <w:jc w:val="right"/>
              <w:rPr>
                <w:color w:val="0070C0"/>
                <w:sz w:val="18"/>
                <w:szCs w:val="18"/>
              </w:rPr>
            </w:pPr>
            <w:r>
              <w:rPr>
                <w:sz w:val="18"/>
                <w:szCs w:val="18"/>
              </w:rPr>
              <w:t>56 050,3</w:t>
            </w:r>
          </w:p>
        </w:tc>
        <w:tc>
          <w:tcPr>
            <w:tcW w:w="1222" w:type="dxa"/>
            <w:tcBorders>
              <w:top w:val="nil"/>
              <w:left w:val="nil"/>
              <w:bottom w:val="nil"/>
              <w:right w:val="nil"/>
            </w:tcBorders>
            <w:shd w:val="clear" w:color="auto" w:fill="auto"/>
            <w:noWrap/>
            <w:vAlign w:val="bottom"/>
            <w:hideMark/>
          </w:tcPr>
          <w:p w14:paraId="467019EC" w14:textId="31807296" w:rsidR="002B490A" w:rsidRPr="002807FE" w:rsidRDefault="002B490A" w:rsidP="002B490A">
            <w:pPr>
              <w:jc w:val="right"/>
              <w:rPr>
                <w:color w:val="0070C0"/>
                <w:sz w:val="18"/>
                <w:szCs w:val="18"/>
              </w:rPr>
            </w:pPr>
            <w:r>
              <w:rPr>
                <w:sz w:val="18"/>
                <w:szCs w:val="18"/>
              </w:rPr>
              <w:t>54 632,5</w:t>
            </w:r>
          </w:p>
        </w:tc>
        <w:tc>
          <w:tcPr>
            <w:tcW w:w="1199" w:type="dxa"/>
            <w:tcBorders>
              <w:top w:val="nil"/>
              <w:left w:val="nil"/>
              <w:bottom w:val="nil"/>
              <w:right w:val="nil"/>
            </w:tcBorders>
            <w:shd w:val="clear" w:color="auto" w:fill="auto"/>
            <w:noWrap/>
            <w:vAlign w:val="bottom"/>
            <w:hideMark/>
          </w:tcPr>
          <w:p w14:paraId="559F56EA" w14:textId="72C9F2CF" w:rsidR="002B490A" w:rsidRPr="002807FE" w:rsidRDefault="002B490A" w:rsidP="002B490A">
            <w:pPr>
              <w:jc w:val="right"/>
              <w:rPr>
                <w:color w:val="0070C0"/>
                <w:sz w:val="18"/>
                <w:szCs w:val="18"/>
              </w:rPr>
            </w:pPr>
            <w:r>
              <w:rPr>
                <w:sz w:val="18"/>
                <w:szCs w:val="18"/>
              </w:rPr>
              <w:t>1 417,8</w:t>
            </w:r>
          </w:p>
        </w:tc>
        <w:tc>
          <w:tcPr>
            <w:tcW w:w="1209" w:type="dxa"/>
            <w:tcBorders>
              <w:top w:val="nil"/>
              <w:left w:val="nil"/>
              <w:bottom w:val="nil"/>
              <w:right w:val="single" w:sz="8" w:space="0" w:color="auto"/>
            </w:tcBorders>
            <w:shd w:val="clear" w:color="auto" w:fill="auto"/>
            <w:noWrap/>
            <w:vAlign w:val="bottom"/>
            <w:hideMark/>
          </w:tcPr>
          <w:p w14:paraId="5CD6233A" w14:textId="49C90BE3" w:rsidR="002B490A" w:rsidRPr="002807FE" w:rsidRDefault="002B490A" w:rsidP="002B490A">
            <w:pPr>
              <w:jc w:val="right"/>
              <w:rPr>
                <w:color w:val="0070C0"/>
                <w:sz w:val="18"/>
                <w:szCs w:val="18"/>
              </w:rPr>
            </w:pPr>
            <w:r>
              <w:rPr>
                <w:sz w:val="18"/>
                <w:szCs w:val="18"/>
              </w:rPr>
              <w:t>70,8%</w:t>
            </w:r>
          </w:p>
        </w:tc>
      </w:tr>
      <w:tr w:rsidR="001C6D97" w:rsidRPr="002807FE" w14:paraId="5A6B3A0F" w14:textId="77777777" w:rsidTr="00D94DB2">
        <w:trPr>
          <w:trHeight w:val="250"/>
        </w:trPr>
        <w:tc>
          <w:tcPr>
            <w:tcW w:w="4032" w:type="dxa"/>
            <w:tcBorders>
              <w:top w:val="nil"/>
              <w:left w:val="single" w:sz="8" w:space="0" w:color="auto"/>
              <w:bottom w:val="nil"/>
              <w:right w:val="single" w:sz="4" w:space="0" w:color="auto"/>
            </w:tcBorders>
            <w:shd w:val="clear" w:color="auto" w:fill="auto"/>
            <w:noWrap/>
            <w:vAlign w:val="bottom"/>
          </w:tcPr>
          <w:p w14:paraId="3E68CE74" w14:textId="77777777" w:rsidR="001C6D97" w:rsidRPr="002B490A" w:rsidRDefault="001C6D97" w:rsidP="001C6D97">
            <w:pPr>
              <w:rPr>
                <w:color w:val="000000" w:themeColor="text1"/>
                <w:sz w:val="18"/>
                <w:szCs w:val="18"/>
              </w:rPr>
            </w:pPr>
            <w:r w:rsidRPr="002B490A">
              <w:rPr>
                <w:color w:val="000000" w:themeColor="text1"/>
                <w:sz w:val="18"/>
                <w:szCs w:val="18"/>
              </w:rPr>
              <w:t xml:space="preserve">    Предоставени тек. и </w:t>
            </w:r>
            <w:proofErr w:type="spellStart"/>
            <w:r w:rsidRPr="002B490A">
              <w:rPr>
                <w:color w:val="000000" w:themeColor="text1"/>
                <w:sz w:val="18"/>
                <w:szCs w:val="18"/>
              </w:rPr>
              <w:t>капит</w:t>
            </w:r>
            <w:proofErr w:type="spellEnd"/>
            <w:r w:rsidRPr="002B490A">
              <w:rPr>
                <w:color w:val="000000" w:themeColor="text1"/>
                <w:sz w:val="18"/>
                <w:szCs w:val="18"/>
              </w:rPr>
              <w:t>. трансфери за чужбина</w:t>
            </w:r>
          </w:p>
        </w:tc>
        <w:tc>
          <w:tcPr>
            <w:tcW w:w="1147" w:type="dxa"/>
            <w:tcBorders>
              <w:top w:val="nil"/>
              <w:left w:val="nil"/>
              <w:bottom w:val="nil"/>
              <w:right w:val="nil"/>
            </w:tcBorders>
            <w:shd w:val="clear" w:color="auto" w:fill="auto"/>
            <w:noWrap/>
            <w:vAlign w:val="bottom"/>
          </w:tcPr>
          <w:p w14:paraId="55C510A1" w14:textId="77777777" w:rsidR="001C6D97" w:rsidRPr="002B490A" w:rsidRDefault="001C6D97" w:rsidP="001C6D97">
            <w:pPr>
              <w:jc w:val="right"/>
              <w:rPr>
                <w:color w:val="000000" w:themeColor="text1"/>
                <w:sz w:val="18"/>
                <w:szCs w:val="18"/>
              </w:rPr>
            </w:pPr>
            <w:r w:rsidRPr="002B490A">
              <w:rPr>
                <w:color w:val="000000" w:themeColor="text1"/>
                <w:sz w:val="18"/>
                <w:szCs w:val="18"/>
              </w:rPr>
              <w:t>27,7</w:t>
            </w:r>
          </w:p>
        </w:tc>
        <w:tc>
          <w:tcPr>
            <w:tcW w:w="1227" w:type="dxa"/>
            <w:tcBorders>
              <w:top w:val="nil"/>
              <w:left w:val="nil"/>
              <w:bottom w:val="nil"/>
              <w:right w:val="nil"/>
            </w:tcBorders>
            <w:shd w:val="clear" w:color="000000" w:fill="FFFFFF"/>
            <w:noWrap/>
            <w:vAlign w:val="bottom"/>
          </w:tcPr>
          <w:p w14:paraId="041BDE30" w14:textId="6CD584CF" w:rsidR="001C6D97" w:rsidRPr="002807FE" w:rsidRDefault="001C6D97" w:rsidP="001C6D97">
            <w:pPr>
              <w:jc w:val="right"/>
              <w:rPr>
                <w:color w:val="0070C0"/>
                <w:sz w:val="18"/>
                <w:szCs w:val="18"/>
              </w:rPr>
            </w:pPr>
            <w:r>
              <w:rPr>
                <w:sz w:val="18"/>
                <w:szCs w:val="18"/>
              </w:rPr>
              <w:t>48,7</w:t>
            </w:r>
          </w:p>
        </w:tc>
        <w:tc>
          <w:tcPr>
            <w:tcW w:w="1222" w:type="dxa"/>
            <w:tcBorders>
              <w:top w:val="nil"/>
              <w:left w:val="nil"/>
              <w:bottom w:val="nil"/>
              <w:right w:val="nil"/>
            </w:tcBorders>
            <w:shd w:val="clear" w:color="000000" w:fill="FFFFFF"/>
            <w:noWrap/>
            <w:vAlign w:val="bottom"/>
          </w:tcPr>
          <w:p w14:paraId="3C2787EB" w14:textId="15806FB4" w:rsidR="001C6D97" w:rsidRPr="002807FE" w:rsidRDefault="001C6D97" w:rsidP="001C6D97">
            <w:pPr>
              <w:jc w:val="right"/>
              <w:rPr>
                <w:color w:val="0070C0"/>
                <w:sz w:val="18"/>
                <w:szCs w:val="18"/>
              </w:rPr>
            </w:pPr>
            <w:r>
              <w:rPr>
                <w:sz w:val="18"/>
                <w:szCs w:val="18"/>
              </w:rPr>
              <w:t>17,6</w:t>
            </w:r>
          </w:p>
        </w:tc>
        <w:tc>
          <w:tcPr>
            <w:tcW w:w="1199" w:type="dxa"/>
            <w:tcBorders>
              <w:top w:val="nil"/>
              <w:left w:val="nil"/>
              <w:bottom w:val="nil"/>
              <w:right w:val="nil"/>
            </w:tcBorders>
            <w:shd w:val="clear" w:color="000000" w:fill="FFFFFF"/>
            <w:noWrap/>
            <w:vAlign w:val="bottom"/>
          </w:tcPr>
          <w:p w14:paraId="539609DA" w14:textId="5FC1A6A4" w:rsidR="001C6D97" w:rsidRPr="002807FE" w:rsidRDefault="001C6D97" w:rsidP="001C6D97">
            <w:pPr>
              <w:jc w:val="right"/>
              <w:rPr>
                <w:color w:val="0070C0"/>
                <w:sz w:val="18"/>
                <w:szCs w:val="18"/>
              </w:rPr>
            </w:pPr>
            <w:r>
              <w:rPr>
                <w:sz w:val="18"/>
                <w:szCs w:val="18"/>
              </w:rPr>
              <w:t>31,1</w:t>
            </w:r>
          </w:p>
        </w:tc>
        <w:tc>
          <w:tcPr>
            <w:tcW w:w="1209" w:type="dxa"/>
            <w:tcBorders>
              <w:top w:val="nil"/>
              <w:left w:val="nil"/>
              <w:bottom w:val="nil"/>
              <w:right w:val="single" w:sz="4" w:space="0" w:color="auto"/>
            </w:tcBorders>
            <w:shd w:val="clear" w:color="000000" w:fill="FFFFFF"/>
            <w:noWrap/>
            <w:vAlign w:val="bottom"/>
          </w:tcPr>
          <w:p w14:paraId="3E04D4F9" w14:textId="06CD45ED" w:rsidR="001C6D97" w:rsidRPr="002807FE" w:rsidRDefault="001C6D97" w:rsidP="001C6D97">
            <w:pPr>
              <w:jc w:val="right"/>
              <w:rPr>
                <w:color w:val="0070C0"/>
                <w:sz w:val="18"/>
                <w:szCs w:val="18"/>
              </w:rPr>
            </w:pPr>
            <w:r>
              <w:rPr>
                <w:sz w:val="18"/>
                <w:szCs w:val="18"/>
              </w:rPr>
              <w:t>175,7%</w:t>
            </w:r>
          </w:p>
        </w:tc>
      </w:tr>
      <w:tr w:rsidR="001C6D97" w:rsidRPr="002807FE" w14:paraId="32A17AB8" w14:textId="77777777" w:rsidTr="00D94DB2">
        <w:trPr>
          <w:trHeight w:val="250"/>
        </w:trPr>
        <w:tc>
          <w:tcPr>
            <w:tcW w:w="4032" w:type="dxa"/>
            <w:tcBorders>
              <w:top w:val="nil"/>
              <w:left w:val="single" w:sz="8" w:space="0" w:color="auto"/>
              <w:bottom w:val="nil"/>
              <w:right w:val="single" w:sz="4" w:space="0" w:color="auto"/>
            </w:tcBorders>
            <w:shd w:val="clear" w:color="auto" w:fill="auto"/>
            <w:noWrap/>
            <w:vAlign w:val="bottom"/>
            <w:hideMark/>
          </w:tcPr>
          <w:p w14:paraId="5E9F36FA" w14:textId="77777777" w:rsidR="001C6D97" w:rsidRPr="002B490A" w:rsidRDefault="001C6D97" w:rsidP="001C6D97">
            <w:pPr>
              <w:rPr>
                <w:color w:val="000000" w:themeColor="text1"/>
                <w:sz w:val="18"/>
                <w:szCs w:val="18"/>
              </w:rPr>
            </w:pPr>
            <w:r w:rsidRPr="002B490A">
              <w:rPr>
                <w:color w:val="000000" w:themeColor="text1"/>
                <w:sz w:val="18"/>
                <w:szCs w:val="18"/>
              </w:rPr>
              <w:t xml:space="preserve">    Капиталови</w:t>
            </w:r>
          </w:p>
        </w:tc>
        <w:tc>
          <w:tcPr>
            <w:tcW w:w="1147" w:type="dxa"/>
            <w:tcBorders>
              <w:top w:val="nil"/>
              <w:left w:val="single" w:sz="4" w:space="0" w:color="auto"/>
              <w:bottom w:val="nil"/>
              <w:right w:val="nil"/>
            </w:tcBorders>
            <w:shd w:val="clear" w:color="auto" w:fill="auto"/>
            <w:noWrap/>
            <w:vAlign w:val="bottom"/>
            <w:hideMark/>
          </w:tcPr>
          <w:p w14:paraId="1D0CF362" w14:textId="77777777" w:rsidR="001C6D97" w:rsidRPr="002B490A" w:rsidRDefault="001C6D97" w:rsidP="001C6D97">
            <w:pPr>
              <w:jc w:val="right"/>
              <w:rPr>
                <w:color w:val="000000" w:themeColor="text1"/>
                <w:sz w:val="18"/>
                <w:szCs w:val="18"/>
              </w:rPr>
            </w:pPr>
            <w:r w:rsidRPr="002B490A">
              <w:rPr>
                <w:color w:val="000000" w:themeColor="text1"/>
                <w:sz w:val="18"/>
                <w:szCs w:val="18"/>
              </w:rPr>
              <w:t>13 474,1</w:t>
            </w:r>
          </w:p>
        </w:tc>
        <w:tc>
          <w:tcPr>
            <w:tcW w:w="1227" w:type="dxa"/>
            <w:tcBorders>
              <w:top w:val="nil"/>
              <w:left w:val="nil"/>
              <w:bottom w:val="nil"/>
              <w:right w:val="nil"/>
            </w:tcBorders>
            <w:shd w:val="clear" w:color="000000" w:fill="FFFFFF"/>
            <w:noWrap/>
            <w:vAlign w:val="bottom"/>
            <w:hideMark/>
          </w:tcPr>
          <w:p w14:paraId="14E1B2EC" w14:textId="13FFC5BD" w:rsidR="001C6D97" w:rsidRPr="002807FE" w:rsidRDefault="001C6D97" w:rsidP="001C6D97">
            <w:pPr>
              <w:jc w:val="right"/>
              <w:rPr>
                <w:color w:val="0070C0"/>
                <w:sz w:val="18"/>
                <w:szCs w:val="18"/>
              </w:rPr>
            </w:pPr>
            <w:r>
              <w:rPr>
                <w:sz w:val="18"/>
                <w:szCs w:val="18"/>
              </w:rPr>
              <w:t>6 902,0</w:t>
            </w:r>
          </w:p>
        </w:tc>
        <w:tc>
          <w:tcPr>
            <w:tcW w:w="1222" w:type="dxa"/>
            <w:tcBorders>
              <w:top w:val="nil"/>
              <w:left w:val="nil"/>
              <w:bottom w:val="nil"/>
              <w:right w:val="nil"/>
            </w:tcBorders>
            <w:shd w:val="clear" w:color="000000" w:fill="FFFFFF"/>
            <w:noWrap/>
            <w:vAlign w:val="bottom"/>
            <w:hideMark/>
          </w:tcPr>
          <w:p w14:paraId="3199C3AE" w14:textId="145C1D2A" w:rsidR="001C6D97" w:rsidRPr="002807FE" w:rsidRDefault="001C6D97" w:rsidP="001C6D97">
            <w:pPr>
              <w:jc w:val="right"/>
              <w:rPr>
                <w:color w:val="0070C0"/>
                <w:sz w:val="18"/>
                <w:szCs w:val="18"/>
              </w:rPr>
            </w:pPr>
            <w:r>
              <w:rPr>
                <w:sz w:val="18"/>
                <w:szCs w:val="18"/>
              </w:rPr>
              <w:t>4 071,6</w:t>
            </w:r>
          </w:p>
        </w:tc>
        <w:tc>
          <w:tcPr>
            <w:tcW w:w="1199" w:type="dxa"/>
            <w:tcBorders>
              <w:top w:val="nil"/>
              <w:left w:val="nil"/>
              <w:bottom w:val="nil"/>
              <w:right w:val="nil"/>
            </w:tcBorders>
            <w:shd w:val="clear" w:color="000000" w:fill="FFFFFF"/>
            <w:noWrap/>
            <w:vAlign w:val="bottom"/>
            <w:hideMark/>
          </w:tcPr>
          <w:p w14:paraId="72F4A9AC" w14:textId="2CD78E54" w:rsidR="001C6D97" w:rsidRPr="002807FE" w:rsidRDefault="001C6D97" w:rsidP="001C6D97">
            <w:pPr>
              <w:jc w:val="right"/>
              <w:rPr>
                <w:color w:val="0070C0"/>
                <w:sz w:val="18"/>
                <w:szCs w:val="18"/>
              </w:rPr>
            </w:pPr>
            <w:r>
              <w:rPr>
                <w:sz w:val="18"/>
                <w:szCs w:val="18"/>
              </w:rPr>
              <w:t>2 830,4</w:t>
            </w:r>
          </w:p>
        </w:tc>
        <w:tc>
          <w:tcPr>
            <w:tcW w:w="1209" w:type="dxa"/>
            <w:tcBorders>
              <w:top w:val="nil"/>
              <w:left w:val="nil"/>
              <w:bottom w:val="nil"/>
              <w:right w:val="single" w:sz="4" w:space="0" w:color="auto"/>
            </w:tcBorders>
            <w:shd w:val="clear" w:color="000000" w:fill="FFFFFF"/>
            <w:noWrap/>
            <w:vAlign w:val="bottom"/>
            <w:hideMark/>
          </w:tcPr>
          <w:p w14:paraId="2F1E25EB" w14:textId="03BC51DE" w:rsidR="001C6D97" w:rsidRPr="002807FE" w:rsidRDefault="001C6D97" w:rsidP="001C6D97">
            <w:pPr>
              <w:jc w:val="right"/>
              <w:rPr>
                <w:color w:val="0070C0"/>
                <w:sz w:val="18"/>
                <w:szCs w:val="18"/>
              </w:rPr>
            </w:pPr>
            <w:r>
              <w:rPr>
                <w:sz w:val="18"/>
                <w:szCs w:val="18"/>
              </w:rPr>
              <w:t>51,2%</w:t>
            </w:r>
          </w:p>
        </w:tc>
      </w:tr>
      <w:tr w:rsidR="006F3F61" w:rsidRPr="002807FE" w14:paraId="512C2119" w14:textId="77777777" w:rsidTr="00D94DB2">
        <w:trPr>
          <w:trHeight w:val="250"/>
        </w:trPr>
        <w:tc>
          <w:tcPr>
            <w:tcW w:w="4032" w:type="dxa"/>
            <w:tcBorders>
              <w:top w:val="nil"/>
              <w:left w:val="single" w:sz="8" w:space="0" w:color="auto"/>
              <w:right w:val="single" w:sz="4" w:space="0" w:color="auto"/>
            </w:tcBorders>
            <w:shd w:val="clear" w:color="auto" w:fill="auto"/>
            <w:noWrap/>
            <w:vAlign w:val="bottom"/>
            <w:hideMark/>
          </w:tcPr>
          <w:p w14:paraId="77EDB038" w14:textId="77777777" w:rsidR="006F3F61" w:rsidRPr="002B490A" w:rsidRDefault="006F3F61" w:rsidP="006F3F61">
            <w:pPr>
              <w:rPr>
                <w:color w:val="000000" w:themeColor="text1"/>
                <w:sz w:val="18"/>
                <w:szCs w:val="18"/>
              </w:rPr>
            </w:pPr>
            <w:r w:rsidRPr="002B490A">
              <w:rPr>
                <w:color w:val="000000" w:themeColor="text1"/>
                <w:sz w:val="18"/>
                <w:szCs w:val="18"/>
              </w:rPr>
              <w:t xml:space="preserve">           в т.ч. нетен прираст на държавния резерв</w:t>
            </w:r>
          </w:p>
        </w:tc>
        <w:tc>
          <w:tcPr>
            <w:tcW w:w="1147" w:type="dxa"/>
            <w:tcBorders>
              <w:top w:val="nil"/>
              <w:left w:val="single" w:sz="4" w:space="0" w:color="auto"/>
              <w:bottom w:val="nil"/>
              <w:right w:val="nil"/>
            </w:tcBorders>
            <w:shd w:val="clear" w:color="auto" w:fill="auto"/>
            <w:noWrap/>
            <w:vAlign w:val="bottom"/>
            <w:hideMark/>
          </w:tcPr>
          <w:p w14:paraId="748E4A34" w14:textId="77777777" w:rsidR="006F3F61" w:rsidRPr="002B490A" w:rsidRDefault="006F3F61" w:rsidP="006F3F61">
            <w:pPr>
              <w:jc w:val="right"/>
              <w:rPr>
                <w:color w:val="000000" w:themeColor="text1"/>
                <w:sz w:val="18"/>
                <w:szCs w:val="18"/>
              </w:rPr>
            </w:pPr>
            <w:r w:rsidRPr="002B490A">
              <w:rPr>
                <w:color w:val="000000" w:themeColor="text1"/>
                <w:sz w:val="18"/>
                <w:szCs w:val="18"/>
              </w:rPr>
              <w:t>31,3</w:t>
            </w:r>
          </w:p>
        </w:tc>
        <w:tc>
          <w:tcPr>
            <w:tcW w:w="1227" w:type="dxa"/>
            <w:tcBorders>
              <w:top w:val="nil"/>
              <w:left w:val="nil"/>
              <w:bottom w:val="nil"/>
              <w:right w:val="nil"/>
            </w:tcBorders>
            <w:shd w:val="clear" w:color="000000" w:fill="FFFFFF"/>
            <w:noWrap/>
            <w:vAlign w:val="bottom"/>
            <w:hideMark/>
          </w:tcPr>
          <w:p w14:paraId="11C1A275" w14:textId="1B88113E" w:rsidR="006F3F61" w:rsidRPr="002807FE" w:rsidRDefault="006F3F61" w:rsidP="006F3F61">
            <w:pPr>
              <w:jc w:val="right"/>
              <w:rPr>
                <w:color w:val="0070C0"/>
                <w:sz w:val="18"/>
                <w:szCs w:val="18"/>
              </w:rPr>
            </w:pPr>
            <w:r>
              <w:rPr>
                <w:sz w:val="18"/>
                <w:szCs w:val="18"/>
              </w:rPr>
              <w:t>2,2</w:t>
            </w:r>
          </w:p>
        </w:tc>
        <w:tc>
          <w:tcPr>
            <w:tcW w:w="1222" w:type="dxa"/>
            <w:tcBorders>
              <w:top w:val="nil"/>
              <w:left w:val="nil"/>
              <w:bottom w:val="nil"/>
              <w:right w:val="nil"/>
            </w:tcBorders>
            <w:shd w:val="clear" w:color="000000" w:fill="FFFFFF"/>
            <w:noWrap/>
            <w:vAlign w:val="bottom"/>
            <w:hideMark/>
          </w:tcPr>
          <w:p w14:paraId="4C8215D4" w14:textId="7A174E87" w:rsidR="006F3F61" w:rsidRPr="002807FE" w:rsidRDefault="006F3F61" w:rsidP="006F3F61">
            <w:pPr>
              <w:jc w:val="right"/>
              <w:rPr>
                <w:color w:val="0070C0"/>
                <w:sz w:val="18"/>
                <w:szCs w:val="18"/>
              </w:rPr>
            </w:pPr>
            <w:r>
              <w:rPr>
                <w:sz w:val="18"/>
                <w:szCs w:val="18"/>
              </w:rPr>
              <w:t>2,2</w:t>
            </w:r>
          </w:p>
        </w:tc>
        <w:tc>
          <w:tcPr>
            <w:tcW w:w="1199" w:type="dxa"/>
            <w:tcBorders>
              <w:top w:val="nil"/>
              <w:left w:val="nil"/>
              <w:bottom w:val="nil"/>
              <w:right w:val="nil"/>
            </w:tcBorders>
            <w:shd w:val="clear" w:color="000000" w:fill="FFFFFF"/>
            <w:noWrap/>
            <w:vAlign w:val="bottom"/>
          </w:tcPr>
          <w:p w14:paraId="358C501D" w14:textId="204EF11F" w:rsidR="006F3F61" w:rsidRPr="002807FE" w:rsidRDefault="006F3F61" w:rsidP="006F3F61">
            <w:pPr>
              <w:jc w:val="right"/>
              <w:rPr>
                <w:color w:val="0070C0"/>
                <w:sz w:val="18"/>
                <w:szCs w:val="18"/>
              </w:rPr>
            </w:pPr>
          </w:p>
        </w:tc>
        <w:tc>
          <w:tcPr>
            <w:tcW w:w="1209" w:type="dxa"/>
            <w:tcBorders>
              <w:top w:val="nil"/>
              <w:left w:val="nil"/>
              <w:bottom w:val="nil"/>
              <w:right w:val="single" w:sz="4" w:space="0" w:color="auto"/>
            </w:tcBorders>
            <w:shd w:val="clear" w:color="000000" w:fill="FFFFFF"/>
            <w:noWrap/>
            <w:vAlign w:val="bottom"/>
          </w:tcPr>
          <w:p w14:paraId="62EA4A2A" w14:textId="66180D10" w:rsidR="006F3F61" w:rsidRPr="002807FE" w:rsidRDefault="006F3F61" w:rsidP="006F3F61">
            <w:pPr>
              <w:jc w:val="right"/>
              <w:rPr>
                <w:color w:val="0070C0"/>
                <w:sz w:val="18"/>
                <w:szCs w:val="18"/>
              </w:rPr>
            </w:pPr>
            <w:r>
              <w:rPr>
                <w:sz w:val="18"/>
                <w:szCs w:val="18"/>
              </w:rPr>
              <w:t>7,2%</w:t>
            </w:r>
          </w:p>
        </w:tc>
      </w:tr>
      <w:tr w:rsidR="002B490A" w:rsidRPr="002807FE" w14:paraId="647CDDC6" w14:textId="77777777" w:rsidTr="002B490A">
        <w:trPr>
          <w:trHeight w:val="250"/>
        </w:trPr>
        <w:tc>
          <w:tcPr>
            <w:tcW w:w="4032" w:type="dxa"/>
            <w:tcBorders>
              <w:top w:val="nil"/>
              <w:left w:val="single" w:sz="8" w:space="0" w:color="auto"/>
              <w:bottom w:val="nil"/>
              <w:right w:val="single" w:sz="4" w:space="0" w:color="auto"/>
            </w:tcBorders>
            <w:shd w:val="clear" w:color="auto" w:fill="auto"/>
            <w:noWrap/>
            <w:vAlign w:val="bottom"/>
            <w:hideMark/>
          </w:tcPr>
          <w:p w14:paraId="24FE8EE1" w14:textId="77777777" w:rsidR="002B490A" w:rsidRPr="002B490A" w:rsidRDefault="002B490A" w:rsidP="002B490A">
            <w:pPr>
              <w:rPr>
                <w:color w:val="000000" w:themeColor="text1"/>
                <w:sz w:val="18"/>
                <w:szCs w:val="18"/>
              </w:rPr>
            </w:pPr>
            <w:r w:rsidRPr="002B490A">
              <w:rPr>
                <w:color w:val="000000" w:themeColor="text1"/>
                <w:sz w:val="18"/>
                <w:szCs w:val="18"/>
              </w:rPr>
              <w:t xml:space="preserve">  Лихвени</w:t>
            </w:r>
          </w:p>
        </w:tc>
        <w:tc>
          <w:tcPr>
            <w:tcW w:w="1147" w:type="dxa"/>
            <w:tcBorders>
              <w:top w:val="nil"/>
              <w:left w:val="single" w:sz="4" w:space="0" w:color="auto"/>
              <w:bottom w:val="nil"/>
              <w:right w:val="nil"/>
            </w:tcBorders>
            <w:shd w:val="clear" w:color="auto" w:fill="auto"/>
            <w:noWrap/>
            <w:vAlign w:val="bottom"/>
            <w:hideMark/>
          </w:tcPr>
          <w:p w14:paraId="54BC1C90" w14:textId="77777777" w:rsidR="002B490A" w:rsidRPr="002B490A" w:rsidRDefault="002B490A" w:rsidP="002B490A">
            <w:pPr>
              <w:jc w:val="right"/>
              <w:rPr>
                <w:color w:val="000000" w:themeColor="text1"/>
                <w:sz w:val="18"/>
                <w:szCs w:val="18"/>
              </w:rPr>
            </w:pPr>
            <w:r w:rsidRPr="002B490A">
              <w:rPr>
                <w:color w:val="000000" w:themeColor="text1"/>
                <w:sz w:val="18"/>
                <w:szCs w:val="18"/>
              </w:rPr>
              <w:t>1 623,2</w:t>
            </w:r>
          </w:p>
        </w:tc>
        <w:tc>
          <w:tcPr>
            <w:tcW w:w="1227" w:type="dxa"/>
            <w:tcBorders>
              <w:top w:val="nil"/>
              <w:left w:val="nil"/>
              <w:bottom w:val="nil"/>
              <w:right w:val="nil"/>
            </w:tcBorders>
            <w:shd w:val="clear" w:color="auto" w:fill="auto"/>
            <w:noWrap/>
            <w:vAlign w:val="bottom"/>
            <w:hideMark/>
          </w:tcPr>
          <w:p w14:paraId="4FA09D73" w14:textId="5B659473" w:rsidR="002B490A" w:rsidRPr="002807FE" w:rsidRDefault="002B490A" w:rsidP="002B490A">
            <w:pPr>
              <w:jc w:val="right"/>
              <w:rPr>
                <w:color w:val="0070C0"/>
                <w:sz w:val="18"/>
                <w:szCs w:val="18"/>
              </w:rPr>
            </w:pPr>
            <w:r>
              <w:rPr>
                <w:sz w:val="18"/>
                <w:szCs w:val="18"/>
              </w:rPr>
              <w:t>1 339,2</w:t>
            </w:r>
          </w:p>
        </w:tc>
        <w:tc>
          <w:tcPr>
            <w:tcW w:w="1222" w:type="dxa"/>
            <w:tcBorders>
              <w:top w:val="nil"/>
              <w:left w:val="nil"/>
              <w:bottom w:val="nil"/>
              <w:right w:val="nil"/>
            </w:tcBorders>
            <w:shd w:val="clear" w:color="auto" w:fill="auto"/>
            <w:noWrap/>
            <w:vAlign w:val="bottom"/>
            <w:hideMark/>
          </w:tcPr>
          <w:p w14:paraId="5FC51626" w14:textId="1BBEF6D8" w:rsidR="002B490A" w:rsidRPr="002807FE" w:rsidRDefault="002B490A" w:rsidP="002B490A">
            <w:pPr>
              <w:jc w:val="right"/>
              <w:rPr>
                <w:color w:val="0070C0"/>
                <w:sz w:val="18"/>
                <w:szCs w:val="18"/>
              </w:rPr>
            </w:pPr>
            <w:r>
              <w:rPr>
                <w:sz w:val="18"/>
                <w:szCs w:val="18"/>
              </w:rPr>
              <w:t>1 339,2</w:t>
            </w:r>
          </w:p>
        </w:tc>
        <w:tc>
          <w:tcPr>
            <w:tcW w:w="1199" w:type="dxa"/>
            <w:tcBorders>
              <w:top w:val="nil"/>
              <w:left w:val="nil"/>
              <w:bottom w:val="nil"/>
              <w:right w:val="nil"/>
            </w:tcBorders>
            <w:shd w:val="clear" w:color="auto" w:fill="auto"/>
            <w:noWrap/>
            <w:vAlign w:val="bottom"/>
          </w:tcPr>
          <w:p w14:paraId="26EF93B0" w14:textId="08108B39" w:rsidR="002B490A" w:rsidRPr="002807FE" w:rsidRDefault="002B490A" w:rsidP="002B490A">
            <w:pPr>
              <w:jc w:val="right"/>
              <w:rPr>
                <w:color w:val="0070C0"/>
                <w:sz w:val="18"/>
                <w:szCs w:val="18"/>
              </w:rPr>
            </w:pPr>
            <w:r>
              <w:rPr>
                <w:sz w:val="18"/>
                <w:szCs w:val="18"/>
              </w:rPr>
              <w:t>0,02</w:t>
            </w:r>
          </w:p>
        </w:tc>
        <w:tc>
          <w:tcPr>
            <w:tcW w:w="1209" w:type="dxa"/>
            <w:tcBorders>
              <w:top w:val="nil"/>
              <w:left w:val="nil"/>
              <w:bottom w:val="nil"/>
              <w:right w:val="single" w:sz="8" w:space="0" w:color="auto"/>
            </w:tcBorders>
            <w:shd w:val="clear" w:color="auto" w:fill="auto"/>
            <w:noWrap/>
            <w:vAlign w:val="bottom"/>
            <w:hideMark/>
          </w:tcPr>
          <w:p w14:paraId="50017F48" w14:textId="590EAC15" w:rsidR="002B490A" w:rsidRPr="002807FE" w:rsidRDefault="002B490A" w:rsidP="002B490A">
            <w:pPr>
              <w:jc w:val="right"/>
              <w:rPr>
                <w:color w:val="0070C0"/>
                <w:sz w:val="18"/>
                <w:szCs w:val="18"/>
              </w:rPr>
            </w:pPr>
            <w:r>
              <w:rPr>
                <w:sz w:val="18"/>
                <w:szCs w:val="18"/>
              </w:rPr>
              <w:t>82,5%</w:t>
            </w:r>
          </w:p>
        </w:tc>
      </w:tr>
      <w:tr w:rsidR="002B490A" w:rsidRPr="002807FE" w14:paraId="12B289F4" w14:textId="77777777" w:rsidTr="002B490A">
        <w:trPr>
          <w:trHeight w:val="250"/>
        </w:trPr>
        <w:tc>
          <w:tcPr>
            <w:tcW w:w="4032" w:type="dxa"/>
            <w:tcBorders>
              <w:top w:val="nil"/>
              <w:left w:val="single" w:sz="8" w:space="0" w:color="auto"/>
              <w:bottom w:val="nil"/>
              <w:right w:val="single" w:sz="4" w:space="0" w:color="auto"/>
            </w:tcBorders>
            <w:noWrap/>
            <w:vAlign w:val="bottom"/>
          </w:tcPr>
          <w:p w14:paraId="2554CEFF" w14:textId="77777777" w:rsidR="002B490A" w:rsidRPr="002B490A" w:rsidRDefault="002B490A" w:rsidP="002B490A">
            <w:pPr>
              <w:rPr>
                <w:color w:val="000000" w:themeColor="text1"/>
                <w:sz w:val="18"/>
                <w:szCs w:val="18"/>
              </w:rPr>
            </w:pPr>
            <w:r w:rsidRPr="002B490A">
              <w:rPr>
                <w:color w:val="000000" w:themeColor="text1"/>
                <w:sz w:val="18"/>
                <w:szCs w:val="18"/>
                <w:lang w:val="ru-RU"/>
              </w:rPr>
              <w:t xml:space="preserve">  </w:t>
            </w:r>
            <w:r w:rsidRPr="002B490A">
              <w:rPr>
                <w:color w:val="000000" w:themeColor="text1"/>
                <w:sz w:val="18"/>
                <w:szCs w:val="18"/>
              </w:rPr>
              <w:t>Резерв за неотложни и непредвидени разходи</w:t>
            </w:r>
          </w:p>
        </w:tc>
        <w:tc>
          <w:tcPr>
            <w:tcW w:w="1147" w:type="dxa"/>
            <w:tcBorders>
              <w:left w:val="single" w:sz="4" w:space="0" w:color="auto"/>
            </w:tcBorders>
            <w:noWrap/>
            <w:vAlign w:val="bottom"/>
          </w:tcPr>
          <w:p w14:paraId="4195CCDA" w14:textId="77777777" w:rsidR="002B490A" w:rsidRPr="002B490A" w:rsidRDefault="002B490A" w:rsidP="002B490A">
            <w:pPr>
              <w:jc w:val="right"/>
              <w:rPr>
                <w:color w:val="000000" w:themeColor="text1"/>
                <w:sz w:val="18"/>
                <w:szCs w:val="18"/>
              </w:rPr>
            </w:pPr>
            <w:r w:rsidRPr="002B490A">
              <w:rPr>
                <w:color w:val="000000" w:themeColor="text1"/>
                <w:sz w:val="18"/>
                <w:szCs w:val="18"/>
              </w:rPr>
              <w:t>409,1</w:t>
            </w:r>
          </w:p>
        </w:tc>
        <w:tc>
          <w:tcPr>
            <w:tcW w:w="1227" w:type="dxa"/>
            <w:tcBorders>
              <w:top w:val="nil"/>
              <w:left w:val="nil"/>
              <w:bottom w:val="nil"/>
              <w:right w:val="nil"/>
            </w:tcBorders>
            <w:shd w:val="clear" w:color="auto" w:fill="auto"/>
            <w:noWrap/>
            <w:vAlign w:val="bottom"/>
          </w:tcPr>
          <w:p w14:paraId="2AE09439" w14:textId="77777777" w:rsidR="002B490A" w:rsidRPr="002807FE" w:rsidRDefault="002B490A" w:rsidP="002B490A">
            <w:pPr>
              <w:jc w:val="right"/>
              <w:rPr>
                <w:color w:val="0070C0"/>
                <w:sz w:val="18"/>
                <w:szCs w:val="18"/>
              </w:rPr>
            </w:pPr>
          </w:p>
        </w:tc>
        <w:tc>
          <w:tcPr>
            <w:tcW w:w="1222" w:type="dxa"/>
            <w:tcBorders>
              <w:top w:val="nil"/>
              <w:left w:val="nil"/>
              <w:bottom w:val="nil"/>
              <w:right w:val="nil"/>
            </w:tcBorders>
            <w:shd w:val="clear" w:color="auto" w:fill="auto"/>
            <w:noWrap/>
            <w:vAlign w:val="bottom"/>
          </w:tcPr>
          <w:p w14:paraId="04A31E0F" w14:textId="77777777" w:rsidR="002B490A" w:rsidRPr="002807FE" w:rsidRDefault="002B490A" w:rsidP="002B490A">
            <w:pPr>
              <w:rPr>
                <w:color w:val="0070C0"/>
                <w:sz w:val="20"/>
                <w:szCs w:val="20"/>
              </w:rPr>
            </w:pPr>
          </w:p>
        </w:tc>
        <w:tc>
          <w:tcPr>
            <w:tcW w:w="1199" w:type="dxa"/>
            <w:tcBorders>
              <w:top w:val="nil"/>
              <w:left w:val="nil"/>
              <w:bottom w:val="nil"/>
              <w:right w:val="nil"/>
            </w:tcBorders>
            <w:shd w:val="clear" w:color="auto" w:fill="auto"/>
            <w:noWrap/>
            <w:vAlign w:val="bottom"/>
          </w:tcPr>
          <w:p w14:paraId="00C4E6A4" w14:textId="77777777" w:rsidR="002B490A" w:rsidRPr="002807FE" w:rsidRDefault="002B490A" w:rsidP="002B490A">
            <w:pPr>
              <w:rPr>
                <w:color w:val="0070C0"/>
                <w:sz w:val="20"/>
                <w:szCs w:val="20"/>
              </w:rPr>
            </w:pPr>
          </w:p>
        </w:tc>
        <w:tc>
          <w:tcPr>
            <w:tcW w:w="1209" w:type="dxa"/>
            <w:tcBorders>
              <w:top w:val="nil"/>
              <w:left w:val="nil"/>
              <w:bottom w:val="nil"/>
              <w:right w:val="single" w:sz="8" w:space="0" w:color="auto"/>
            </w:tcBorders>
            <w:shd w:val="clear" w:color="auto" w:fill="auto"/>
            <w:noWrap/>
            <w:vAlign w:val="bottom"/>
          </w:tcPr>
          <w:p w14:paraId="1CD0D61B" w14:textId="66BF2B74" w:rsidR="002B490A" w:rsidRPr="002807FE" w:rsidRDefault="002B490A" w:rsidP="002B490A">
            <w:pPr>
              <w:rPr>
                <w:color w:val="0070C0"/>
                <w:sz w:val="18"/>
                <w:szCs w:val="18"/>
              </w:rPr>
            </w:pPr>
            <w:r>
              <w:rPr>
                <w:sz w:val="18"/>
                <w:szCs w:val="18"/>
              </w:rPr>
              <w:t> </w:t>
            </w:r>
          </w:p>
        </w:tc>
      </w:tr>
      <w:tr w:rsidR="002B490A" w:rsidRPr="002807FE" w14:paraId="2A564FA6" w14:textId="77777777" w:rsidTr="002B490A">
        <w:trPr>
          <w:trHeight w:val="250"/>
        </w:trPr>
        <w:tc>
          <w:tcPr>
            <w:tcW w:w="4032" w:type="dxa"/>
            <w:tcBorders>
              <w:top w:val="nil"/>
              <w:left w:val="single" w:sz="8" w:space="0" w:color="auto"/>
              <w:bottom w:val="single" w:sz="4" w:space="0" w:color="auto"/>
              <w:right w:val="single" w:sz="4" w:space="0" w:color="auto"/>
            </w:tcBorders>
            <w:shd w:val="clear" w:color="auto" w:fill="auto"/>
            <w:noWrap/>
            <w:vAlign w:val="bottom"/>
            <w:hideMark/>
          </w:tcPr>
          <w:p w14:paraId="666300D6" w14:textId="77777777" w:rsidR="002B490A" w:rsidRPr="002B490A" w:rsidRDefault="002B490A" w:rsidP="002B490A">
            <w:pPr>
              <w:rPr>
                <w:color w:val="000000" w:themeColor="text1"/>
                <w:sz w:val="18"/>
                <w:szCs w:val="18"/>
              </w:rPr>
            </w:pPr>
            <w:r w:rsidRPr="002B490A">
              <w:rPr>
                <w:color w:val="000000" w:themeColor="text1"/>
                <w:sz w:val="18"/>
                <w:szCs w:val="18"/>
              </w:rPr>
              <w:t xml:space="preserve">  Вноска за общия бюджет на ЕС</w:t>
            </w:r>
          </w:p>
        </w:tc>
        <w:tc>
          <w:tcPr>
            <w:tcW w:w="1147" w:type="dxa"/>
            <w:tcBorders>
              <w:top w:val="nil"/>
              <w:left w:val="single" w:sz="4" w:space="0" w:color="auto"/>
              <w:bottom w:val="single" w:sz="4" w:space="0" w:color="auto"/>
              <w:right w:val="nil"/>
            </w:tcBorders>
            <w:shd w:val="clear" w:color="auto" w:fill="auto"/>
            <w:noWrap/>
            <w:vAlign w:val="bottom"/>
            <w:hideMark/>
          </w:tcPr>
          <w:p w14:paraId="7F23F3DB" w14:textId="77777777" w:rsidR="002B490A" w:rsidRPr="002B490A" w:rsidRDefault="002B490A" w:rsidP="002B490A">
            <w:pPr>
              <w:jc w:val="right"/>
              <w:rPr>
                <w:color w:val="000000" w:themeColor="text1"/>
                <w:sz w:val="18"/>
                <w:szCs w:val="18"/>
              </w:rPr>
            </w:pPr>
            <w:r w:rsidRPr="002B490A">
              <w:rPr>
                <w:color w:val="000000" w:themeColor="text1"/>
                <w:sz w:val="18"/>
                <w:szCs w:val="18"/>
              </w:rPr>
              <w:t>2 020,5</w:t>
            </w:r>
          </w:p>
        </w:tc>
        <w:tc>
          <w:tcPr>
            <w:tcW w:w="1227" w:type="dxa"/>
            <w:tcBorders>
              <w:top w:val="nil"/>
              <w:left w:val="nil"/>
              <w:bottom w:val="single" w:sz="4" w:space="0" w:color="auto"/>
              <w:right w:val="nil"/>
            </w:tcBorders>
            <w:shd w:val="clear" w:color="auto" w:fill="auto"/>
            <w:noWrap/>
            <w:vAlign w:val="bottom"/>
            <w:hideMark/>
          </w:tcPr>
          <w:p w14:paraId="214F267A" w14:textId="55EA1F4D" w:rsidR="002B490A" w:rsidRPr="002807FE" w:rsidRDefault="002B490A" w:rsidP="002B490A">
            <w:pPr>
              <w:jc w:val="right"/>
              <w:rPr>
                <w:color w:val="0070C0"/>
                <w:sz w:val="18"/>
                <w:szCs w:val="18"/>
              </w:rPr>
            </w:pPr>
            <w:r>
              <w:rPr>
                <w:sz w:val="18"/>
                <w:szCs w:val="18"/>
              </w:rPr>
              <w:t>1 471,4</w:t>
            </w:r>
          </w:p>
        </w:tc>
        <w:tc>
          <w:tcPr>
            <w:tcW w:w="1222" w:type="dxa"/>
            <w:tcBorders>
              <w:top w:val="nil"/>
              <w:left w:val="nil"/>
              <w:bottom w:val="single" w:sz="4" w:space="0" w:color="auto"/>
              <w:right w:val="nil"/>
            </w:tcBorders>
            <w:shd w:val="clear" w:color="auto" w:fill="auto"/>
            <w:noWrap/>
            <w:vAlign w:val="bottom"/>
            <w:hideMark/>
          </w:tcPr>
          <w:p w14:paraId="7483CAFE" w14:textId="04745CF1" w:rsidR="002B490A" w:rsidRPr="002807FE" w:rsidRDefault="002B490A" w:rsidP="002B490A">
            <w:pPr>
              <w:jc w:val="right"/>
              <w:rPr>
                <w:color w:val="0070C0"/>
                <w:sz w:val="18"/>
                <w:szCs w:val="18"/>
              </w:rPr>
            </w:pPr>
            <w:r>
              <w:rPr>
                <w:sz w:val="18"/>
                <w:szCs w:val="18"/>
              </w:rPr>
              <w:t>1 471,4</w:t>
            </w:r>
          </w:p>
        </w:tc>
        <w:tc>
          <w:tcPr>
            <w:tcW w:w="1199" w:type="dxa"/>
            <w:tcBorders>
              <w:top w:val="nil"/>
              <w:left w:val="nil"/>
              <w:bottom w:val="single" w:sz="4" w:space="0" w:color="auto"/>
              <w:right w:val="nil"/>
            </w:tcBorders>
            <w:shd w:val="clear" w:color="auto" w:fill="auto"/>
            <w:noWrap/>
            <w:vAlign w:val="bottom"/>
          </w:tcPr>
          <w:p w14:paraId="7F0F66B5" w14:textId="7F1E2B0A" w:rsidR="002B490A" w:rsidRPr="002807FE" w:rsidRDefault="002B490A" w:rsidP="002B490A">
            <w:pPr>
              <w:jc w:val="right"/>
              <w:rPr>
                <w:color w:val="0070C0"/>
                <w:sz w:val="18"/>
                <w:szCs w:val="18"/>
              </w:rPr>
            </w:pPr>
            <w:r>
              <w:rPr>
                <w:sz w:val="18"/>
                <w:szCs w:val="18"/>
              </w:rPr>
              <w:t> </w:t>
            </w:r>
          </w:p>
        </w:tc>
        <w:tc>
          <w:tcPr>
            <w:tcW w:w="1209" w:type="dxa"/>
            <w:tcBorders>
              <w:top w:val="nil"/>
              <w:left w:val="nil"/>
              <w:bottom w:val="single" w:sz="4" w:space="0" w:color="auto"/>
              <w:right w:val="single" w:sz="8" w:space="0" w:color="auto"/>
            </w:tcBorders>
            <w:shd w:val="clear" w:color="auto" w:fill="auto"/>
            <w:noWrap/>
            <w:vAlign w:val="bottom"/>
            <w:hideMark/>
          </w:tcPr>
          <w:p w14:paraId="0CE43873" w14:textId="40D65CC3" w:rsidR="002B490A" w:rsidRPr="002807FE" w:rsidRDefault="002B490A" w:rsidP="002B490A">
            <w:pPr>
              <w:jc w:val="right"/>
              <w:rPr>
                <w:color w:val="0070C0"/>
                <w:sz w:val="18"/>
                <w:szCs w:val="18"/>
              </w:rPr>
            </w:pPr>
            <w:r>
              <w:rPr>
                <w:sz w:val="18"/>
                <w:szCs w:val="18"/>
              </w:rPr>
              <w:t>72,8%</w:t>
            </w:r>
          </w:p>
        </w:tc>
      </w:tr>
      <w:tr w:rsidR="002B490A" w:rsidRPr="002807FE" w14:paraId="53627BDE" w14:textId="77777777" w:rsidTr="002B490A">
        <w:trPr>
          <w:trHeight w:val="250"/>
        </w:trPr>
        <w:tc>
          <w:tcPr>
            <w:tcW w:w="4032" w:type="dxa"/>
            <w:tcBorders>
              <w:top w:val="nil"/>
              <w:left w:val="single" w:sz="8" w:space="0" w:color="auto"/>
              <w:bottom w:val="single" w:sz="4" w:space="0" w:color="auto"/>
              <w:right w:val="single" w:sz="4" w:space="0" w:color="auto"/>
            </w:tcBorders>
            <w:shd w:val="clear" w:color="auto" w:fill="auto"/>
            <w:noWrap/>
            <w:vAlign w:val="bottom"/>
            <w:hideMark/>
          </w:tcPr>
          <w:p w14:paraId="4C3A4BCD" w14:textId="77777777" w:rsidR="002B490A" w:rsidRPr="002B490A" w:rsidRDefault="002B490A" w:rsidP="002B490A">
            <w:pPr>
              <w:rPr>
                <w:color w:val="000000" w:themeColor="text1"/>
                <w:sz w:val="18"/>
                <w:szCs w:val="18"/>
              </w:rPr>
            </w:pPr>
            <w:r w:rsidRPr="002B490A">
              <w:rPr>
                <w:color w:val="000000" w:themeColor="text1"/>
                <w:sz w:val="18"/>
                <w:szCs w:val="18"/>
              </w:rPr>
              <w:t>Трансфери</w:t>
            </w:r>
            <w:r w:rsidRPr="002B490A">
              <w:rPr>
                <w:color w:val="000000" w:themeColor="text1"/>
                <w:sz w:val="18"/>
                <w:szCs w:val="18"/>
                <w:lang w:val="en-US"/>
              </w:rPr>
              <w:t xml:space="preserve"> </w:t>
            </w:r>
            <w:r w:rsidRPr="002B490A">
              <w:rPr>
                <w:color w:val="000000" w:themeColor="text1"/>
                <w:sz w:val="18"/>
                <w:szCs w:val="18"/>
              </w:rPr>
              <w:t>-</w:t>
            </w:r>
            <w:r w:rsidRPr="002B490A">
              <w:rPr>
                <w:color w:val="000000" w:themeColor="text1"/>
                <w:sz w:val="18"/>
                <w:szCs w:val="18"/>
                <w:lang w:val="en-US"/>
              </w:rPr>
              <w:t xml:space="preserve"> </w:t>
            </w:r>
            <w:r w:rsidRPr="002B490A">
              <w:rPr>
                <w:color w:val="000000" w:themeColor="text1"/>
                <w:sz w:val="18"/>
                <w:szCs w:val="18"/>
              </w:rPr>
              <w:t>нето</w:t>
            </w:r>
          </w:p>
        </w:tc>
        <w:tc>
          <w:tcPr>
            <w:tcW w:w="1147" w:type="dxa"/>
            <w:tcBorders>
              <w:top w:val="single" w:sz="4" w:space="0" w:color="auto"/>
              <w:left w:val="single" w:sz="4" w:space="0" w:color="auto"/>
              <w:bottom w:val="single" w:sz="4" w:space="0" w:color="auto"/>
              <w:right w:val="nil"/>
            </w:tcBorders>
            <w:shd w:val="clear" w:color="auto" w:fill="auto"/>
            <w:noWrap/>
            <w:vAlign w:val="bottom"/>
            <w:hideMark/>
          </w:tcPr>
          <w:p w14:paraId="737ACFA9" w14:textId="77777777" w:rsidR="002B490A" w:rsidRPr="002B490A" w:rsidRDefault="002B490A" w:rsidP="002B490A">
            <w:pPr>
              <w:jc w:val="right"/>
              <w:rPr>
                <w:color w:val="000000" w:themeColor="text1"/>
                <w:sz w:val="18"/>
                <w:szCs w:val="18"/>
              </w:rPr>
            </w:pPr>
          </w:p>
        </w:tc>
        <w:tc>
          <w:tcPr>
            <w:tcW w:w="1227" w:type="dxa"/>
            <w:tcBorders>
              <w:top w:val="nil"/>
              <w:left w:val="nil"/>
              <w:bottom w:val="single" w:sz="4" w:space="0" w:color="auto"/>
              <w:right w:val="nil"/>
            </w:tcBorders>
            <w:shd w:val="clear" w:color="auto" w:fill="auto"/>
            <w:noWrap/>
            <w:vAlign w:val="bottom"/>
            <w:hideMark/>
          </w:tcPr>
          <w:p w14:paraId="497D7E94" w14:textId="7AB173D0" w:rsidR="002B490A" w:rsidRPr="002807FE" w:rsidRDefault="002B490A" w:rsidP="002B490A">
            <w:pPr>
              <w:rPr>
                <w:color w:val="0070C0"/>
                <w:sz w:val="20"/>
                <w:szCs w:val="20"/>
              </w:rPr>
            </w:pPr>
            <w:r>
              <w:rPr>
                <w:color w:val="0070C0"/>
                <w:sz w:val="18"/>
                <w:szCs w:val="18"/>
              </w:rPr>
              <w:t> </w:t>
            </w:r>
          </w:p>
        </w:tc>
        <w:tc>
          <w:tcPr>
            <w:tcW w:w="1222" w:type="dxa"/>
            <w:tcBorders>
              <w:top w:val="nil"/>
              <w:left w:val="nil"/>
              <w:bottom w:val="single" w:sz="4" w:space="0" w:color="auto"/>
              <w:right w:val="nil"/>
            </w:tcBorders>
            <w:shd w:val="clear" w:color="auto" w:fill="auto"/>
            <w:noWrap/>
            <w:vAlign w:val="bottom"/>
            <w:hideMark/>
          </w:tcPr>
          <w:p w14:paraId="6E6DDB17" w14:textId="29A77F6C" w:rsidR="002B490A" w:rsidRPr="002807FE" w:rsidRDefault="002B490A" w:rsidP="002B490A">
            <w:pPr>
              <w:jc w:val="right"/>
              <w:rPr>
                <w:color w:val="0070C0"/>
                <w:sz w:val="18"/>
                <w:szCs w:val="18"/>
              </w:rPr>
            </w:pPr>
            <w:r>
              <w:rPr>
                <w:sz w:val="18"/>
                <w:szCs w:val="18"/>
              </w:rPr>
              <w:t>-750,6</w:t>
            </w:r>
          </w:p>
        </w:tc>
        <w:tc>
          <w:tcPr>
            <w:tcW w:w="1199" w:type="dxa"/>
            <w:tcBorders>
              <w:top w:val="nil"/>
              <w:left w:val="nil"/>
              <w:bottom w:val="single" w:sz="4" w:space="0" w:color="auto"/>
              <w:right w:val="nil"/>
            </w:tcBorders>
            <w:shd w:val="clear" w:color="auto" w:fill="auto"/>
            <w:noWrap/>
            <w:vAlign w:val="bottom"/>
            <w:hideMark/>
          </w:tcPr>
          <w:p w14:paraId="077AEDB5" w14:textId="5F212A23" w:rsidR="002B490A" w:rsidRPr="002807FE" w:rsidRDefault="002B490A" w:rsidP="002B490A">
            <w:pPr>
              <w:jc w:val="right"/>
              <w:rPr>
                <w:color w:val="0070C0"/>
                <w:sz w:val="18"/>
                <w:szCs w:val="18"/>
              </w:rPr>
            </w:pPr>
            <w:r>
              <w:rPr>
                <w:sz w:val="18"/>
                <w:szCs w:val="18"/>
              </w:rPr>
              <w:t>750,6</w:t>
            </w:r>
          </w:p>
        </w:tc>
        <w:tc>
          <w:tcPr>
            <w:tcW w:w="1209" w:type="dxa"/>
            <w:tcBorders>
              <w:top w:val="nil"/>
              <w:left w:val="nil"/>
              <w:bottom w:val="single" w:sz="4" w:space="0" w:color="auto"/>
              <w:right w:val="single" w:sz="8" w:space="0" w:color="auto"/>
            </w:tcBorders>
            <w:shd w:val="clear" w:color="auto" w:fill="auto"/>
            <w:noWrap/>
            <w:vAlign w:val="bottom"/>
            <w:hideMark/>
          </w:tcPr>
          <w:p w14:paraId="11FDDF0C" w14:textId="265BC836" w:rsidR="002B490A" w:rsidRPr="002807FE" w:rsidRDefault="002B490A" w:rsidP="002B490A">
            <w:pPr>
              <w:rPr>
                <w:b/>
                <w:bCs/>
                <w:color w:val="0070C0"/>
                <w:sz w:val="18"/>
                <w:szCs w:val="18"/>
              </w:rPr>
            </w:pPr>
            <w:r>
              <w:rPr>
                <w:sz w:val="18"/>
                <w:szCs w:val="18"/>
              </w:rPr>
              <w:t> </w:t>
            </w:r>
          </w:p>
        </w:tc>
      </w:tr>
      <w:tr w:rsidR="002B490A" w:rsidRPr="002807FE" w14:paraId="03B3211E" w14:textId="77777777" w:rsidTr="002B490A">
        <w:trPr>
          <w:trHeight w:val="265"/>
        </w:trPr>
        <w:tc>
          <w:tcPr>
            <w:tcW w:w="403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0436C972" w14:textId="77777777" w:rsidR="002B490A" w:rsidRPr="002B490A" w:rsidRDefault="002B490A" w:rsidP="002B490A">
            <w:pPr>
              <w:rPr>
                <w:b/>
                <w:bCs/>
                <w:color w:val="000000" w:themeColor="text1"/>
                <w:sz w:val="18"/>
                <w:szCs w:val="18"/>
              </w:rPr>
            </w:pPr>
            <w:r w:rsidRPr="002B490A">
              <w:rPr>
                <w:b/>
                <w:bCs/>
                <w:color w:val="000000" w:themeColor="text1"/>
                <w:sz w:val="18"/>
                <w:szCs w:val="18"/>
              </w:rPr>
              <w:t>БЮДЖЕТНО САЛДО</w:t>
            </w:r>
          </w:p>
        </w:tc>
        <w:tc>
          <w:tcPr>
            <w:tcW w:w="1147" w:type="dxa"/>
            <w:tcBorders>
              <w:top w:val="nil"/>
              <w:left w:val="single" w:sz="4" w:space="0" w:color="auto"/>
              <w:bottom w:val="single" w:sz="8" w:space="0" w:color="auto"/>
              <w:right w:val="nil"/>
            </w:tcBorders>
            <w:shd w:val="clear" w:color="auto" w:fill="auto"/>
            <w:noWrap/>
            <w:vAlign w:val="bottom"/>
            <w:hideMark/>
          </w:tcPr>
          <w:p w14:paraId="44DACD11" w14:textId="77777777" w:rsidR="002B490A" w:rsidRPr="002B490A" w:rsidRDefault="002B490A" w:rsidP="002B490A">
            <w:pPr>
              <w:jc w:val="right"/>
              <w:rPr>
                <w:b/>
                <w:bCs/>
                <w:color w:val="000000" w:themeColor="text1"/>
                <w:sz w:val="18"/>
                <w:szCs w:val="18"/>
              </w:rPr>
            </w:pPr>
            <w:r w:rsidRPr="002B490A">
              <w:rPr>
                <w:b/>
                <w:bCs/>
                <w:color w:val="000000" w:themeColor="text1"/>
                <w:sz w:val="18"/>
                <w:szCs w:val="18"/>
              </w:rPr>
              <w:t>-6 435,2</w:t>
            </w:r>
          </w:p>
        </w:tc>
        <w:tc>
          <w:tcPr>
            <w:tcW w:w="1227" w:type="dxa"/>
            <w:tcBorders>
              <w:top w:val="nil"/>
              <w:left w:val="nil"/>
              <w:bottom w:val="single" w:sz="8" w:space="0" w:color="auto"/>
              <w:right w:val="nil"/>
            </w:tcBorders>
            <w:shd w:val="clear" w:color="auto" w:fill="auto"/>
            <w:noWrap/>
            <w:vAlign w:val="bottom"/>
            <w:hideMark/>
          </w:tcPr>
          <w:p w14:paraId="18F9D6ED" w14:textId="2582D753" w:rsidR="002B490A" w:rsidRPr="002807FE" w:rsidRDefault="002B490A" w:rsidP="002B490A">
            <w:pPr>
              <w:jc w:val="right"/>
              <w:rPr>
                <w:b/>
                <w:bCs/>
                <w:color w:val="0070C0"/>
                <w:sz w:val="18"/>
                <w:szCs w:val="18"/>
              </w:rPr>
            </w:pPr>
            <w:r>
              <w:rPr>
                <w:b/>
                <w:bCs/>
                <w:sz w:val="18"/>
                <w:szCs w:val="18"/>
              </w:rPr>
              <w:t>-6 055,7</w:t>
            </w:r>
          </w:p>
        </w:tc>
        <w:tc>
          <w:tcPr>
            <w:tcW w:w="1222" w:type="dxa"/>
            <w:tcBorders>
              <w:top w:val="nil"/>
              <w:left w:val="nil"/>
              <w:bottom w:val="single" w:sz="8" w:space="0" w:color="auto"/>
              <w:right w:val="nil"/>
            </w:tcBorders>
            <w:shd w:val="clear" w:color="auto" w:fill="auto"/>
            <w:noWrap/>
            <w:vAlign w:val="bottom"/>
            <w:hideMark/>
          </w:tcPr>
          <w:p w14:paraId="43B6FC18" w14:textId="2846E61D" w:rsidR="002B490A" w:rsidRPr="002B490A" w:rsidRDefault="002B490A" w:rsidP="002B490A">
            <w:pPr>
              <w:jc w:val="right"/>
              <w:rPr>
                <w:b/>
                <w:bCs/>
                <w:color w:val="0070C0"/>
                <w:sz w:val="18"/>
                <w:szCs w:val="18"/>
              </w:rPr>
            </w:pPr>
            <w:r w:rsidRPr="002B490A">
              <w:rPr>
                <w:b/>
                <w:bCs/>
                <w:sz w:val="18"/>
                <w:szCs w:val="18"/>
              </w:rPr>
              <w:t>-4 354,1</w:t>
            </w:r>
          </w:p>
        </w:tc>
        <w:tc>
          <w:tcPr>
            <w:tcW w:w="1199" w:type="dxa"/>
            <w:tcBorders>
              <w:top w:val="nil"/>
              <w:left w:val="nil"/>
              <w:bottom w:val="single" w:sz="8" w:space="0" w:color="auto"/>
              <w:right w:val="nil"/>
            </w:tcBorders>
            <w:shd w:val="clear" w:color="auto" w:fill="auto"/>
            <w:noWrap/>
            <w:vAlign w:val="bottom"/>
            <w:hideMark/>
          </w:tcPr>
          <w:p w14:paraId="5DF1EED2" w14:textId="0BE37B38" w:rsidR="002B490A" w:rsidRPr="002B490A" w:rsidRDefault="002B490A" w:rsidP="002B490A">
            <w:pPr>
              <w:jc w:val="right"/>
              <w:rPr>
                <w:b/>
                <w:bCs/>
                <w:color w:val="0070C0"/>
                <w:sz w:val="18"/>
                <w:szCs w:val="18"/>
              </w:rPr>
            </w:pPr>
            <w:r w:rsidRPr="002B490A">
              <w:rPr>
                <w:b/>
                <w:bCs/>
                <w:sz w:val="18"/>
                <w:szCs w:val="18"/>
              </w:rPr>
              <w:t>-1 701,6</w:t>
            </w:r>
          </w:p>
        </w:tc>
        <w:tc>
          <w:tcPr>
            <w:tcW w:w="1209" w:type="dxa"/>
            <w:tcBorders>
              <w:top w:val="nil"/>
              <w:left w:val="nil"/>
              <w:bottom w:val="single" w:sz="8" w:space="0" w:color="auto"/>
              <w:right w:val="single" w:sz="8" w:space="0" w:color="auto"/>
            </w:tcBorders>
            <w:shd w:val="clear" w:color="auto" w:fill="auto"/>
            <w:noWrap/>
            <w:vAlign w:val="bottom"/>
            <w:hideMark/>
          </w:tcPr>
          <w:p w14:paraId="2563E0C8" w14:textId="204850DA" w:rsidR="002B490A" w:rsidRPr="002B490A" w:rsidRDefault="002B490A" w:rsidP="002B490A">
            <w:pPr>
              <w:rPr>
                <w:b/>
                <w:bCs/>
                <w:color w:val="0070C0"/>
                <w:sz w:val="18"/>
                <w:szCs w:val="18"/>
              </w:rPr>
            </w:pPr>
            <w:r w:rsidRPr="002B490A">
              <w:rPr>
                <w:b/>
                <w:bCs/>
                <w:sz w:val="18"/>
                <w:szCs w:val="18"/>
              </w:rPr>
              <w:t> </w:t>
            </w:r>
          </w:p>
        </w:tc>
      </w:tr>
    </w:tbl>
    <w:p w14:paraId="0A0A21D1" w14:textId="77777777" w:rsidR="008969AB" w:rsidRPr="002807FE" w:rsidRDefault="008969AB" w:rsidP="008969AB">
      <w:pPr>
        <w:spacing w:before="120"/>
        <w:rPr>
          <w:b/>
          <w:i/>
          <w:color w:val="0070C0"/>
          <w:sz w:val="22"/>
          <w:szCs w:val="22"/>
        </w:rPr>
      </w:pPr>
    </w:p>
    <w:p w14:paraId="41BFFEF4" w14:textId="798F15B0" w:rsidR="008969AB" w:rsidRPr="002B490A" w:rsidRDefault="008969AB" w:rsidP="008969AB">
      <w:pPr>
        <w:numPr>
          <w:ilvl w:val="1"/>
          <w:numId w:val="9"/>
        </w:numPr>
        <w:tabs>
          <w:tab w:val="num" w:pos="426"/>
        </w:tabs>
        <w:ind w:left="0" w:firstLine="0"/>
        <w:jc w:val="both"/>
        <w:rPr>
          <w:rFonts w:eastAsia="Calibri"/>
          <w:color w:val="000000" w:themeColor="text1"/>
        </w:rPr>
      </w:pPr>
      <w:r w:rsidRPr="002B490A">
        <w:rPr>
          <w:b/>
          <w:color w:val="000000" w:themeColor="text1"/>
        </w:rPr>
        <w:t>Приходите, помощите и даренията по консолидираната фискална програма</w:t>
      </w:r>
      <w:r w:rsidRPr="002B490A">
        <w:rPr>
          <w:color w:val="000000" w:themeColor="text1"/>
        </w:rPr>
        <w:t xml:space="preserve"> (КФП) </w:t>
      </w:r>
      <w:r w:rsidR="002B490A" w:rsidRPr="002B490A">
        <w:rPr>
          <w:color w:val="000000" w:themeColor="text1"/>
        </w:rPr>
        <w:t>към септември 202</w:t>
      </w:r>
      <w:r w:rsidR="002B490A" w:rsidRPr="002B490A">
        <w:rPr>
          <w:color w:val="000000" w:themeColor="text1"/>
          <w:lang w:val="ru-RU"/>
        </w:rPr>
        <w:t>5</w:t>
      </w:r>
      <w:r w:rsidR="002B490A" w:rsidRPr="002B490A">
        <w:rPr>
          <w:bCs/>
          <w:color w:val="000000" w:themeColor="text1"/>
        </w:rPr>
        <w:t xml:space="preserve"> г. са в размер на </w:t>
      </w:r>
      <w:r w:rsidR="002B490A" w:rsidRPr="002B490A">
        <w:rPr>
          <w:b/>
          <w:bCs/>
          <w:color w:val="000000" w:themeColor="text1"/>
        </w:rPr>
        <w:t xml:space="preserve">59 755,8 млн. лв., което представлява 66,2 % от разчетите към ЗДБРБ за 2025 година. </w:t>
      </w:r>
      <w:r w:rsidR="002B490A" w:rsidRPr="002B490A">
        <w:rPr>
          <w:color w:val="000000" w:themeColor="text1"/>
        </w:rPr>
        <w:t>Постъпленията нарастват с 14,8 % (7 721,7 млн. лв.) спрямо отчетените към септември 2024 година. Сравнени със същия период на 2024 г. данъчните приходи нарастват номинално с 14,5 % (6 112,8 млн. лв.), неданъчните приходи нарастват с 26,2 % (1 892,3 млн. лв.), а постъпленията в частта на помощите и даренията са по-малко с 283,4 млн. лева.</w:t>
      </w:r>
    </w:p>
    <w:p w14:paraId="1D29BC8D" w14:textId="7A13F26E" w:rsidR="00707DF0" w:rsidRPr="008E4B6E" w:rsidRDefault="002E5800" w:rsidP="00101BE4">
      <w:pPr>
        <w:spacing w:before="120" w:after="120"/>
        <w:jc w:val="both"/>
        <w:rPr>
          <w:rFonts w:eastAsia="Calibri"/>
        </w:rPr>
      </w:pPr>
      <w:r w:rsidRPr="009A08C8">
        <w:rPr>
          <w:b/>
          <w:i/>
          <w:color w:val="000000" w:themeColor="text1"/>
        </w:rPr>
        <w:t>Данъчните постъпления</w:t>
      </w:r>
      <w:r w:rsidRPr="009A08C8">
        <w:rPr>
          <w:color w:val="000000" w:themeColor="text1"/>
        </w:rPr>
        <w:t xml:space="preserve"> (вкл. приходите от осигурителни вноски) са в размер на </w:t>
      </w:r>
      <w:r w:rsidR="009A08C8" w:rsidRPr="009A08C8">
        <w:rPr>
          <w:b/>
          <w:bCs/>
          <w:i/>
          <w:color w:val="000000" w:themeColor="text1"/>
          <w:lang w:val="ru-RU"/>
        </w:rPr>
        <w:t>48 405,5</w:t>
      </w:r>
      <w:r w:rsidRPr="009A08C8">
        <w:rPr>
          <w:b/>
          <w:bCs/>
          <w:i/>
          <w:color w:val="000000" w:themeColor="text1"/>
        </w:rPr>
        <w:t> </w:t>
      </w:r>
      <w:r w:rsidRPr="009A08C8">
        <w:rPr>
          <w:b/>
          <w:i/>
          <w:color w:val="000000" w:themeColor="text1"/>
        </w:rPr>
        <w:t xml:space="preserve">млн. лв., </w:t>
      </w:r>
      <w:r w:rsidRPr="009A08C8">
        <w:rPr>
          <w:color w:val="000000" w:themeColor="text1"/>
        </w:rPr>
        <w:t xml:space="preserve">което представлява </w:t>
      </w:r>
      <w:r w:rsidR="009A08C8" w:rsidRPr="009A08C8">
        <w:rPr>
          <w:color w:val="000000" w:themeColor="text1"/>
        </w:rPr>
        <w:t>68,3</w:t>
      </w:r>
      <w:r w:rsidRPr="009A08C8">
        <w:rPr>
          <w:color w:val="000000" w:themeColor="text1"/>
        </w:rPr>
        <w:t xml:space="preserve"> % от разчетените за годината.</w:t>
      </w:r>
      <w:r w:rsidRPr="009A08C8">
        <w:rPr>
          <w:b/>
          <w:i/>
          <w:color w:val="000000" w:themeColor="text1"/>
        </w:rPr>
        <w:t xml:space="preserve"> </w:t>
      </w:r>
      <w:r w:rsidR="00707DF0" w:rsidRPr="008E4B6E">
        <w:rPr>
          <w:rFonts w:eastAsia="Batang"/>
          <w:bCs/>
        </w:rPr>
        <w:t xml:space="preserve">Късното приемане на ЗДБРБ за 2025 г. забави прилагането на мерките за повишаване на събираемостта на приходите и борбата със сивата икономика. </w:t>
      </w:r>
      <w:r w:rsidR="00707DF0" w:rsidRPr="008E4B6E">
        <w:t>Очаква се положителните ефекти в приходите да се проявят през четвъртото тримесечие на годината.</w:t>
      </w:r>
    </w:p>
    <w:p w14:paraId="70284A76" w14:textId="77777777" w:rsidR="00EC4CE0" w:rsidRDefault="00013ADD" w:rsidP="00EC4CE0">
      <w:pPr>
        <w:spacing w:before="120"/>
        <w:jc w:val="both"/>
        <w:rPr>
          <w:rFonts w:eastAsia="Calibri"/>
          <w:bCs/>
          <w:iCs/>
          <w:color w:val="000000" w:themeColor="text1"/>
        </w:rPr>
      </w:pPr>
      <w:r w:rsidRPr="001A3DED">
        <w:rPr>
          <w:color w:val="000000" w:themeColor="text1"/>
        </w:rPr>
        <w:t xml:space="preserve">Приходите в частта на </w:t>
      </w:r>
      <w:r w:rsidRPr="001A3DED">
        <w:rPr>
          <w:i/>
          <w:color w:val="000000" w:themeColor="text1"/>
        </w:rPr>
        <w:t xml:space="preserve">преките данъци </w:t>
      </w:r>
      <w:r w:rsidRPr="001A3DED">
        <w:rPr>
          <w:color w:val="000000" w:themeColor="text1"/>
        </w:rPr>
        <w:t xml:space="preserve">възлизат на </w:t>
      </w:r>
      <w:r w:rsidR="009A08C8" w:rsidRPr="001A3DED">
        <w:rPr>
          <w:color w:val="000000" w:themeColor="text1"/>
        </w:rPr>
        <w:t>10 155,8</w:t>
      </w:r>
      <w:r w:rsidRPr="001A3DED">
        <w:rPr>
          <w:color w:val="000000" w:themeColor="text1"/>
        </w:rPr>
        <w:t xml:space="preserve"> млн. лв., което представлява </w:t>
      </w:r>
      <w:r w:rsidR="001A3DED" w:rsidRPr="001A3DED">
        <w:rPr>
          <w:color w:val="000000" w:themeColor="text1"/>
        </w:rPr>
        <w:t>69,4</w:t>
      </w:r>
      <w:r w:rsidRPr="001A3DED">
        <w:rPr>
          <w:color w:val="000000" w:themeColor="text1"/>
        </w:rPr>
        <w:t> % от разчета за 2025 г. и ръст от 1</w:t>
      </w:r>
      <w:r w:rsidR="001A3DED" w:rsidRPr="001A3DED">
        <w:rPr>
          <w:color w:val="000000" w:themeColor="text1"/>
        </w:rPr>
        <w:t> 741,3</w:t>
      </w:r>
      <w:r w:rsidRPr="001A3DED">
        <w:rPr>
          <w:rFonts w:eastAsia="Calibri"/>
          <w:color w:val="000000" w:themeColor="text1"/>
        </w:rPr>
        <w:t xml:space="preserve"> млн. лв. </w:t>
      </w:r>
      <w:r w:rsidRPr="001A3DED">
        <w:rPr>
          <w:rFonts w:eastAsia="Calibri"/>
          <w:color w:val="000000" w:themeColor="text1"/>
          <w:lang w:val="ru-RU"/>
        </w:rPr>
        <w:t xml:space="preserve">спрямо </w:t>
      </w:r>
      <w:r w:rsidRPr="001A3DED">
        <w:rPr>
          <w:color w:val="000000" w:themeColor="text1"/>
        </w:rPr>
        <w:t xml:space="preserve">отчетените към </w:t>
      </w:r>
      <w:r w:rsidR="001A3DED" w:rsidRPr="001A3DED">
        <w:rPr>
          <w:color w:val="000000" w:themeColor="text1"/>
        </w:rPr>
        <w:t xml:space="preserve">септември </w:t>
      </w:r>
      <w:r w:rsidRPr="001A3DED">
        <w:rPr>
          <w:color w:val="000000" w:themeColor="text1"/>
        </w:rPr>
        <w:t xml:space="preserve">2024 г. Приходите от </w:t>
      </w:r>
      <w:r w:rsidRPr="001A3DED">
        <w:rPr>
          <w:i/>
          <w:color w:val="000000" w:themeColor="text1"/>
        </w:rPr>
        <w:t>косвени данъци</w:t>
      </w:r>
      <w:r w:rsidRPr="001A3DED">
        <w:rPr>
          <w:color w:val="000000" w:themeColor="text1"/>
        </w:rPr>
        <w:t xml:space="preserve"> са в размер на </w:t>
      </w:r>
      <w:r w:rsidR="001A3DED" w:rsidRPr="001A3DED">
        <w:rPr>
          <w:color w:val="000000" w:themeColor="text1"/>
        </w:rPr>
        <w:t>21 060,3</w:t>
      </w:r>
      <w:r w:rsidRPr="001A3DED">
        <w:rPr>
          <w:color w:val="000000" w:themeColor="text1"/>
        </w:rPr>
        <w:t xml:space="preserve"> </w:t>
      </w:r>
      <w:r w:rsidRPr="001A3DED">
        <w:rPr>
          <w:rFonts w:eastAsia="Calibri"/>
          <w:bCs/>
          <w:iCs/>
          <w:color w:val="000000" w:themeColor="text1"/>
        </w:rPr>
        <w:t>млн. лв.</w:t>
      </w:r>
      <w:r w:rsidRPr="001A3DED">
        <w:rPr>
          <w:rFonts w:eastAsia="Calibri"/>
          <w:color w:val="000000" w:themeColor="text1"/>
        </w:rPr>
        <w:t>, което представлява 6</w:t>
      </w:r>
      <w:r w:rsidR="001A3DED" w:rsidRPr="001A3DED">
        <w:rPr>
          <w:rFonts w:eastAsia="Calibri"/>
          <w:color w:val="000000" w:themeColor="text1"/>
        </w:rPr>
        <w:t>3,9</w:t>
      </w:r>
      <w:r w:rsidRPr="001A3DED">
        <w:rPr>
          <w:rFonts w:eastAsia="Calibri"/>
          <w:color w:val="000000" w:themeColor="text1"/>
          <w:lang w:val="en-US"/>
        </w:rPr>
        <w:t> </w:t>
      </w:r>
      <w:r w:rsidRPr="001A3DED">
        <w:rPr>
          <w:rFonts w:eastAsia="Calibri"/>
          <w:color w:val="000000" w:themeColor="text1"/>
        </w:rPr>
        <w:t xml:space="preserve">% от предвидените в ЗДБРБ за 2025 г. </w:t>
      </w:r>
      <w:r w:rsidRPr="001A3DED">
        <w:rPr>
          <w:color w:val="000000" w:themeColor="text1"/>
        </w:rPr>
        <w:t xml:space="preserve">и ръст от </w:t>
      </w:r>
      <w:r w:rsidR="001A3DED" w:rsidRPr="001A3DED">
        <w:rPr>
          <w:color w:val="000000" w:themeColor="text1"/>
        </w:rPr>
        <w:t>2 205</w:t>
      </w:r>
      <w:r w:rsidRPr="001A3DED">
        <w:rPr>
          <w:color w:val="000000" w:themeColor="text1"/>
        </w:rPr>
        <w:t>,0 млн. лв., 1</w:t>
      </w:r>
      <w:r w:rsidR="001A3DED" w:rsidRPr="001A3DED">
        <w:rPr>
          <w:color w:val="000000" w:themeColor="text1"/>
        </w:rPr>
        <w:t>1,7</w:t>
      </w:r>
      <w:r w:rsidRPr="001A3DED">
        <w:rPr>
          <w:color w:val="000000" w:themeColor="text1"/>
        </w:rPr>
        <w:t xml:space="preserve"> % спрямо отчетените към </w:t>
      </w:r>
      <w:r w:rsidR="001A3DED" w:rsidRPr="001A3DED">
        <w:rPr>
          <w:color w:val="000000" w:themeColor="text1"/>
        </w:rPr>
        <w:t>септември</w:t>
      </w:r>
      <w:r w:rsidRPr="001A3DED">
        <w:rPr>
          <w:color w:val="000000" w:themeColor="text1"/>
        </w:rPr>
        <w:t xml:space="preserve"> 2024 г. </w:t>
      </w:r>
      <w:r w:rsidRPr="001A3DED">
        <w:rPr>
          <w:color w:val="000000" w:themeColor="text1"/>
          <w:lang w:val="ru-RU"/>
        </w:rPr>
        <w:t>(</w:t>
      </w:r>
      <w:r w:rsidRPr="001A3DED">
        <w:rPr>
          <w:color w:val="000000" w:themeColor="text1"/>
        </w:rPr>
        <w:t xml:space="preserve">основно поради ръст на приходите от ДДС). Постъпленията от </w:t>
      </w:r>
      <w:r w:rsidRPr="001A3DED">
        <w:rPr>
          <w:i/>
          <w:color w:val="000000" w:themeColor="text1"/>
        </w:rPr>
        <w:t>други данъци</w:t>
      </w:r>
      <w:r w:rsidRPr="001A3DED">
        <w:rPr>
          <w:color w:val="000000" w:themeColor="text1"/>
        </w:rPr>
        <w:t xml:space="preserve"> (включват други данъци по ЗКПО, имуществени и др. данъци) са в размер на </w:t>
      </w:r>
      <w:r w:rsidR="001A3DED" w:rsidRPr="001A3DED">
        <w:rPr>
          <w:color w:val="000000" w:themeColor="text1"/>
        </w:rPr>
        <w:t>2 041,8</w:t>
      </w:r>
      <w:r w:rsidRPr="001A3DED">
        <w:rPr>
          <w:color w:val="000000" w:themeColor="text1"/>
        </w:rPr>
        <w:t xml:space="preserve"> млн. лв., което представлява </w:t>
      </w:r>
      <w:r w:rsidR="001A3DED" w:rsidRPr="001A3DED">
        <w:rPr>
          <w:color w:val="000000" w:themeColor="text1"/>
        </w:rPr>
        <w:t>89,5</w:t>
      </w:r>
      <w:r w:rsidRPr="001A3DED">
        <w:rPr>
          <w:color w:val="000000" w:themeColor="text1"/>
        </w:rPr>
        <w:t xml:space="preserve"> % от годишния разчет и ръст спрямо отчетените към </w:t>
      </w:r>
      <w:r w:rsidR="001A3DED" w:rsidRPr="001A3DED">
        <w:rPr>
          <w:color w:val="000000" w:themeColor="text1"/>
        </w:rPr>
        <w:t>септември</w:t>
      </w:r>
      <w:r w:rsidRPr="001A3DED">
        <w:rPr>
          <w:color w:val="000000" w:themeColor="text1"/>
        </w:rPr>
        <w:t xml:space="preserve"> 2024 г. от 2</w:t>
      </w:r>
      <w:r w:rsidR="001A3DED" w:rsidRPr="001A3DED">
        <w:rPr>
          <w:color w:val="000000" w:themeColor="text1"/>
        </w:rPr>
        <w:t>31,6</w:t>
      </w:r>
      <w:r w:rsidRPr="001A3DED">
        <w:rPr>
          <w:color w:val="000000" w:themeColor="text1"/>
        </w:rPr>
        <w:t xml:space="preserve"> млн. лв</w:t>
      </w:r>
      <w:r w:rsidR="00376DED" w:rsidRPr="001A3DED">
        <w:rPr>
          <w:color w:val="000000" w:themeColor="text1"/>
        </w:rPr>
        <w:t>.</w:t>
      </w:r>
      <w:r w:rsidRPr="001A3DED">
        <w:rPr>
          <w:color w:val="000000" w:themeColor="text1"/>
        </w:rPr>
        <w:t xml:space="preserve"> </w:t>
      </w:r>
      <w:r w:rsidRPr="001A3DED">
        <w:rPr>
          <w:color w:val="000000" w:themeColor="text1"/>
          <w:lang w:val="ru-RU"/>
        </w:rPr>
        <w:t>(</w:t>
      </w:r>
      <w:r w:rsidRPr="001A3DED">
        <w:rPr>
          <w:color w:val="000000" w:themeColor="text1"/>
        </w:rPr>
        <w:t>1</w:t>
      </w:r>
      <w:r w:rsidR="001A3DED" w:rsidRPr="001A3DED">
        <w:rPr>
          <w:color w:val="000000" w:themeColor="text1"/>
        </w:rPr>
        <w:t>2,8 </w:t>
      </w:r>
      <w:r w:rsidRPr="001A3DED">
        <w:rPr>
          <w:color w:val="000000" w:themeColor="text1"/>
          <w:lang w:val="ru-RU"/>
        </w:rPr>
        <w:t>%).</w:t>
      </w:r>
      <w:r w:rsidRPr="001A3DED">
        <w:rPr>
          <w:color w:val="000000" w:themeColor="text1"/>
        </w:rPr>
        <w:t xml:space="preserve"> Приходите от </w:t>
      </w:r>
      <w:r w:rsidRPr="001A3DED">
        <w:rPr>
          <w:i/>
          <w:color w:val="000000" w:themeColor="text1"/>
        </w:rPr>
        <w:t>социални и здравноосигурителни вноски</w:t>
      </w:r>
      <w:r w:rsidRPr="001A3DED">
        <w:rPr>
          <w:color w:val="000000" w:themeColor="text1"/>
        </w:rPr>
        <w:t xml:space="preserve"> са в размер на </w:t>
      </w:r>
      <w:r w:rsidR="001A3DED" w:rsidRPr="001A3DED">
        <w:rPr>
          <w:color w:val="000000" w:themeColor="text1"/>
        </w:rPr>
        <w:lastRenderedPageBreak/>
        <w:t>15 147,6</w:t>
      </w:r>
      <w:r w:rsidRPr="001A3DED">
        <w:rPr>
          <w:color w:val="000000" w:themeColor="text1"/>
        </w:rPr>
        <w:t xml:space="preserve"> млн. лв. </w:t>
      </w:r>
      <w:r w:rsidRPr="001A3DED">
        <w:rPr>
          <w:rFonts w:eastAsia="Calibri"/>
          <w:bCs/>
          <w:iCs/>
          <w:color w:val="000000" w:themeColor="text1"/>
        </w:rPr>
        <w:t xml:space="preserve">или </w:t>
      </w:r>
      <w:r w:rsidR="001A3DED" w:rsidRPr="001A3DED">
        <w:rPr>
          <w:rFonts w:eastAsia="Calibri"/>
          <w:bCs/>
          <w:iCs/>
          <w:color w:val="000000" w:themeColor="text1"/>
        </w:rPr>
        <w:t>72,</w:t>
      </w:r>
      <w:r w:rsidRPr="001A3DED">
        <w:rPr>
          <w:rFonts w:eastAsia="Calibri"/>
          <w:bCs/>
          <w:iCs/>
          <w:color w:val="000000" w:themeColor="text1"/>
        </w:rPr>
        <w:t>3 % от разчета за 2025 г. и ръст от 1</w:t>
      </w:r>
      <w:r w:rsidR="001A3DED" w:rsidRPr="001A3DED">
        <w:rPr>
          <w:rFonts w:eastAsia="Calibri"/>
          <w:bCs/>
          <w:iCs/>
          <w:color w:val="000000" w:themeColor="text1"/>
        </w:rPr>
        <w:t> 934,9</w:t>
      </w:r>
      <w:r w:rsidRPr="001A3DED">
        <w:rPr>
          <w:rFonts w:eastAsia="Calibri"/>
          <w:bCs/>
          <w:iCs/>
          <w:color w:val="000000" w:themeColor="text1"/>
        </w:rPr>
        <w:t xml:space="preserve"> млн. лв. (1</w:t>
      </w:r>
      <w:r w:rsidR="001A3DED" w:rsidRPr="001A3DED">
        <w:rPr>
          <w:rFonts w:eastAsia="Calibri"/>
          <w:bCs/>
          <w:iCs/>
          <w:color w:val="000000" w:themeColor="text1"/>
        </w:rPr>
        <w:t>4,6</w:t>
      </w:r>
      <w:r w:rsidRPr="001A3DED">
        <w:rPr>
          <w:rFonts w:eastAsia="Calibri"/>
          <w:bCs/>
          <w:iCs/>
          <w:color w:val="000000" w:themeColor="text1"/>
          <w:lang w:val="en-US"/>
        </w:rPr>
        <w:t> </w:t>
      </w:r>
      <w:r w:rsidRPr="001A3DED">
        <w:rPr>
          <w:rFonts w:eastAsia="Calibri"/>
          <w:bCs/>
          <w:iCs/>
          <w:color w:val="000000" w:themeColor="text1"/>
        </w:rPr>
        <w:t>%) спрямо отчетените за същия период на 2024 г</w:t>
      </w:r>
      <w:r w:rsidR="002B4F73">
        <w:rPr>
          <w:rFonts w:eastAsia="Calibri"/>
          <w:bCs/>
          <w:iCs/>
          <w:color w:val="000000" w:themeColor="text1"/>
        </w:rPr>
        <w:t>.</w:t>
      </w:r>
    </w:p>
    <w:p w14:paraId="348E73C7" w14:textId="54E39921" w:rsidR="008969AB" w:rsidRPr="00D94DB2" w:rsidRDefault="00EC4CE0" w:rsidP="00EC4CE0">
      <w:pPr>
        <w:spacing w:before="120"/>
        <w:jc w:val="both"/>
        <w:rPr>
          <w:color w:val="0070C0"/>
          <w:lang w:val="ru-RU"/>
        </w:rPr>
      </w:pPr>
      <w:r w:rsidRPr="00AB3ADD">
        <w:t>Късното приемане на ЗДБРБ за 2025 г. забави прилагането на  мерките за повишаване на събираемостта на приходите и борбата със сивата икономика, съкрати времето, през което те ще се прилагат през 2025 г.</w:t>
      </w:r>
    </w:p>
    <w:p w14:paraId="57FC565C" w14:textId="5E2F734A" w:rsidR="008969AB" w:rsidRPr="00525071" w:rsidRDefault="008969AB" w:rsidP="008969AB">
      <w:pPr>
        <w:spacing w:before="120"/>
        <w:jc w:val="both"/>
        <w:rPr>
          <w:color w:val="000000" w:themeColor="text1"/>
        </w:rPr>
      </w:pPr>
      <w:r w:rsidRPr="00525071">
        <w:rPr>
          <w:b/>
          <w:bCs/>
          <w:i/>
          <w:iCs/>
          <w:color w:val="000000" w:themeColor="text1"/>
        </w:rPr>
        <w:t>Неданъчните приходи</w:t>
      </w:r>
      <w:r w:rsidRPr="00525071">
        <w:rPr>
          <w:b/>
          <w:bCs/>
          <w:iCs/>
          <w:color w:val="000000" w:themeColor="text1"/>
        </w:rPr>
        <w:t xml:space="preserve"> </w:t>
      </w:r>
      <w:r w:rsidRPr="00525071">
        <w:rPr>
          <w:color w:val="000000" w:themeColor="text1"/>
        </w:rPr>
        <w:t xml:space="preserve">са в размер на </w:t>
      </w:r>
      <w:r w:rsidR="00525071" w:rsidRPr="00525071">
        <w:rPr>
          <w:b/>
          <w:i/>
          <w:color w:val="000000" w:themeColor="text1"/>
        </w:rPr>
        <w:t>9 113,3</w:t>
      </w:r>
      <w:r w:rsidR="001B1694" w:rsidRPr="00525071">
        <w:rPr>
          <w:b/>
          <w:i/>
          <w:color w:val="000000" w:themeColor="text1"/>
        </w:rPr>
        <w:t xml:space="preserve"> </w:t>
      </w:r>
      <w:r w:rsidR="001B1694" w:rsidRPr="00525071">
        <w:rPr>
          <w:b/>
          <w:bCs/>
          <w:i/>
          <w:color w:val="000000" w:themeColor="text1"/>
        </w:rPr>
        <w:t xml:space="preserve">млн. лв., </w:t>
      </w:r>
      <w:r w:rsidR="001B1694" w:rsidRPr="00525071">
        <w:rPr>
          <w:rFonts w:eastAsia="Calibri"/>
          <w:bCs/>
          <w:color w:val="000000" w:themeColor="text1"/>
        </w:rPr>
        <w:t xml:space="preserve">което представлява </w:t>
      </w:r>
      <w:r w:rsidR="00525071" w:rsidRPr="00525071">
        <w:rPr>
          <w:rFonts w:eastAsia="Calibri"/>
          <w:bCs/>
          <w:color w:val="000000" w:themeColor="text1"/>
        </w:rPr>
        <w:t>76,0</w:t>
      </w:r>
      <w:r w:rsidR="001B1694" w:rsidRPr="00525071">
        <w:rPr>
          <w:rFonts w:eastAsia="Calibri"/>
          <w:bCs/>
          <w:color w:val="000000" w:themeColor="text1"/>
        </w:rPr>
        <w:t xml:space="preserve"> % от годишните разчети</w:t>
      </w:r>
      <w:r w:rsidR="001B1694" w:rsidRPr="00525071">
        <w:rPr>
          <w:b/>
          <w:bCs/>
          <w:i/>
          <w:color w:val="000000" w:themeColor="text1"/>
        </w:rPr>
        <w:t xml:space="preserve"> </w:t>
      </w:r>
      <w:r w:rsidR="001B1694" w:rsidRPr="00525071">
        <w:rPr>
          <w:rFonts w:eastAsia="Calibri"/>
          <w:color w:val="000000" w:themeColor="text1"/>
        </w:rPr>
        <w:t xml:space="preserve">и ръст от </w:t>
      </w:r>
      <w:r w:rsidR="00525071" w:rsidRPr="00525071">
        <w:rPr>
          <w:rFonts w:eastAsia="Calibri"/>
          <w:color w:val="000000" w:themeColor="text1"/>
        </w:rPr>
        <w:t>1 892,3</w:t>
      </w:r>
      <w:r w:rsidR="001B1694" w:rsidRPr="00525071">
        <w:rPr>
          <w:rFonts w:eastAsia="Calibri"/>
          <w:color w:val="000000" w:themeColor="text1"/>
        </w:rPr>
        <w:t xml:space="preserve"> млн. лв., </w:t>
      </w:r>
      <w:r w:rsidR="00525071" w:rsidRPr="00525071">
        <w:rPr>
          <w:rFonts w:eastAsia="Calibri"/>
          <w:color w:val="000000" w:themeColor="text1"/>
        </w:rPr>
        <w:t>26,</w:t>
      </w:r>
      <w:r w:rsidR="001B1694" w:rsidRPr="00525071">
        <w:rPr>
          <w:rFonts w:eastAsia="Calibri"/>
          <w:color w:val="000000" w:themeColor="text1"/>
        </w:rPr>
        <w:t>2 % спрямо същия период на</w:t>
      </w:r>
      <w:r w:rsidR="001B1694" w:rsidRPr="00525071">
        <w:rPr>
          <w:color w:val="000000" w:themeColor="text1"/>
        </w:rPr>
        <w:t xml:space="preserve"> 2024 г</w:t>
      </w:r>
      <w:r w:rsidR="001B1694" w:rsidRPr="00525071">
        <w:rPr>
          <w:rStyle w:val="QuoteChar"/>
          <w:color w:val="000000" w:themeColor="text1"/>
        </w:rPr>
        <w:t>.</w:t>
      </w:r>
      <w:r w:rsidR="001B1694" w:rsidRPr="00525071">
        <w:rPr>
          <w:rStyle w:val="QuoteChar"/>
          <w:rFonts w:eastAsia="Calibri"/>
          <w:color w:val="000000" w:themeColor="text1"/>
        </w:rPr>
        <w:t xml:space="preserve"> </w:t>
      </w:r>
      <w:r w:rsidR="001B1694" w:rsidRPr="00525071">
        <w:rPr>
          <w:rStyle w:val="QuoteChar"/>
          <w:rFonts w:eastAsia="Calibri"/>
          <w:i w:val="0"/>
          <w:color w:val="000000" w:themeColor="text1"/>
        </w:rPr>
        <w:t>Тези приходи</w:t>
      </w:r>
      <w:r w:rsidR="001B1694" w:rsidRPr="00525071">
        <w:rPr>
          <w:rFonts w:eastAsia="Calibri"/>
          <w:i/>
          <w:color w:val="000000" w:themeColor="text1"/>
        </w:rPr>
        <w:t xml:space="preserve"> </w:t>
      </w:r>
      <w:r w:rsidR="001B1694" w:rsidRPr="00525071">
        <w:rPr>
          <w:rFonts w:eastAsia="Calibri"/>
          <w:bCs/>
          <w:color w:val="000000" w:themeColor="text1"/>
        </w:rPr>
        <w:t>се</w:t>
      </w:r>
      <w:r w:rsidR="001B1694" w:rsidRPr="00525071">
        <w:rPr>
          <w:rFonts w:eastAsia="Calibri"/>
          <w:bCs/>
          <w:i/>
          <w:color w:val="000000" w:themeColor="text1"/>
        </w:rPr>
        <w:t xml:space="preserve"> </w:t>
      </w:r>
      <w:r w:rsidR="001B1694" w:rsidRPr="00525071">
        <w:rPr>
          <w:rFonts w:eastAsia="Calibri"/>
          <w:bCs/>
          <w:color w:val="000000" w:themeColor="text1"/>
        </w:rPr>
        <w:t>формират основно от приходи от държавни, общински и съдебни такси, приходи и доходи от собственост, приходи от концесии, приходи от продажба на квоти за емисии на парникови газове и други</w:t>
      </w:r>
      <w:r w:rsidRPr="00525071">
        <w:rPr>
          <w:rFonts w:eastAsia="Calibri"/>
          <w:color w:val="000000" w:themeColor="text1"/>
        </w:rPr>
        <w:t>.</w:t>
      </w:r>
      <w:r w:rsidRPr="00525071">
        <w:rPr>
          <w:color w:val="000000" w:themeColor="text1"/>
        </w:rPr>
        <w:t xml:space="preserve"> </w:t>
      </w:r>
    </w:p>
    <w:p w14:paraId="0689E2B0" w14:textId="5DA3B60E" w:rsidR="008969AB" w:rsidRPr="002F5B09" w:rsidRDefault="008969AB" w:rsidP="008969AB">
      <w:pPr>
        <w:spacing w:before="120" w:after="120"/>
        <w:jc w:val="both"/>
        <w:rPr>
          <w:color w:val="000000" w:themeColor="text1"/>
        </w:rPr>
      </w:pPr>
      <w:r w:rsidRPr="002F5B09">
        <w:rPr>
          <w:color w:val="000000" w:themeColor="text1"/>
        </w:rPr>
        <w:t xml:space="preserve">Постъпленията от </w:t>
      </w:r>
      <w:r w:rsidRPr="002F5B09">
        <w:rPr>
          <w:b/>
          <w:i/>
          <w:color w:val="000000" w:themeColor="text1"/>
        </w:rPr>
        <w:t>помощи</w:t>
      </w:r>
      <w:r w:rsidRPr="002F5B09">
        <w:rPr>
          <w:color w:val="000000" w:themeColor="text1"/>
        </w:rPr>
        <w:t xml:space="preserve"> </w:t>
      </w:r>
      <w:r w:rsidRPr="002F5B09">
        <w:rPr>
          <w:b/>
          <w:i/>
          <w:color w:val="000000" w:themeColor="text1"/>
        </w:rPr>
        <w:t xml:space="preserve">и дарения </w:t>
      </w:r>
      <w:r w:rsidRPr="002F5B09">
        <w:rPr>
          <w:color w:val="000000" w:themeColor="text1"/>
        </w:rPr>
        <w:t xml:space="preserve">от страната и чужбина (основно помощи от фондовете на ЕС) към </w:t>
      </w:r>
      <w:r w:rsidR="00525071" w:rsidRPr="002F5B09">
        <w:rPr>
          <w:color w:val="000000" w:themeColor="text1"/>
        </w:rPr>
        <w:t>септември</w:t>
      </w:r>
      <w:r w:rsidRPr="002F5B09">
        <w:rPr>
          <w:color w:val="000000" w:themeColor="text1"/>
        </w:rPr>
        <w:t xml:space="preserve"> 2025 г. са в размер на </w:t>
      </w:r>
      <w:r w:rsidR="00525071" w:rsidRPr="002F5B09">
        <w:rPr>
          <w:b/>
          <w:i/>
          <w:color w:val="000000" w:themeColor="text1"/>
        </w:rPr>
        <w:t>2 237,0</w:t>
      </w:r>
      <w:r w:rsidR="00D37B7E" w:rsidRPr="002F5B09">
        <w:rPr>
          <w:b/>
          <w:i/>
          <w:color w:val="000000" w:themeColor="text1"/>
        </w:rPr>
        <w:t xml:space="preserve"> </w:t>
      </w:r>
      <w:r w:rsidRPr="002F5B09">
        <w:rPr>
          <w:b/>
          <w:i/>
          <w:color w:val="000000" w:themeColor="text1"/>
        </w:rPr>
        <w:t>млн. лв</w:t>
      </w:r>
      <w:r w:rsidRPr="002F5B09">
        <w:rPr>
          <w:color w:val="000000" w:themeColor="text1"/>
        </w:rPr>
        <w:t>., в т. ч. постъпили през месец януари средства в размер на 348,6 млн. лв. по бюджета на Министерството на отбраната по споразумения с Министерството на отбраната на Кралство Дания за сътрудничество в областта на материалните ресурси за отбрана.</w:t>
      </w:r>
    </w:p>
    <w:p w14:paraId="29A03E9E" w14:textId="1CB3DA86" w:rsidR="000538A6" w:rsidRPr="002807FE" w:rsidRDefault="000538A6" w:rsidP="000538A6">
      <w:pPr>
        <w:spacing w:before="120" w:after="120"/>
        <w:jc w:val="both"/>
        <w:rPr>
          <w:color w:val="0070C0"/>
          <w:sz w:val="12"/>
        </w:rPr>
      </w:pPr>
    </w:p>
    <w:p w14:paraId="64FC36FD" w14:textId="536633DA" w:rsidR="0009773F" w:rsidRDefault="00353FDC" w:rsidP="000538A6">
      <w:pPr>
        <w:spacing w:before="120" w:after="120"/>
        <w:jc w:val="both"/>
        <w:rPr>
          <w:color w:val="0070C0"/>
          <w:sz w:val="12"/>
        </w:rPr>
      </w:pPr>
      <w:r>
        <w:rPr>
          <w:noProof/>
          <w:color w:val="0070C0"/>
          <w:sz w:val="12"/>
          <w:lang w:eastAsia="bg-BG"/>
        </w:rPr>
        <w:drawing>
          <wp:inline distT="0" distB="0" distL="0" distR="0" wp14:anchorId="32BE477A" wp14:editId="2DF76A1A">
            <wp:extent cx="5699760" cy="2682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2682539"/>
                    </a:xfrm>
                    <a:prstGeom prst="rect">
                      <a:avLst/>
                    </a:prstGeom>
                    <a:noFill/>
                  </pic:spPr>
                </pic:pic>
              </a:graphicData>
            </a:graphic>
          </wp:inline>
        </w:drawing>
      </w:r>
    </w:p>
    <w:p w14:paraId="12E0267D" w14:textId="77777777" w:rsidR="00353FDC" w:rsidRPr="002807FE" w:rsidRDefault="00353FDC" w:rsidP="000538A6">
      <w:pPr>
        <w:spacing w:before="120" w:after="120"/>
        <w:jc w:val="both"/>
        <w:rPr>
          <w:color w:val="0070C0"/>
          <w:sz w:val="12"/>
        </w:rPr>
      </w:pPr>
    </w:p>
    <w:p w14:paraId="1F1BCFF1" w14:textId="2BBB1706" w:rsidR="000538A6" w:rsidRPr="002F5B09" w:rsidRDefault="000538A6" w:rsidP="000538A6">
      <w:pPr>
        <w:jc w:val="both"/>
        <w:rPr>
          <w:color w:val="000000" w:themeColor="text1"/>
          <w:lang w:val="ru-RU"/>
        </w:rPr>
      </w:pPr>
      <w:bookmarkStart w:id="1" w:name="_MON_1562495641"/>
      <w:bookmarkStart w:id="2" w:name="_MON_1562495680"/>
      <w:bookmarkStart w:id="3" w:name="_MON_1562495725"/>
      <w:bookmarkStart w:id="4" w:name="_MON_1562495759"/>
      <w:bookmarkStart w:id="5" w:name="_MON_1562495782"/>
      <w:bookmarkStart w:id="6" w:name="_MON_1562495848"/>
      <w:bookmarkStart w:id="7" w:name="_MON_1562495926"/>
      <w:bookmarkStart w:id="8" w:name="_MON_1562495995"/>
      <w:bookmarkStart w:id="9" w:name="_MON_1562496100"/>
      <w:bookmarkStart w:id="10" w:name="_MON_1562496172"/>
      <w:bookmarkStart w:id="11" w:name="_MON_1562496201"/>
      <w:bookmarkStart w:id="12" w:name="_MON_1562496223"/>
      <w:bookmarkStart w:id="13" w:name="_MON_1562496546"/>
      <w:bookmarkStart w:id="14" w:name="_MON_1562494801"/>
      <w:bookmarkStart w:id="15" w:name="_MON_1562575628"/>
      <w:bookmarkStart w:id="16" w:name="_MON_1562575824"/>
      <w:bookmarkStart w:id="17" w:name="_MON_1562575867"/>
      <w:bookmarkStart w:id="18" w:name="_MON_1562494914"/>
      <w:bookmarkStart w:id="19" w:name="_MON_1562495064"/>
      <w:bookmarkStart w:id="20" w:name="_MON_1562495152"/>
      <w:bookmarkStart w:id="21" w:name="_MON_1562495221"/>
      <w:bookmarkStart w:id="22" w:name="_MON_1562495389"/>
      <w:bookmarkStart w:id="23" w:name="_MON_1522508180"/>
      <w:bookmarkStart w:id="24" w:name="_MON_1522508239"/>
      <w:bookmarkStart w:id="25" w:name="_MON_1522508269"/>
      <w:bookmarkStart w:id="26" w:name="_MON_1522508157"/>
      <w:bookmarkStart w:id="27" w:name="_MON_1549360449"/>
      <w:bookmarkStart w:id="28" w:name="_MON_1549360548"/>
      <w:bookmarkStart w:id="29" w:name="_MON_1549360567"/>
      <w:bookmarkStart w:id="30" w:name="_MON_1562165742"/>
      <w:bookmarkStart w:id="31" w:name="_MON_1562165832"/>
      <w:bookmarkStart w:id="32" w:name="_MON_1562165842"/>
      <w:bookmarkStart w:id="33" w:name="_MON_1562166008"/>
      <w:bookmarkStart w:id="34" w:name="_MON_1562166044"/>
      <w:bookmarkStart w:id="35" w:name="_MON_1522569064"/>
      <w:bookmarkStart w:id="36" w:name="_MON_152256926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2F5B09">
        <w:rPr>
          <w:rFonts w:eastAsia="Calibri"/>
          <w:b/>
          <w:color w:val="000000" w:themeColor="text1"/>
        </w:rPr>
        <w:t>Разходите</w:t>
      </w:r>
      <w:r w:rsidRPr="002F5B09">
        <w:rPr>
          <w:rFonts w:eastAsia="Calibri"/>
          <w:color w:val="000000" w:themeColor="text1"/>
        </w:rPr>
        <w:t xml:space="preserve"> по КФП (вкл. вноската в бюджета на ЕС) към </w:t>
      </w:r>
      <w:r w:rsidR="002F5B09" w:rsidRPr="002F5B09">
        <w:rPr>
          <w:rFonts w:eastAsia="Calibri"/>
          <w:color w:val="000000" w:themeColor="text1"/>
        </w:rPr>
        <w:t>септември</w:t>
      </w:r>
      <w:r w:rsidRPr="002F5B09">
        <w:rPr>
          <w:rFonts w:eastAsia="Calibri"/>
          <w:color w:val="000000" w:themeColor="text1"/>
        </w:rPr>
        <w:t xml:space="preserve"> 202</w:t>
      </w:r>
      <w:r w:rsidRPr="002F5B09">
        <w:rPr>
          <w:rFonts w:eastAsia="Calibri"/>
          <w:color w:val="000000" w:themeColor="text1"/>
          <w:lang w:val="ru-RU"/>
        </w:rPr>
        <w:t>5</w:t>
      </w:r>
      <w:r w:rsidRPr="002F5B09">
        <w:rPr>
          <w:rFonts w:eastAsia="Calibri"/>
          <w:color w:val="000000" w:themeColor="text1"/>
        </w:rPr>
        <w:t xml:space="preserve"> г. възлизат на </w:t>
      </w:r>
      <w:r w:rsidR="002F5B09" w:rsidRPr="002F5B09">
        <w:rPr>
          <w:rFonts w:eastAsia="Calibri"/>
          <w:b/>
          <w:color w:val="000000" w:themeColor="text1"/>
          <w:lang w:val="ru-RU"/>
        </w:rPr>
        <w:t>65 811,5</w:t>
      </w:r>
      <w:r w:rsidRPr="002F5B09">
        <w:rPr>
          <w:rFonts w:eastAsia="Calibri"/>
          <w:b/>
          <w:color w:val="000000" w:themeColor="text1"/>
          <w:lang w:val="en-US"/>
        </w:rPr>
        <w:t> </w:t>
      </w:r>
      <w:r w:rsidRPr="002F5B09">
        <w:rPr>
          <w:rFonts w:eastAsia="Calibri"/>
          <w:b/>
          <w:color w:val="000000" w:themeColor="text1"/>
        </w:rPr>
        <w:t xml:space="preserve">млн. лв., </w:t>
      </w:r>
      <w:r w:rsidRPr="002F5B09">
        <w:rPr>
          <w:rFonts w:eastAsia="Calibri"/>
          <w:color w:val="000000" w:themeColor="text1"/>
        </w:rPr>
        <w:t xml:space="preserve">което е </w:t>
      </w:r>
      <w:r w:rsidR="002F5B09" w:rsidRPr="002F5B09">
        <w:rPr>
          <w:rFonts w:eastAsia="Calibri"/>
          <w:color w:val="000000" w:themeColor="text1"/>
        </w:rPr>
        <w:t>6</w:t>
      </w:r>
      <w:r w:rsidRPr="002F5B09">
        <w:rPr>
          <w:rFonts w:eastAsia="Calibri"/>
          <w:color w:val="000000" w:themeColor="text1"/>
        </w:rPr>
        <w:t>8</w:t>
      </w:r>
      <w:r w:rsidR="002F5B09" w:rsidRPr="002F5B09">
        <w:rPr>
          <w:rFonts w:eastAsia="Calibri"/>
          <w:color w:val="000000" w:themeColor="text1"/>
        </w:rPr>
        <w:t>,1</w:t>
      </w:r>
      <w:r w:rsidRPr="002F5B09">
        <w:rPr>
          <w:rFonts w:eastAsia="Calibri"/>
          <w:color w:val="000000" w:themeColor="text1"/>
        </w:rPr>
        <w:t xml:space="preserve"> % от годишните разчети.</w:t>
      </w:r>
      <w:r w:rsidRPr="002F5B09">
        <w:rPr>
          <w:rFonts w:eastAsia="Calibri"/>
          <w:b/>
          <w:color w:val="000000" w:themeColor="text1"/>
        </w:rPr>
        <w:t xml:space="preserve"> </w:t>
      </w:r>
      <w:r w:rsidRPr="002F5B09">
        <w:rPr>
          <w:rFonts w:eastAsia="Calibri"/>
          <w:color w:val="000000" w:themeColor="text1"/>
          <w:lang w:val="ru-RU"/>
        </w:rPr>
        <w:t xml:space="preserve">За сравнение, разходите по КФП за </w:t>
      </w:r>
      <w:r w:rsidR="002F5B09" w:rsidRPr="002F5B09">
        <w:rPr>
          <w:rFonts w:eastAsia="Calibri"/>
          <w:color w:val="000000" w:themeColor="text1"/>
          <w:lang w:val="ru-RU"/>
        </w:rPr>
        <w:t>деветте</w:t>
      </w:r>
      <w:r w:rsidRPr="002F5B09">
        <w:rPr>
          <w:rFonts w:eastAsia="Calibri"/>
          <w:color w:val="000000" w:themeColor="text1"/>
          <w:lang w:val="ru-RU"/>
        </w:rPr>
        <w:t xml:space="preserve"> месеца на 2024</w:t>
      </w:r>
      <w:r w:rsidRPr="002F5B09">
        <w:rPr>
          <w:rFonts w:eastAsia="Calibri"/>
          <w:color w:val="000000" w:themeColor="text1"/>
          <w:lang w:val="en-US"/>
        </w:rPr>
        <w:t> </w:t>
      </w:r>
      <w:r w:rsidRPr="002F5B09">
        <w:rPr>
          <w:rFonts w:eastAsia="Calibri"/>
          <w:color w:val="000000" w:themeColor="text1"/>
          <w:lang w:val="ru-RU"/>
        </w:rPr>
        <w:t xml:space="preserve">г. бяха в размер на </w:t>
      </w:r>
      <w:r w:rsidR="002F5B09" w:rsidRPr="002F5B09">
        <w:rPr>
          <w:rFonts w:eastAsia="Calibri"/>
          <w:color w:val="000000" w:themeColor="text1"/>
          <w:lang w:val="ru-RU"/>
        </w:rPr>
        <w:t>54 865,0</w:t>
      </w:r>
      <w:r w:rsidRPr="002F5B09">
        <w:rPr>
          <w:rFonts w:eastAsia="Calibri"/>
          <w:color w:val="000000" w:themeColor="text1"/>
          <w:lang w:val="ru-RU"/>
        </w:rPr>
        <w:t xml:space="preserve"> </w:t>
      </w:r>
      <w:r w:rsidRPr="002F5B09">
        <w:rPr>
          <w:rFonts w:eastAsia="Calibri"/>
          <w:color w:val="000000" w:themeColor="text1"/>
        </w:rPr>
        <w:t>млн. лв</w:t>
      </w:r>
      <w:r w:rsidR="00397536" w:rsidRPr="002F5B09">
        <w:rPr>
          <w:rFonts w:eastAsia="Calibri"/>
          <w:color w:val="000000" w:themeColor="text1"/>
        </w:rPr>
        <w:t>.</w:t>
      </w:r>
      <w:r w:rsidRPr="002F5B09">
        <w:rPr>
          <w:rFonts w:eastAsia="Calibri"/>
          <w:color w:val="000000" w:themeColor="text1"/>
          <w:lang w:val="ru-RU"/>
        </w:rPr>
        <w:t xml:space="preserve">, като следва да бъде взето предвид, че през месец февруари 2024 г. има отчетена трансакция по възстановяване на разходи от сметка за чужди средства на Министерството на регионалното развитие и благоустройството обратно към бюджета на министерството в размер на 1 200 млн. лв. При елиминирането на тази трансакция, с оглед съпоставимост, разходите към края на </w:t>
      </w:r>
      <w:r w:rsidR="002F5B09" w:rsidRPr="002F5B09">
        <w:rPr>
          <w:rFonts w:eastAsia="Calibri"/>
          <w:color w:val="000000" w:themeColor="text1"/>
          <w:lang w:val="ru-RU"/>
        </w:rPr>
        <w:t>септември</w:t>
      </w:r>
      <w:r w:rsidRPr="002F5B09">
        <w:rPr>
          <w:rFonts w:eastAsia="Calibri"/>
          <w:color w:val="000000" w:themeColor="text1"/>
          <w:lang w:val="ru-RU"/>
        </w:rPr>
        <w:t xml:space="preserve"> 2025 г. нарастват с </w:t>
      </w:r>
      <w:r w:rsidR="002F5B09" w:rsidRPr="002F5B09">
        <w:rPr>
          <w:rFonts w:eastAsia="Calibri"/>
          <w:color w:val="000000" w:themeColor="text1"/>
          <w:lang w:val="ru-RU"/>
        </w:rPr>
        <w:t>9 746,5</w:t>
      </w:r>
      <w:r w:rsidR="0057434E">
        <w:rPr>
          <w:rFonts w:eastAsia="Calibri"/>
          <w:color w:val="000000" w:themeColor="text1"/>
          <w:lang w:val="ru-RU"/>
        </w:rPr>
        <w:t> </w:t>
      </w:r>
      <w:r w:rsidRPr="002F5B09">
        <w:rPr>
          <w:rFonts w:eastAsia="Calibri"/>
          <w:color w:val="000000" w:themeColor="text1"/>
          <w:lang w:val="ru-RU"/>
        </w:rPr>
        <w:t>млн. лв. (1</w:t>
      </w:r>
      <w:r w:rsidR="002F5B09" w:rsidRPr="002F5B09">
        <w:rPr>
          <w:rFonts w:eastAsia="Calibri"/>
          <w:color w:val="000000" w:themeColor="text1"/>
          <w:lang w:val="ru-RU"/>
        </w:rPr>
        <w:t>7,4</w:t>
      </w:r>
      <w:r w:rsidRPr="002F5B09">
        <w:rPr>
          <w:rFonts w:eastAsia="Calibri"/>
          <w:color w:val="000000" w:themeColor="text1"/>
          <w:lang w:val="ru-RU"/>
        </w:rPr>
        <w:t xml:space="preserve"> %). </w:t>
      </w:r>
      <w:r w:rsidRPr="002F5B09">
        <w:rPr>
          <w:color w:val="000000" w:themeColor="text1"/>
        </w:rPr>
        <w:t>Нарастване на разходите има основно в частта на социалните плащания, вкл. разходите за пенсии, както и при разходите за персонал, капиталовите разходи и други.</w:t>
      </w:r>
      <w:r w:rsidRPr="002F5B09">
        <w:rPr>
          <w:color w:val="000000" w:themeColor="text1"/>
          <w:lang w:val="ru-RU"/>
        </w:rPr>
        <w:t xml:space="preserve">  </w:t>
      </w:r>
    </w:p>
    <w:p w14:paraId="090516C3" w14:textId="2FE7D2E5" w:rsidR="000538A6" w:rsidRPr="002F5B09" w:rsidRDefault="000538A6" w:rsidP="000538A6">
      <w:pPr>
        <w:spacing w:before="120" w:after="120"/>
        <w:jc w:val="both"/>
        <w:rPr>
          <w:color w:val="000000" w:themeColor="text1"/>
        </w:rPr>
      </w:pPr>
      <w:r w:rsidRPr="002F5B09">
        <w:rPr>
          <w:b/>
          <w:i/>
          <w:color w:val="000000" w:themeColor="text1"/>
        </w:rPr>
        <w:t>Нелихвените разходи</w:t>
      </w:r>
      <w:r w:rsidRPr="002F5B09">
        <w:rPr>
          <w:color w:val="000000" w:themeColor="text1"/>
        </w:rPr>
        <w:t xml:space="preserve"> към </w:t>
      </w:r>
      <w:r w:rsidR="002F5B09" w:rsidRPr="002F5B09">
        <w:rPr>
          <w:color w:val="000000" w:themeColor="text1"/>
        </w:rPr>
        <w:t>септември 2025 г. са в размер на 63 000,9 млн. лв.</w:t>
      </w:r>
      <w:r w:rsidR="002F5B09" w:rsidRPr="002F5B09">
        <w:rPr>
          <w:bCs/>
          <w:color w:val="000000" w:themeColor="text1"/>
        </w:rPr>
        <w:t xml:space="preserve">, което представлява 68,0 % от годишния разчет </w:t>
      </w:r>
      <w:r w:rsidR="002F5B09" w:rsidRPr="002F5B09">
        <w:rPr>
          <w:color w:val="000000" w:themeColor="text1"/>
        </w:rPr>
        <w:t xml:space="preserve">и ръст на съпоставима база от 8 952,4 млн. лв. (16,6 %) спрямо отчетените към септември 2024 г. </w:t>
      </w:r>
      <w:r w:rsidR="002F5B09" w:rsidRPr="002F5B09">
        <w:rPr>
          <w:i/>
          <w:color w:val="000000" w:themeColor="text1"/>
        </w:rPr>
        <w:t>Текущите нелихвени разходи</w:t>
      </w:r>
      <w:r w:rsidR="002F5B09" w:rsidRPr="002F5B09">
        <w:rPr>
          <w:color w:val="000000" w:themeColor="text1"/>
        </w:rPr>
        <w:t xml:space="preserve"> са в размер на 56 050,3 млн. лв. </w:t>
      </w:r>
      <w:r w:rsidR="002F5B09" w:rsidRPr="002F5B09">
        <w:rPr>
          <w:i/>
          <w:color w:val="000000" w:themeColor="text1"/>
        </w:rPr>
        <w:t>Капиталовите разходи</w:t>
      </w:r>
      <w:r w:rsidR="002F5B09" w:rsidRPr="002F5B09">
        <w:rPr>
          <w:color w:val="000000" w:themeColor="text1"/>
        </w:rPr>
        <w:t xml:space="preserve"> (вкл. нетния прираст на държавния резерв) възлизат на 6 902,0 млн. лв. </w:t>
      </w:r>
      <w:r w:rsidR="002F5B09" w:rsidRPr="002F5B09">
        <w:rPr>
          <w:i/>
          <w:color w:val="000000" w:themeColor="text1"/>
        </w:rPr>
        <w:t>Предоставените текущи и капиталови трансфери за чужбина</w:t>
      </w:r>
      <w:r w:rsidR="002F5B09" w:rsidRPr="002F5B09">
        <w:rPr>
          <w:color w:val="000000" w:themeColor="text1"/>
        </w:rPr>
        <w:t xml:space="preserve"> са в размер на 48,7 млн. лв. </w:t>
      </w:r>
      <w:r w:rsidR="002F5B09" w:rsidRPr="002F5B09">
        <w:rPr>
          <w:b/>
          <w:i/>
          <w:color w:val="000000" w:themeColor="text1"/>
        </w:rPr>
        <w:t>Лихвените плащания</w:t>
      </w:r>
      <w:r w:rsidR="002F5B09" w:rsidRPr="002F5B09">
        <w:rPr>
          <w:color w:val="000000" w:themeColor="text1"/>
        </w:rPr>
        <w:t xml:space="preserve"> са в размер на 1 339,2 млн. лв. </w:t>
      </w:r>
      <w:r w:rsidR="002F5B09" w:rsidRPr="002F5B09">
        <w:rPr>
          <w:bCs/>
          <w:color w:val="000000" w:themeColor="text1"/>
        </w:rPr>
        <w:t xml:space="preserve">(82,5 % от планираните за годината и ръст от 443,7 млн. лв. спрямо същия период на 2024 г., което </w:t>
      </w:r>
      <w:r w:rsidR="00F93E25">
        <w:rPr>
          <w:bCs/>
          <w:color w:val="000000" w:themeColor="text1"/>
        </w:rPr>
        <w:t>е в съответствие с</w:t>
      </w:r>
      <w:r w:rsidR="002F5B09" w:rsidRPr="002F5B09">
        <w:rPr>
          <w:bCs/>
          <w:color w:val="000000" w:themeColor="text1"/>
        </w:rPr>
        <w:t xml:space="preserve"> календара по обслужването на държавния дълг</w:t>
      </w:r>
      <w:r w:rsidR="002F5B09" w:rsidRPr="002F5B09">
        <w:rPr>
          <w:bCs/>
          <w:color w:val="000000" w:themeColor="text1"/>
          <w:lang w:val="ru-RU"/>
        </w:rPr>
        <w:t>)</w:t>
      </w:r>
      <w:r w:rsidR="002F5B09" w:rsidRPr="002F5B09">
        <w:rPr>
          <w:color w:val="000000" w:themeColor="text1"/>
        </w:rPr>
        <w:t>.</w:t>
      </w:r>
    </w:p>
    <w:p w14:paraId="2346F1E3" w14:textId="088C3145" w:rsidR="000538A6" w:rsidRPr="002F5B09" w:rsidRDefault="000538A6" w:rsidP="000538A6">
      <w:pPr>
        <w:spacing w:before="120"/>
        <w:jc w:val="both"/>
        <w:rPr>
          <w:color w:val="000000" w:themeColor="text1"/>
        </w:rPr>
      </w:pPr>
      <w:r w:rsidRPr="002F5B09">
        <w:rPr>
          <w:color w:val="000000" w:themeColor="text1"/>
        </w:rPr>
        <w:lastRenderedPageBreak/>
        <w:t xml:space="preserve">Разходите по КФП по основните разходни групи към </w:t>
      </w:r>
      <w:r w:rsidR="002F5B09" w:rsidRPr="002F5B09">
        <w:rPr>
          <w:color w:val="000000" w:themeColor="text1"/>
        </w:rPr>
        <w:t>септември</w:t>
      </w:r>
      <w:r w:rsidRPr="002F5B09">
        <w:rPr>
          <w:color w:val="000000" w:themeColor="text1"/>
        </w:rPr>
        <w:t xml:space="preserve"> 2024 г. и 2025 г. са представени на следната графика:</w:t>
      </w:r>
    </w:p>
    <w:p w14:paraId="5D51C847" w14:textId="41ADBF43" w:rsidR="00355EBB" w:rsidRPr="002807FE" w:rsidRDefault="00355EBB" w:rsidP="000538A6">
      <w:pPr>
        <w:spacing w:before="120"/>
        <w:jc w:val="both"/>
        <w:rPr>
          <w:color w:val="0070C0"/>
        </w:rPr>
      </w:pPr>
      <w:r>
        <w:rPr>
          <w:noProof/>
          <w:color w:val="0070C0"/>
          <w:lang w:eastAsia="bg-BG"/>
        </w:rPr>
        <w:drawing>
          <wp:inline distT="0" distB="0" distL="0" distR="0" wp14:anchorId="2C4641AD" wp14:editId="5AFA7335">
            <wp:extent cx="6050280" cy="29032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7740" cy="2902001"/>
                    </a:xfrm>
                    <a:prstGeom prst="rect">
                      <a:avLst/>
                    </a:prstGeom>
                    <a:noFill/>
                  </pic:spPr>
                </pic:pic>
              </a:graphicData>
            </a:graphic>
          </wp:inline>
        </w:drawing>
      </w:r>
    </w:p>
    <w:p w14:paraId="4CB71A6E" w14:textId="45A9C5DE" w:rsidR="000538A6" w:rsidRPr="002F5B09" w:rsidRDefault="000538A6" w:rsidP="00B66F09">
      <w:pPr>
        <w:spacing w:before="120" w:after="120"/>
        <w:jc w:val="both"/>
        <w:rPr>
          <w:color w:val="000000" w:themeColor="text1"/>
          <w:sz w:val="18"/>
          <w:szCs w:val="14"/>
        </w:rPr>
      </w:pPr>
      <w:bookmarkStart w:id="37" w:name="_MON_1549378791"/>
      <w:bookmarkStart w:id="38" w:name="_MON_1522508435"/>
      <w:bookmarkStart w:id="39" w:name="_MON_1522508500"/>
      <w:bookmarkStart w:id="40" w:name="_MON_1522508578"/>
      <w:bookmarkStart w:id="41" w:name="_MON_1522508396"/>
      <w:bookmarkStart w:id="42" w:name="_MON_1562166431"/>
      <w:bookmarkStart w:id="43" w:name="_MON_1562166533"/>
      <w:bookmarkStart w:id="44" w:name="_MON_1562166556"/>
      <w:bookmarkStart w:id="45" w:name="_MON_1562166578"/>
      <w:bookmarkStart w:id="46" w:name="_MON_1522569336"/>
      <w:bookmarkStart w:id="47" w:name="_MON_1541257307"/>
      <w:bookmarkStart w:id="48" w:name="_MON_1541257332"/>
      <w:bookmarkStart w:id="49" w:name="_MON_1522569451"/>
      <w:bookmarkStart w:id="50" w:name="_MON_1522569507"/>
      <w:bookmarkStart w:id="51" w:name="_MON_1549376308"/>
      <w:bookmarkStart w:id="52" w:name="_MON_1549378514"/>
      <w:bookmarkStart w:id="53" w:name="_MON_1549378678"/>
      <w:bookmarkStart w:id="54" w:name="_MON_154937872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F5B09">
        <w:rPr>
          <w:color w:val="000000" w:themeColor="text1"/>
          <w:sz w:val="18"/>
          <w:szCs w:val="14"/>
          <w:lang w:val="ru-RU"/>
        </w:rPr>
        <w:t xml:space="preserve">*  </w:t>
      </w:r>
      <w:r w:rsidRPr="002F5B09">
        <w:rPr>
          <w:color w:val="000000" w:themeColor="text1"/>
          <w:sz w:val="18"/>
          <w:szCs w:val="14"/>
        </w:rPr>
        <w:t>Вкл. нетния прираст на държавния резерв</w:t>
      </w:r>
    </w:p>
    <w:p w14:paraId="1D18B3FC" w14:textId="6DE71CA7" w:rsidR="0009773F" w:rsidRPr="002807FE" w:rsidRDefault="0009773F" w:rsidP="00B66F09">
      <w:pPr>
        <w:spacing w:before="120" w:after="120"/>
        <w:jc w:val="both"/>
        <w:rPr>
          <w:color w:val="0070C0"/>
          <w:sz w:val="14"/>
          <w:szCs w:val="14"/>
        </w:rPr>
      </w:pPr>
    </w:p>
    <w:p w14:paraId="3EB57AE9" w14:textId="1365F73B" w:rsidR="008969AB" w:rsidRPr="002F5B09" w:rsidRDefault="008969AB" w:rsidP="00956D57">
      <w:pPr>
        <w:pStyle w:val="ListParagraph"/>
        <w:numPr>
          <w:ilvl w:val="0"/>
          <w:numId w:val="19"/>
        </w:numPr>
        <w:tabs>
          <w:tab w:val="left" w:pos="426"/>
        </w:tabs>
        <w:spacing w:before="120" w:line="240" w:lineRule="auto"/>
        <w:ind w:left="0" w:firstLine="0"/>
        <w:contextualSpacing w:val="0"/>
        <w:rPr>
          <w:rFonts w:ascii="Times New Roman" w:hAnsi="Times New Roman"/>
          <w:color w:val="000000" w:themeColor="text1"/>
        </w:rPr>
      </w:pPr>
      <w:r w:rsidRPr="002F5B09">
        <w:rPr>
          <w:rFonts w:ascii="Times New Roman" w:hAnsi="Times New Roman"/>
          <w:b/>
          <w:color w:val="000000" w:themeColor="text1"/>
        </w:rPr>
        <w:t>Частта от вноската на Република България в общия бюджет на ЕС</w:t>
      </w:r>
      <w:r w:rsidRPr="002F5B09">
        <w:rPr>
          <w:rFonts w:ascii="Times New Roman" w:hAnsi="Times New Roman"/>
          <w:color w:val="000000" w:themeColor="text1"/>
        </w:rPr>
        <w:t xml:space="preserve">, изплатена </w:t>
      </w:r>
      <w:r w:rsidR="00A849A5" w:rsidRPr="002F5B09">
        <w:rPr>
          <w:rFonts w:ascii="Times New Roman" w:eastAsia="Calibri" w:hAnsi="Times New Roman"/>
          <w:bCs/>
          <w:color w:val="000000" w:themeColor="text1"/>
        </w:rPr>
        <w:t>към 30.0</w:t>
      </w:r>
      <w:r w:rsidR="002F5B09" w:rsidRPr="002F5B09">
        <w:rPr>
          <w:rFonts w:ascii="Times New Roman" w:eastAsia="Calibri" w:hAnsi="Times New Roman"/>
          <w:bCs/>
          <w:color w:val="000000" w:themeColor="text1"/>
          <w:lang w:val="ru-RU"/>
        </w:rPr>
        <w:t>9</w:t>
      </w:r>
      <w:r w:rsidR="00A849A5" w:rsidRPr="002F5B09">
        <w:rPr>
          <w:rFonts w:ascii="Times New Roman" w:eastAsia="Calibri" w:hAnsi="Times New Roman"/>
          <w:bCs/>
          <w:color w:val="000000" w:themeColor="text1"/>
        </w:rPr>
        <w:t xml:space="preserve">.2025 г. от централния бюджет, възлиза на </w:t>
      </w:r>
      <w:r w:rsidR="00A849A5" w:rsidRPr="002F5B09">
        <w:rPr>
          <w:rFonts w:ascii="Times New Roman" w:eastAsia="Calibri" w:hAnsi="Times New Roman"/>
          <w:b/>
          <w:bCs/>
          <w:color w:val="000000" w:themeColor="text1"/>
          <w:lang w:val="ru-RU"/>
        </w:rPr>
        <w:t>1</w:t>
      </w:r>
      <w:r w:rsidR="002F5B09" w:rsidRPr="002F5B09">
        <w:rPr>
          <w:rFonts w:ascii="Times New Roman" w:eastAsia="Calibri" w:hAnsi="Times New Roman"/>
          <w:b/>
          <w:bCs/>
          <w:color w:val="000000" w:themeColor="text1"/>
          <w:lang w:val="ru-RU"/>
        </w:rPr>
        <w:t> 471,4</w:t>
      </w:r>
      <w:r w:rsidR="00A849A5" w:rsidRPr="002F5B09">
        <w:rPr>
          <w:rFonts w:ascii="Times New Roman" w:eastAsia="Calibri" w:hAnsi="Times New Roman"/>
          <w:b/>
          <w:bCs/>
          <w:color w:val="000000" w:themeColor="text1"/>
          <w:lang w:val="ru-RU"/>
        </w:rPr>
        <w:t xml:space="preserve"> </w:t>
      </w:r>
      <w:r w:rsidR="00A849A5" w:rsidRPr="002F5B09">
        <w:rPr>
          <w:rFonts w:ascii="Times New Roman" w:eastAsia="Calibri" w:hAnsi="Times New Roman"/>
          <w:b/>
          <w:bCs/>
          <w:color w:val="000000" w:themeColor="text1"/>
        </w:rPr>
        <w:t>млн. лв.</w:t>
      </w:r>
      <w:r w:rsidRPr="002F5B09">
        <w:rPr>
          <w:rFonts w:ascii="Times New Roman" w:hAnsi="Times New Roman"/>
          <w:bCs/>
          <w:color w:val="000000" w:themeColor="text1"/>
        </w:rPr>
        <w:t>, което е в изпълнение на действащото към момента законодателство в областта на собствените ресурси на ЕС</w:t>
      </w:r>
      <w:r w:rsidRPr="002F5B09">
        <w:rPr>
          <w:rFonts w:ascii="Times New Roman" w:hAnsi="Times New Roman"/>
          <w:color w:val="000000" w:themeColor="text1"/>
        </w:rPr>
        <w:t xml:space="preserve">. </w:t>
      </w:r>
    </w:p>
    <w:p w14:paraId="34578C5D" w14:textId="36F7AFED" w:rsidR="007D1FA3" w:rsidRPr="00826E50" w:rsidRDefault="008969AB" w:rsidP="00F23DE7">
      <w:pPr>
        <w:pStyle w:val="ListParagraph"/>
        <w:numPr>
          <w:ilvl w:val="0"/>
          <w:numId w:val="19"/>
        </w:numPr>
        <w:tabs>
          <w:tab w:val="left" w:pos="426"/>
        </w:tabs>
        <w:autoSpaceDE w:val="0"/>
        <w:autoSpaceDN w:val="0"/>
        <w:adjustRightInd w:val="0"/>
        <w:spacing w:line="240" w:lineRule="auto"/>
        <w:ind w:left="0" w:firstLine="0"/>
        <w:rPr>
          <w:rFonts w:ascii="Times New Roman" w:hAnsi="Times New Roman"/>
          <w:color w:val="000000" w:themeColor="text1"/>
        </w:rPr>
      </w:pPr>
      <w:r w:rsidRPr="00826E50">
        <w:rPr>
          <w:rFonts w:ascii="Times New Roman" w:hAnsi="Times New Roman"/>
          <w:b/>
          <w:color w:val="000000" w:themeColor="text1"/>
        </w:rPr>
        <w:t xml:space="preserve">Бюджетното салдо </w:t>
      </w:r>
      <w:r w:rsidRPr="00826E50">
        <w:rPr>
          <w:rFonts w:ascii="Times New Roman" w:hAnsi="Times New Roman"/>
          <w:bCs/>
          <w:color w:val="000000" w:themeColor="text1"/>
        </w:rPr>
        <w:t xml:space="preserve">по консолидираната фискална програма </w:t>
      </w:r>
      <w:r w:rsidR="00797675" w:rsidRPr="00826E50">
        <w:rPr>
          <w:rFonts w:ascii="Times New Roman" w:hAnsi="Times New Roman"/>
          <w:color w:val="000000" w:themeColor="text1"/>
        </w:rPr>
        <w:t xml:space="preserve">към </w:t>
      </w:r>
      <w:r w:rsidR="00CA118D" w:rsidRPr="00826E50">
        <w:rPr>
          <w:rFonts w:ascii="Times New Roman" w:hAnsi="Times New Roman"/>
          <w:color w:val="000000" w:themeColor="text1"/>
        </w:rPr>
        <w:t>септември</w:t>
      </w:r>
      <w:r w:rsidR="00797675" w:rsidRPr="00826E50">
        <w:rPr>
          <w:rFonts w:ascii="Times New Roman" w:hAnsi="Times New Roman"/>
          <w:color w:val="000000" w:themeColor="text1"/>
        </w:rPr>
        <w:t xml:space="preserve"> 2025 г.</w:t>
      </w:r>
      <w:r w:rsidR="00797675" w:rsidRPr="00826E50">
        <w:rPr>
          <w:rFonts w:ascii="Times New Roman" w:hAnsi="Times New Roman"/>
          <w:bCs/>
          <w:color w:val="000000" w:themeColor="text1"/>
        </w:rPr>
        <w:t xml:space="preserve"> е </w:t>
      </w:r>
      <w:r w:rsidR="00797675" w:rsidRPr="00826E50">
        <w:rPr>
          <w:rFonts w:ascii="Times New Roman" w:hAnsi="Times New Roman"/>
          <w:b/>
          <w:bCs/>
          <w:color w:val="000000" w:themeColor="text1"/>
        </w:rPr>
        <w:t>отрицателно</w:t>
      </w:r>
      <w:r w:rsidR="00797675" w:rsidRPr="00826E50">
        <w:rPr>
          <w:rFonts w:ascii="Times New Roman" w:hAnsi="Times New Roman"/>
          <w:bCs/>
          <w:color w:val="000000" w:themeColor="text1"/>
        </w:rPr>
        <w:t xml:space="preserve"> в размер на </w:t>
      </w:r>
      <w:r w:rsidR="00797675" w:rsidRPr="00826E50">
        <w:rPr>
          <w:rFonts w:ascii="Times New Roman" w:hAnsi="Times New Roman"/>
          <w:b/>
          <w:bCs/>
          <w:color w:val="000000" w:themeColor="text1"/>
        </w:rPr>
        <w:t>6</w:t>
      </w:r>
      <w:r w:rsidR="00CA118D" w:rsidRPr="00826E50">
        <w:rPr>
          <w:rFonts w:ascii="Times New Roman" w:hAnsi="Times New Roman"/>
          <w:b/>
          <w:bCs/>
          <w:color w:val="000000" w:themeColor="text1"/>
        </w:rPr>
        <w:t> 055,7</w:t>
      </w:r>
      <w:r w:rsidR="00797675" w:rsidRPr="00826E50">
        <w:rPr>
          <w:rFonts w:ascii="Times New Roman" w:hAnsi="Times New Roman"/>
          <w:b/>
          <w:bCs/>
          <w:color w:val="000000" w:themeColor="text1"/>
        </w:rPr>
        <w:t xml:space="preserve"> млн. лв.</w:t>
      </w:r>
      <w:r w:rsidR="00797675" w:rsidRPr="00826E50">
        <w:rPr>
          <w:rFonts w:ascii="Times New Roman" w:hAnsi="Times New Roman"/>
          <w:bCs/>
          <w:color w:val="000000" w:themeColor="text1"/>
        </w:rPr>
        <w:t xml:space="preserve"> (</w:t>
      </w:r>
      <w:r w:rsidR="00826E50" w:rsidRPr="00826E50">
        <w:rPr>
          <w:rFonts w:ascii="Times New Roman" w:hAnsi="Times New Roman"/>
          <w:bCs/>
          <w:color w:val="000000" w:themeColor="text1"/>
        </w:rPr>
        <w:t>2</w:t>
      </w:r>
      <w:r w:rsidR="00797675" w:rsidRPr="00826E50">
        <w:rPr>
          <w:rFonts w:ascii="Times New Roman" w:hAnsi="Times New Roman"/>
          <w:bCs/>
          <w:color w:val="000000" w:themeColor="text1"/>
        </w:rPr>
        <w:t>,</w:t>
      </w:r>
      <w:r w:rsidR="00BD68EF">
        <w:rPr>
          <w:rFonts w:ascii="Times New Roman" w:hAnsi="Times New Roman"/>
          <w:bCs/>
          <w:color w:val="000000" w:themeColor="text1"/>
        </w:rPr>
        <w:t>7</w:t>
      </w:r>
      <w:r w:rsidR="00797675" w:rsidRPr="00826E50">
        <w:rPr>
          <w:rFonts w:ascii="Times New Roman" w:hAnsi="Times New Roman"/>
          <w:bCs/>
          <w:color w:val="000000" w:themeColor="text1"/>
        </w:rPr>
        <w:t xml:space="preserve"> % от прогнозния БВП). То се формира от дефицит по националния </w:t>
      </w:r>
      <w:r w:rsidR="00797675" w:rsidRPr="002904C4">
        <w:rPr>
          <w:rFonts w:ascii="Times New Roman" w:hAnsi="Times New Roman"/>
          <w:bCs/>
          <w:color w:val="000000" w:themeColor="text1"/>
        </w:rPr>
        <w:t xml:space="preserve">бюджет в размер на </w:t>
      </w:r>
      <w:r w:rsidR="00CA118D" w:rsidRPr="002904C4">
        <w:rPr>
          <w:rFonts w:ascii="Times New Roman" w:hAnsi="Times New Roman"/>
          <w:bCs/>
          <w:color w:val="000000" w:themeColor="text1"/>
        </w:rPr>
        <w:t>4 354,1</w:t>
      </w:r>
      <w:r w:rsidR="00797675" w:rsidRPr="002904C4">
        <w:rPr>
          <w:rFonts w:ascii="Times New Roman" w:hAnsi="Times New Roman"/>
          <w:bCs/>
          <w:color w:val="000000" w:themeColor="text1"/>
        </w:rPr>
        <w:t xml:space="preserve"> млн. лв. и дефицит по европейските средства в размер на 1</w:t>
      </w:r>
      <w:r w:rsidR="00CA118D" w:rsidRPr="002904C4">
        <w:rPr>
          <w:rFonts w:ascii="Times New Roman" w:hAnsi="Times New Roman"/>
          <w:bCs/>
          <w:color w:val="000000" w:themeColor="text1"/>
        </w:rPr>
        <w:t> 701,6</w:t>
      </w:r>
      <w:r w:rsidR="00797675" w:rsidRPr="002904C4">
        <w:rPr>
          <w:rFonts w:ascii="Times New Roman" w:hAnsi="Times New Roman"/>
          <w:bCs/>
          <w:color w:val="000000" w:themeColor="text1"/>
        </w:rPr>
        <w:t xml:space="preserve"> млн. лева</w:t>
      </w:r>
      <w:r w:rsidRPr="006B1C5D">
        <w:rPr>
          <w:rFonts w:ascii="Times New Roman" w:hAnsi="Times New Roman"/>
          <w:bCs/>
          <w:color w:val="000000" w:themeColor="text1"/>
        </w:rPr>
        <w:t>.</w:t>
      </w:r>
      <w:r w:rsidR="007D1FA3" w:rsidRPr="006B1C5D">
        <w:rPr>
          <w:rFonts w:ascii="Times New Roman" w:hAnsi="Times New Roman"/>
          <w:bCs/>
          <w:color w:val="000000" w:themeColor="text1"/>
        </w:rPr>
        <w:t xml:space="preserve"> </w:t>
      </w:r>
      <w:r w:rsidR="002904C4" w:rsidRPr="006B1C5D">
        <w:rPr>
          <w:rFonts w:ascii="Times New Roman" w:hAnsi="Times New Roman"/>
          <w:bCs/>
          <w:color w:val="000000" w:themeColor="text1"/>
        </w:rPr>
        <w:t>Очаква се през четвъртото тримесечие на годината да постъпят втори и трети транш по Механизма за възстановяване и устойчивост в общ размер на над 4,0 млрд. лв., което ще компенсира напълно натрупания дефицит по сметките за средства от ЕС</w:t>
      </w:r>
      <w:r w:rsidR="002904C4" w:rsidRPr="00D94DB2">
        <w:rPr>
          <w:rFonts w:ascii="Times New Roman" w:hAnsi="Times New Roman"/>
          <w:bCs/>
          <w:color w:val="000000" w:themeColor="text1"/>
          <w:lang w:val="ru-RU"/>
        </w:rPr>
        <w:t xml:space="preserve"> </w:t>
      </w:r>
      <w:r w:rsidR="002904C4" w:rsidRPr="006B1C5D">
        <w:rPr>
          <w:rFonts w:ascii="Times New Roman" w:hAnsi="Times New Roman"/>
          <w:bCs/>
          <w:color w:val="000000" w:themeColor="text1"/>
        </w:rPr>
        <w:t>(в размер на над 1,7 млрд. лв.), респективно текущо ще подобри салдото по КФП</w:t>
      </w:r>
      <w:r w:rsidR="00826E50" w:rsidRPr="006B1C5D">
        <w:rPr>
          <w:rFonts w:ascii="Times New Roman" w:hAnsi="Times New Roman"/>
          <w:bCs/>
          <w:color w:val="000000" w:themeColor="text1"/>
        </w:rPr>
        <w:t>.</w:t>
      </w:r>
    </w:p>
    <w:p w14:paraId="4F3A6F10" w14:textId="0DD04C56" w:rsidR="008969AB" w:rsidRPr="002807FE" w:rsidRDefault="008969AB" w:rsidP="008969AB">
      <w:pPr>
        <w:numPr>
          <w:ilvl w:val="0"/>
          <w:numId w:val="7"/>
        </w:numPr>
        <w:tabs>
          <w:tab w:val="num" w:pos="0"/>
          <w:tab w:val="left" w:pos="426"/>
          <w:tab w:val="left" w:pos="720"/>
        </w:tabs>
        <w:spacing w:before="120" w:after="60"/>
        <w:ind w:left="0" w:firstLine="0"/>
        <w:jc w:val="both"/>
        <w:rPr>
          <w:color w:val="0070C0"/>
          <w:sz w:val="22"/>
        </w:rPr>
      </w:pPr>
      <w:r w:rsidRPr="00826E50">
        <w:rPr>
          <w:b/>
          <w:color w:val="000000" w:themeColor="text1"/>
          <w:szCs w:val="28"/>
        </w:rPr>
        <w:t>Общият размер</w:t>
      </w:r>
      <w:r w:rsidRPr="00826E50">
        <w:rPr>
          <w:bCs/>
          <w:color w:val="000000" w:themeColor="text1"/>
          <w:sz w:val="22"/>
        </w:rPr>
        <w:t xml:space="preserve"> </w:t>
      </w:r>
      <w:r w:rsidRPr="00826E50">
        <w:rPr>
          <w:b/>
          <w:bCs/>
          <w:color w:val="000000" w:themeColor="text1"/>
          <w:szCs w:val="28"/>
        </w:rPr>
        <w:t xml:space="preserve">на касовите постъпления от </w:t>
      </w:r>
      <w:r w:rsidRPr="00D440EE">
        <w:rPr>
          <w:b/>
          <w:bCs/>
          <w:color w:val="000000" w:themeColor="text1"/>
          <w:szCs w:val="28"/>
        </w:rPr>
        <w:t>ЕС</w:t>
      </w:r>
      <w:r w:rsidRPr="00D440EE">
        <w:rPr>
          <w:bCs/>
          <w:color w:val="000000" w:themeColor="text1"/>
          <w:szCs w:val="28"/>
        </w:rPr>
        <w:t xml:space="preserve"> (от Структурните и Кохезионния фондове, от</w:t>
      </w:r>
      <w:r w:rsidRPr="00D440EE">
        <w:rPr>
          <w:color w:val="000000" w:themeColor="text1"/>
          <w:szCs w:val="28"/>
        </w:rPr>
        <w:t xml:space="preserve"> ЕЗФРСР и ЕФМДР</w:t>
      </w:r>
      <w:r w:rsidRPr="00D440EE">
        <w:rPr>
          <w:bCs/>
          <w:color w:val="000000" w:themeColor="text1"/>
          <w:szCs w:val="28"/>
        </w:rPr>
        <w:t xml:space="preserve">, от средства за директни плащания към земеделските производители и плащания по пазарни мерки и др.) за </w:t>
      </w:r>
      <w:r w:rsidR="00826E50" w:rsidRPr="00D440EE">
        <w:rPr>
          <w:bCs/>
          <w:color w:val="000000" w:themeColor="text1"/>
          <w:szCs w:val="28"/>
        </w:rPr>
        <w:t>деветмесечието на</w:t>
      </w:r>
      <w:r w:rsidRPr="00D440EE">
        <w:rPr>
          <w:color w:val="000000" w:themeColor="text1"/>
        </w:rPr>
        <w:t xml:space="preserve"> 2025 </w:t>
      </w:r>
      <w:r w:rsidRPr="00D440EE">
        <w:rPr>
          <w:bCs/>
          <w:color w:val="000000" w:themeColor="text1"/>
          <w:szCs w:val="28"/>
        </w:rPr>
        <w:t xml:space="preserve"> г. е </w:t>
      </w:r>
      <w:r w:rsidR="00D440EE" w:rsidRPr="00D440EE">
        <w:rPr>
          <w:b/>
          <w:bCs/>
          <w:color w:val="000000" w:themeColor="text1"/>
          <w:szCs w:val="28"/>
          <w:lang w:val="ru-RU"/>
        </w:rPr>
        <w:t>3</w:t>
      </w:r>
      <w:r w:rsidR="00D440EE" w:rsidRPr="00D440EE">
        <w:rPr>
          <w:b/>
          <w:bCs/>
          <w:color w:val="000000" w:themeColor="text1"/>
          <w:szCs w:val="28"/>
          <w:lang w:val="en-US"/>
        </w:rPr>
        <w:t> </w:t>
      </w:r>
      <w:r w:rsidR="00D440EE" w:rsidRPr="00D440EE">
        <w:rPr>
          <w:b/>
          <w:bCs/>
          <w:color w:val="000000" w:themeColor="text1"/>
          <w:szCs w:val="28"/>
        </w:rPr>
        <w:t>564,2</w:t>
      </w:r>
      <w:r w:rsidR="00782523" w:rsidRPr="00D440EE">
        <w:rPr>
          <w:b/>
          <w:bCs/>
          <w:color w:val="000000" w:themeColor="text1"/>
          <w:szCs w:val="28"/>
        </w:rPr>
        <w:t xml:space="preserve"> </w:t>
      </w:r>
      <w:r w:rsidRPr="00D440EE">
        <w:rPr>
          <w:b/>
          <w:bCs/>
          <w:color w:val="000000" w:themeColor="text1"/>
          <w:szCs w:val="28"/>
        </w:rPr>
        <w:t>млн. лв.</w:t>
      </w:r>
      <w:r w:rsidRPr="00D440EE">
        <w:rPr>
          <w:b/>
          <w:color w:val="000000" w:themeColor="text1"/>
          <w:szCs w:val="28"/>
        </w:rPr>
        <w:t xml:space="preserve"> </w:t>
      </w:r>
      <w:r w:rsidRPr="00D440EE">
        <w:rPr>
          <w:b/>
          <w:bCs/>
          <w:color w:val="000000" w:themeColor="text1"/>
          <w:szCs w:val="28"/>
        </w:rPr>
        <w:t xml:space="preserve">Нетните постъпления от ЕС към </w:t>
      </w:r>
      <w:r w:rsidR="00B92E53" w:rsidRPr="00D440EE">
        <w:rPr>
          <w:b/>
          <w:bCs/>
          <w:color w:val="000000" w:themeColor="text1"/>
          <w:szCs w:val="28"/>
        </w:rPr>
        <w:t>30</w:t>
      </w:r>
      <w:r w:rsidRPr="00D440EE">
        <w:rPr>
          <w:b/>
          <w:bCs/>
          <w:color w:val="000000" w:themeColor="text1"/>
          <w:szCs w:val="28"/>
        </w:rPr>
        <w:t>.</w:t>
      </w:r>
      <w:r w:rsidR="00B92E53" w:rsidRPr="00D440EE">
        <w:rPr>
          <w:b/>
          <w:bCs/>
          <w:color w:val="000000" w:themeColor="text1"/>
          <w:szCs w:val="28"/>
        </w:rPr>
        <w:t>0</w:t>
      </w:r>
      <w:r w:rsidR="00826E50" w:rsidRPr="00D440EE">
        <w:rPr>
          <w:b/>
          <w:bCs/>
          <w:color w:val="000000" w:themeColor="text1"/>
          <w:szCs w:val="28"/>
        </w:rPr>
        <w:t>9</w:t>
      </w:r>
      <w:r w:rsidRPr="00D440EE">
        <w:rPr>
          <w:b/>
          <w:bCs/>
          <w:color w:val="000000" w:themeColor="text1"/>
          <w:szCs w:val="28"/>
        </w:rPr>
        <w:t xml:space="preserve">.2025 г. </w:t>
      </w:r>
      <w:r w:rsidRPr="00D440EE">
        <w:rPr>
          <w:bCs/>
          <w:color w:val="000000" w:themeColor="text1"/>
          <w:szCs w:val="28"/>
        </w:rPr>
        <w:t xml:space="preserve">(касови постъпления от ЕС, намалени с вноската в общия бюджет на ЕС) са положителни в размер на </w:t>
      </w:r>
      <w:r w:rsidR="00D440EE" w:rsidRPr="00D440EE">
        <w:rPr>
          <w:b/>
          <w:bCs/>
          <w:color w:val="000000" w:themeColor="text1"/>
          <w:szCs w:val="28"/>
        </w:rPr>
        <w:t>2 092,8</w:t>
      </w:r>
      <w:r w:rsidRPr="00D440EE">
        <w:rPr>
          <w:b/>
          <w:bCs/>
          <w:color w:val="000000" w:themeColor="text1"/>
          <w:szCs w:val="28"/>
        </w:rPr>
        <w:t xml:space="preserve"> млн. лева</w:t>
      </w:r>
      <w:r w:rsidRPr="00D440EE">
        <w:rPr>
          <w:color w:val="000000" w:themeColor="text1"/>
          <w:sz w:val="22"/>
        </w:rPr>
        <w:t>.</w:t>
      </w:r>
    </w:p>
    <w:p w14:paraId="32F712BD" w14:textId="4B96A304" w:rsidR="00721ACD" w:rsidRPr="002924AD" w:rsidRDefault="001E2C12" w:rsidP="002924AD">
      <w:pPr>
        <w:pStyle w:val="ListParagraph"/>
        <w:numPr>
          <w:ilvl w:val="0"/>
          <w:numId w:val="31"/>
        </w:numPr>
        <w:tabs>
          <w:tab w:val="left" w:pos="426"/>
          <w:tab w:val="left" w:pos="567"/>
          <w:tab w:val="left" w:pos="2694"/>
        </w:tabs>
        <w:spacing w:before="120" w:line="240" w:lineRule="auto"/>
        <w:ind w:left="0" w:firstLine="0"/>
        <w:contextualSpacing w:val="0"/>
        <w:rPr>
          <w:rFonts w:ascii="Times New Roman" w:hAnsi="Times New Roman"/>
          <w:bCs/>
        </w:rPr>
      </w:pPr>
      <w:r w:rsidRPr="002924AD">
        <w:rPr>
          <w:rFonts w:ascii="Times New Roman" w:hAnsi="Times New Roman"/>
          <w:b/>
        </w:rPr>
        <w:t>Фискалният резерв</w:t>
      </w:r>
      <w:r w:rsidRPr="002924AD">
        <w:rPr>
          <w:rFonts w:ascii="Times New Roman" w:hAnsi="Times New Roman"/>
          <w:b/>
          <w:vertAlign w:val="superscript"/>
          <w:lang w:eastAsia="bg-BG"/>
        </w:rPr>
        <w:footnoteReference w:id="7"/>
      </w:r>
      <w:r w:rsidRPr="002924AD">
        <w:rPr>
          <w:rFonts w:ascii="Times New Roman" w:hAnsi="Times New Roman"/>
          <w:bCs/>
          <w:lang w:eastAsia="bg-BG"/>
        </w:rPr>
        <w:t xml:space="preserve"> </w:t>
      </w:r>
      <w:r w:rsidRPr="002924AD">
        <w:rPr>
          <w:rFonts w:ascii="Times New Roman" w:hAnsi="Times New Roman"/>
          <w:bCs/>
        </w:rPr>
        <w:t>към 30.0</w:t>
      </w:r>
      <w:r w:rsidR="00826E50" w:rsidRPr="002924AD">
        <w:rPr>
          <w:rFonts w:ascii="Times New Roman" w:hAnsi="Times New Roman"/>
          <w:bCs/>
        </w:rPr>
        <w:t>9</w:t>
      </w:r>
      <w:r w:rsidRPr="002924AD">
        <w:rPr>
          <w:rFonts w:ascii="Times New Roman" w:hAnsi="Times New Roman"/>
          <w:bCs/>
        </w:rPr>
        <w:t xml:space="preserve">.2025 г. е </w:t>
      </w:r>
      <w:r w:rsidR="00826E50" w:rsidRPr="002924AD">
        <w:rPr>
          <w:rFonts w:ascii="Times New Roman" w:hAnsi="Times New Roman"/>
          <w:b/>
          <w:bCs/>
        </w:rPr>
        <w:t>16 899,6 млн. лв.</w:t>
      </w:r>
      <w:r w:rsidR="00826E50" w:rsidRPr="002924AD">
        <w:rPr>
          <w:rFonts w:ascii="Times New Roman" w:hAnsi="Times New Roman"/>
          <w:bCs/>
        </w:rPr>
        <w:t>, в т. ч. 15 427,6 млн. лв. депозити на фискалния резерв в БНБ и банки и 1 472,0 млн. лв. вземания от фондовете на Европейския съюз за сертифицирани разходи, аванси и други.</w:t>
      </w:r>
      <w:r w:rsidR="00721ACD" w:rsidRPr="002924AD">
        <w:rPr>
          <w:rFonts w:ascii="Times New Roman" w:hAnsi="Times New Roman"/>
          <w:bCs/>
        </w:rPr>
        <w:t xml:space="preserve"> </w:t>
      </w:r>
      <w:r w:rsidR="00721ACD" w:rsidRPr="002924AD">
        <w:rPr>
          <w:rFonts w:ascii="Times New Roman" w:hAnsi="Times New Roman"/>
          <w:bCs/>
        </w:rPr>
        <w:br w:type="page"/>
      </w:r>
    </w:p>
    <w:p w14:paraId="471D8A73" w14:textId="2F172A10" w:rsidR="008969AB" w:rsidRPr="00F56BAE" w:rsidRDefault="008969AB" w:rsidP="00B92E5A">
      <w:pPr>
        <w:pStyle w:val="Heading1"/>
        <w:numPr>
          <w:ilvl w:val="0"/>
          <w:numId w:val="8"/>
        </w:numPr>
        <w:spacing w:before="360"/>
        <w:ind w:left="533" w:right="-108" w:hanging="391"/>
        <w:jc w:val="both"/>
        <w:rPr>
          <w:sz w:val="24"/>
        </w:rPr>
      </w:pPr>
      <w:r w:rsidRPr="00F56BAE">
        <w:rPr>
          <w:sz w:val="24"/>
        </w:rPr>
        <w:lastRenderedPageBreak/>
        <w:t>Изпълнение на държавния бюджет</w:t>
      </w:r>
      <w:r w:rsidRPr="00F56BAE">
        <w:rPr>
          <w:sz w:val="24"/>
          <w:vertAlign w:val="superscript"/>
          <w:lang w:eastAsia="bg-BG"/>
        </w:rPr>
        <w:footnoteReference w:id="8"/>
      </w:r>
      <w:r w:rsidRPr="00F56BAE">
        <w:rPr>
          <w:sz w:val="24"/>
        </w:rPr>
        <w:t xml:space="preserve"> за </w:t>
      </w:r>
      <w:r w:rsidR="00F56BAE" w:rsidRPr="00F56BAE">
        <w:rPr>
          <w:sz w:val="24"/>
        </w:rPr>
        <w:t>деветмесечието</w:t>
      </w:r>
      <w:r w:rsidR="009519A6" w:rsidRPr="00F56BAE">
        <w:rPr>
          <w:sz w:val="24"/>
        </w:rPr>
        <w:t xml:space="preserve"> </w:t>
      </w:r>
      <w:r w:rsidRPr="00F56BAE">
        <w:rPr>
          <w:sz w:val="24"/>
        </w:rPr>
        <w:t>на 2025 г.</w:t>
      </w:r>
    </w:p>
    <w:p w14:paraId="56FB874C" w14:textId="77777777" w:rsidR="00676777" w:rsidRPr="00E35F78" w:rsidRDefault="00676777" w:rsidP="00676777">
      <w:pPr>
        <w:pStyle w:val="BodyTextIndent"/>
        <w:tabs>
          <w:tab w:val="left" w:pos="1080"/>
        </w:tabs>
        <w:spacing w:before="120" w:after="0"/>
        <w:ind w:left="0"/>
        <w:jc w:val="both"/>
        <w:rPr>
          <w:b/>
          <w:bCs/>
          <w:sz w:val="20"/>
          <w:szCs w:val="20"/>
          <w:lang w:val="ru-RU"/>
        </w:rPr>
      </w:pPr>
      <w:r w:rsidRPr="00E35F78">
        <w:t>Изпълнението на основните показатели по държавния бюджет, на база месечните отчети на първостепенните разпоредители с бюджет е, както следва:</w:t>
      </w:r>
      <w:r w:rsidRPr="00E35F78">
        <w:rPr>
          <w:b/>
          <w:bCs/>
          <w:sz w:val="20"/>
          <w:szCs w:val="20"/>
          <w:lang w:val="ru-RU"/>
        </w:rPr>
        <w:t xml:space="preserve">   </w:t>
      </w:r>
    </w:p>
    <w:p w14:paraId="0A8244C8" w14:textId="77777777" w:rsidR="00676777" w:rsidRPr="00E92024" w:rsidRDefault="00676777" w:rsidP="00676777">
      <w:pPr>
        <w:pStyle w:val="BodyTextIndent"/>
        <w:tabs>
          <w:tab w:val="left" w:pos="1080"/>
        </w:tabs>
        <w:spacing w:before="120" w:after="0"/>
        <w:ind w:left="0"/>
        <w:jc w:val="both"/>
        <w:rPr>
          <w:b/>
          <w:bCs/>
          <w:sz w:val="20"/>
          <w:szCs w:val="20"/>
        </w:rPr>
      </w:pPr>
      <w:r w:rsidRPr="00E35F78">
        <w:rPr>
          <w:b/>
          <w:bCs/>
          <w:sz w:val="20"/>
          <w:szCs w:val="20"/>
          <w:lang w:val="ru-RU"/>
        </w:rPr>
        <w:t xml:space="preserve">     </w:t>
      </w:r>
      <w:r w:rsidRPr="00E35F78">
        <w:rPr>
          <w:b/>
          <w:bCs/>
          <w:sz w:val="20"/>
          <w:szCs w:val="20"/>
        </w:rPr>
        <w:t>Таблица</w:t>
      </w:r>
      <w:r w:rsidRPr="00E35F78">
        <w:rPr>
          <w:rStyle w:val="FootnoteReference"/>
        </w:rPr>
        <w:footnoteReference w:id="9"/>
      </w:r>
      <w:r w:rsidRPr="00E35F78">
        <w:rPr>
          <w:b/>
          <w:bCs/>
          <w:sz w:val="20"/>
          <w:szCs w:val="20"/>
        </w:rPr>
        <w:t xml:space="preserve">  №1      </w:t>
      </w:r>
      <w:r w:rsidRPr="00E35F78">
        <w:rPr>
          <w:b/>
          <w:bCs/>
          <w:sz w:val="20"/>
          <w:szCs w:val="20"/>
        </w:rPr>
        <w:tab/>
      </w:r>
      <w:r w:rsidRPr="00E35F78">
        <w:rPr>
          <w:b/>
          <w:bCs/>
          <w:sz w:val="20"/>
          <w:szCs w:val="20"/>
        </w:rPr>
        <w:tab/>
        <w:t xml:space="preserve">                                          </w:t>
      </w:r>
      <w:r w:rsidRPr="00E35F78">
        <w:rPr>
          <w:b/>
          <w:bCs/>
          <w:sz w:val="20"/>
          <w:szCs w:val="20"/>
        </w:rPr>
        <w:tab/>
      </w:r>
      <w:r w:rsidRPr="00E35F78">
        <w:rPr>
          <w:b/>
          <w:bCs/>
          <w:sz w:val="20"/>
          <w:szCs w:val="20"/>
        </w:rPr>
        <w:tab/>
      </w:r>
      <w:r w:rsidRPr="00E35F78">
        <w:rPr>
          <w:b/>
          <w:bCs/>
          <w:sz w:val="20"/>
          <w:szCs w:val="20"/>
        </w:rPr>
        <w:tab/>
      </w:r>
      <w:r w:rsidRPr="00E92024">
        <w:rPr>
          <w:b/>
          <w:bCs/>
          <w:sz w:val="20"/>
          <w:szCs w:val="20"/>
        </w:rPr>
        <w:tab/>
      </w:r>
      <w:r w:rsidRPr="00E92024">
        <w:rPr>
          <w:b/>
          <w:bCs/>
          <w:sz w:val="20"/>
          <w:szCs w:val="20"/>
        </w:rPr>
        <w:tab/>
      </w:r>
      <w:r w:rsidRPr="00E92024">
        <w:rPr>
          <w:b/>
          <w:bCs/>
          <w:sz w:val="20"/>
          <w:szCs w:val="20"/>
        </w:rPr>
        <w:tab/>
        <w:t>(млн. лв.)</w:t>
      </w:r>
    </w:p>
    <w:tbl>
      <w:tblPr>
        <w:tblW w:w="9050" w:type="dxa"/>
        <w:jc w:val="center"/>
        <w:tblCellMar>
          <w:left w:w="70" w:type="dxa"/>
          <w:right w:w="70" w:type="dxa"/>
        </w:tblCellMar>
        <w:tblLook w:val="0000" w:firstRow="0" w:lastRow="0" w:firstColumn="0" w:lastColumn="0" w:noHBand="0" w:noVBand="0"/>
      </w:tblPr>
      <w:tblGrid>
        <w:gridCol w:w="4854"/>
        <w:gridCol w:w="1276"/>
        <w:gridCol w:w="1616"/>
        <w:gridCol w:w="1304"/>
      </w:tblGrid>
      <w:tr w:rsidR="00676777" w:rsidRPr="005773D6" w14:paraId="34762DF3" w14:textId="77777777" w:rsidTr="00D94DB2">
        <w:trPr>
          <w:trHeight w:val="520"/>
          <w:jc w:val="center"/>
        </w:trPr>
        <w:tc>
          <w:tcPr>
            <w:tcW w:w="4854" w:type="dxa"/>
            <w:tcBorders>
              <w:top w:val="single" w:sz="8" w:space="0" w:color="auto"/>
              <w:left w:val="single" w:sz="8" w:space="0" w:color="auto"/>
              <w:bottom w:val="nil"/>
              <w:right w:val="single" w:sz="8" w:space="0" w:color="auto"/>
            </w:tcBorders>
            <w:shd w:val="clear" w:color="auto" w:fill="auto"/>
            <w:noWrap/>
            <w:vAlign w:val="center"/>
          </w:tcPr>
          <w:p w14:paraId="42955BC9" w14:textId="77777777" w:rsidR="00676777" w:rsidRPr="00E92024" w:rsidRDefault="00676777" w:rsidP="00D94DB2">
            <w:pPr>
              <w:jc w:val="center"/>
              <w:rPr>
                <w:b/>
                <w:bCs/>
                <w:sz w:val="18"/>
                <w:szCs w:val="18"/>
              </w:rPr>
            </w:pPr>
            <w:r w:rsidRPr="00E92024">
              <w:rPr>
                <w:b/>
                <w:bCs/>
                <w:sz w:val="18"/>
                <w:szCs w:val="18"/>
              </w:rPr>
              <w:t>ПОКАЗАТЕЛИ</w:t>
            </w:r>
          </w:p>
        </w:tc>
        <w:tc>
          <w:tcPr>
            <w:tcW w:w="1276" w:type="dxa"/>
            <w:tcBorders>
              <w:top w:val="single" w:sz="8" w:space="0" w:color="auto"/>
              <w:left w:val="nil"/>
              <w:bottom w:val="single" w:sz="4" w:space="0" w:color="auto"/>
              <w:right w:val="nil"/>
            </w:tcBorders>
            <w:shd w:val="clear" w:color="auto" w:fill="auto"/>
            <w:vAlign w:val="center"/>
          </w:tcPr>
          <w:p w14:paraId="76EF1185" w14:textId="77777777" w:rsidR="00676777" w:rsidRPr="00E35F78" w:rsidRDefault="00676777" w:rsidP="00D94DB2">
            <w:pPr>
              <w:jc w:val="center"/>
              <w:rPr>
                <w:b/>
                <w:bCs/>
                <w:sz w:val="18"/>
                <w:szCs w:val="18"/>
              </w:rPr>
            </w:pPr>
            <w:r w:rsidRPr="00E35F78">
              <w:rPr>
                <w:b/>
                <w:bCs/>
                <w:sz w:val="18"/>
                <w:szCs w:val="18"/>
              </w:rPr>
              <w:t xml:space="preserve">ЗДБРБ    </w:t>
            </w:r>
            <w:r w:rsidRPr="00E35F78">
              <w:rPr>
                <w:b/>
                <w:bCs/>
                <w:sz w:val="18"/>
                <w:szCs w:val="18"/>
                <w:highlight w:val="yellow"/>
              </w:rPr>
              <w:t xml:space="preserve"> </w:t>
            </w:r>
            <w:r w:rsidRPr="00E35F78">
              <w:rPr>
                <w:b/>
                <w:bCs/>
                <w:sz w:val="18"/>
                <w:szCs w:val="18"/>
              </w:rPr>
              <w:t>2025 г.</w:t>
            </w:r>
          </w:p>
        </w:tc>
        <w:tc>
          <w:tcPr>
            <w:tcW w:w="1616" w:type="dxa"/>
            <w:tcBorders>
              <w:top w:val="single" w:sz="8" w:space="0" w:color="auto"/>
              <w:left w:val="nil"/>
              <w:bottom w:val="single" w:sz="4" w:space="0" w:color="auto"/>
              <w:right w:val="nil"/>
            </w:tcBorders>
            <w:shd w:val="clear" w:color="auto" w:fill="auto"/>
            <w:vAlign w:val="center"/>
          </w:tcPr>
          <w:p w14:paraId="4C8023E9" w14:textId="77777777" w:rsidR="00676777" w:rsidRPr="006836F9" w:rsidRDefault="00676777" w:rsidP="00D94DB2">
            <w:pPr>
              <w:jc w:val="center"/>
              <w:rPr>
                <w:b/>
                <w:bCs/>
                <w:sz w:val="18"/>
                <w:szCs w:val="18"/>
              </w:rPr>
            </w:pPr>
            <w:r w:rsidRPr="006836F9">
              <w:rPr>
                <w:b/>
                <w:bCs/>
                <w:sz w:val="18"/>
                <w:szCs w:val="18"/>
              </w:rPr>
              <w:t xml:space="preserve">Отчет </w:t>
            </w:r>
          </w:p>
          <w:p w14:paraId="6AEE8094" w14:textId="77777777" w:rsidR="00676777" w:rsidRPr="006836F9" w:rsidRDefault="00676777" w:rsidP="00D94DB2">
            <w:pPr>
              <w:jc w:val="center"/>
              <w:rPr>
                <w:b/>
                <w:bCs/>
                <w:sz w:val="18"/>
                <w:szCs w:val="18"/>
              </w:rPr>
            </w:pPr>
            <w:r w:rsidRPr="006836F9">
              <w:rPr>
                <w:b/>
                <w:bCs/>
                <w:sz w:val="18"/>
                <w:szCs w:val="18"/>
              </w:rPr>
              <w:t>септември 2025 г.</w:t>
            </w:r>
          </w:p>
        </w:tc>
        <w:tc>
          <w:tcPr>
            <w:tcW w:w="1304" w:type="dxa"/>
            <w:tcBorders>
              <w:top w:val="single" w:sz="8" w:space="0" w:color="auto"/>
              <w:left w:val="nil"/>
              <w:bottom w:val="single" w:sz="4" w:space="0" w:color="auto"/>
              <w:right w:val="single" w:sz="8" w:space="0" w:color="auto"/>
            </w:tcBorders>
            <w:shd w:val="clear" w:color="auto" w:fill="auto"/>
            <w:vAlign w:val="center"/>
          </w:tcPr>
          <w:p w14:paraId="5AC78CEC" w14:textId="77777777" w:rsidR="00676777" w:rsidRPr="006836F9" w:rsidRDefault="00676777" w:rsidP="00D94DB2">
            <w:pPr>
              <w:jc w:val="center"/>
              <w:rPr>
                <w:b/>
                <w:bCs/>
                <w:sz w:val="18"/>
                <w:szCs w:val="18"/>
              </w:rPr>
            </w:pPr>
            <w:r w:rsidRPr="006836F9">
              <w:rPr>
                <w:b/>
                <w:bCs/>
                <w:sz w:val="18"/>
                <w:szCs w:val="18"/>
              </w:rPr>
              <w:t>Изпълнение спрямо ЗДБРБ 2025 г.</w:t>
            </w:r>
          </w:p>
        </w:tc>
      </w:tr>
      <w:tr w:rsidR="00676777" w:rsidRPr="005773D6" w14:paraId="52920729" w14:textId="77777777" w:rsidTr="00D94DB2">
        <w:trPr>
          <w:trHeight w:val="92"/>
          <w:jc w:val="center"/>
        </w:trPr>
        <w:tc>
          <w:tcPr>
            <w:tcW w:w="4854"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4CD928D" w14:textId="77777777" w:rsidR="00676777" w:rsidRPr="00DD6E1A" w:rsidRDefault="00676777" w:rsidP="00D94DB2">
            <w:pPr>
              <w:rPr>
                <w:b/>
                <w:bCs/>
                <w:sz w:val="18"/>
                <w:szCs w:val="18"/>
              </w:rPr>
            </w:pPr>
            <w:r w:rsidRPr="00DD6E1A">
              <w:rPr>
                <w:b/>
                <w:bCs/>
                <w:sz w:val="18"/>
                <w:szCs w:val="18"/>
              </w:rPr>
              <w:t>Общо приходи, помощи и дарения</w:t>
            </w:r>
          </w:p>
        </w:tc>
        <w:tc>
          <w:tcPr>
            <w:tcW w:w="1276" w:type="dxa"/>
            <w:tcBorders>
              <w:top w:val="single" w:sz="4" w:space="0" w:color="auto"/>
              <w:left w:val="single" w:sz="4" w:space="0" w:color="auto"/>
              <w:bottom w:val="single" w:sz="4" w:space="0" w:color="auto"/>
            </w:tcBorders>
            <w:shd w:val="clear" w:color="auto" w:fill="auto"/>
            <w:noWrap/>
            <w:vAlign w:val="bottom"/>
          </w:tcPr>
          <w:p w14:paraId="4D7C0BCE" w14:textId="77777777" w:rsidR="00676777" w:rsidRPr="00E35F78" w:rsidRDefault="00676777" w:rsidP="00D94DB2">
            <w:pPr>
              <w:jc w:val="right"/>
              <w:rPr>
                <w:b/>
                <w:bCs/>
                <w:sz w:val="18"/>
                <w:szCs w:val="18"/>
              </w:rPr>
            </w:pPr>
            <w:r w:rsidRPr="00E35F78">
              <w:rPr>
                <w:b/>
                <w:bCs/>
                <w:sz w:val="18"/>
                <w:szCs w:val="18"/>
              </w:rPr>
              <w:t>55 168,4</w:t>
            </w:r>
          </w:p>
        </w:tc>
        <w:tc>
          <w:tcPr>
            <w:tcW w:w="1616" w:type="dxa"/>
            <w:tcBorders>
              <w:top w:val="nil"/>
              <w:left w:val="nil"/>
              <w:bottom w:val="nil"/>
              <w:right w:val="nil"/>
            </w:tcBorders>
            <w:shd w:val="clear" w:color="auto" w:fill="auto"/>
            <w:noWrap/>
            <w:vAlign w:val="bottom"/>
          </w:tcPr>
          <w:p w14:paraId="2ADDBCD9" w14:textId="77777777" w:rsidR="00676777" w:rsidRDefault="00676777" w:rsidP="00D94DB2">
            <w:pPr>
              <w:jc w:val="right"/>
              <w:rPr>
                <w:b/>
                <w:bCs/>
                <w:sz w:val="18"/>
                <w:szCs w:val="18"/>
              </w:rPr>
            </w:pPr>
            <w:r>
              <w:rPr>
                <w:b/>
                <w:bCs/>
                <w:sz w:val="18"/>
                <w:szCs w:val="18"/>
              </w:rPr>
              <w:t>36 989,2</w:t>
            </w:r>
          </w:p>
        </w:tc>
        <w:tc>
          <w:tcPr>
            <w:tcW w:w="1304" w:type="dxa"/>
            <w:tcBorders>
              <w:top w:val="single" w:sz="4" w:space="0" w:color="auto"/>
              <w:left w:val="nil"/>
              <w:bottom w:val="nil"/>
              <w:right w:val="single" w:sz="8" w:space="0" w:color="auto"/>
            </w:tcBorders>
            <w:shd w:val="clear" w:color="auto" w:fill="auto"/>
            <w:noWrap/>
            <w:vAlign w:val="bottom"/>
          </w:tcPr>
          <w:p w14:paraId="17A29099" w14:textId="77777777" w:rsidR="00676777" w:rsidRDefault="00676777" w:rsidP="00D94DB2">
            <w:pPr>
              <w:jc w:val="right"/>
              <w:rPr>
                <w:b/>
                <w:bCs/>
                <w:sz w:val="18"/>
                <w:szCs w:val="18"/>
              </w:rPr>
            </w:pPr>
            <w:r>
              <w:rPr>
                <w:b/>
                <w:bCs/>
                <w:sz w:val="18"/>
                <w:szCs w:val="18"/>
              </w:rPr>
              <w:t>67,0%</w:t>
            </w:r>
          </w:p>
        </w:tc>
      </w:tr>
      <w:tr w:rsidR="00676777" w:rsidRPr="005773D6" w14:paraId="10883D4B" w14:textId="77777777" w:rsidTr="00D94DB2">
        <w:trPr>
          <w:trHeight w:val="80"/>
          <w:jc w:val="center"/>
        </w:trPr>
        <w:tc>
          <w:tcPr>
            <w:tcW w:w="4854" w:type="dxa"/>
            <w:tcBorders>
              <w:top w:val="single" w:sz="4" w:space="0" w:color="auto"/>
              <w:left w:val="single" w:sz="8" w:space="0" w:color="auto"/>
              <w:bottom w:val="nil"/>
              <w:right w:val="single" w:sz="8" w:space="0" w:color="auto"/>
            </w:tcBorders>
            <w:shd w:val="clear" w:color="auto" w:fill="auto"/>
            <w:noWrap/>
            <w:vAlign w:val="bottom"/>
          </w:tcPr>
          <w:p w14:paraId="472997F8" w14:textId="77777777" w:rsidR="00676777" w:rsidRPr="00E92024" w:rsidRDefault="00676777" w:rsidP="00D94DB2">
            <w:pPr>
              <w:rPr>
                <w:sz w:val="18"/>
                <w:szCs w:val="18"/>
              </w:rPr>
            </w:pPr>
            <w:r w:rsidRPr="00E92024">
              <w:rPr>
                <w:sz w:val="18"/>
                <w:szCs w:val="18"/>
              </w:rPr>
              <w:t xml:space="preserve">   -Данъчни приходи</w:t>
            </w:r>
          </w:p>
        </w:tc>
        <w:tc>
          <w:tcPr>
            <w:tcW w:w="1276" w:type="dxa"/>
            <w:tcBorders>
              <w:top w:val="single" w:sz="4" w:space="0" w:color="auto"/>
              <w:left w:val="nil"/>
              <w:bottom w:val="nil"/>
            </w:tcBorders>
            <w:shd w:val="clear" w:color="auto" w:fill="auto"/>
            <w:noWrap/>
          </w:tcPr>
          <w:p w14:paraId="21B7EA66" w14:textId="77777777" w:rsidR="00676777" w:rsidRPr="00E35F78" w:rsidRDefault="00676777" w:rsidP="00D94DB2">
            <w:pPr>
              <w:jc w:val="right"/>
              <w:rPr>
                <w:sz w:val="18"/>
                <w:szCs w:val="18"/>
              </w:rPr>
            </w:pPr>
            <w:r w:rsidRPr="00E35F78">
              <w:rPr>
                <w:sz w:val="18"/>
                <w:szCs w:val="18"/>
              </w:rPr>
              <w:t>48 187,2</w:t>
            </w:r>
          </w:p>
        </w:tc>
        <w:tc>
          <w:tcPr>
            <w:tcW w:w="1616" w:type="dxa"/>
            <w:tcBorders>
              <w:top w:val="single" w:sz="4" w:space="0" w:color="auto"/>
            </w:tcBorders>
            <w:shd w:val="clear" w:color="auto" w:fill="auto"/>
            <w:noWrap/>
            <w:vAlign w:val="bottom"/>
          </w:tcPr>
          <w:p w14:paraId="27A814B6" w14:textId="77777777" w:rsidR="00676777" w:rsidRDefault="00676777" w:rsidP="00D94DB2">
            <w:pPr>
              <w:jc w:val="right"/>
              <w:rPr>
                <w:b/>
                <w:bCs/>
                <w:sz w:val="18"/>
                <w:szCs w:val="18"/>
              </w:rPr>
            </w:pPr>
            <w:r>
              <w:rPr>
                <w:b/>
                <w:bCs/>
                <w:sz w:val="18"/>
                <w:szCs w:val="18"/>
              </w:rPr>
              <w:t>31 406,0</w:t>
            </w:r>
          </w:p>
        </w:tc>
        <w:tc>
          <w:tcPr>
            <w:tcW w:w="1304" w:type="dxa"/>
            <w:tcBorders>
              <w:top w:val="single" w:sz="4" w:space="0" w:color="auto"/>
              <w:right w:val="single" w:sz="4" w:space="0" w:color="auto"/>
            </w:tcBorders>
            <w:shd w:val="clear" w:color="auto" w:fill="auto"/>
            <w:noWrap/>
            <w:vAlign w:val="bottom"/>
          </w:tcPr>
          <w:p w14:paraId="762F52CB" w14:textId="77777777" w:rsidR="00676777" w:rsidRDefault="00676777" w:rsidP="00D94DB2">
            <w:pPr>
              <w:jc w:val="right"/>
              <w:rPr>
                <w:b/>
                <w:bCs/>
                <w:sz w:val="18"/>
                <w:szCs w:val="18"/>
              </w:rPr>
            </w:pPr>
            <w:r>
              <w:rPr>
                <w:b/>
                <w:bCs/>
                <w:sz w:val="18"/>
                <w:szCs w:val="18"/>
              </w:rPr>
              <w:t>65,2%</w:t>
            </w:r>
          </w:p>
        </w:tc>
      </w:tr>
      <w:tr w:rsidR="00676777" w:rsidRPr="005773D6" w14:paraId="4F04CF2B" w14:textId="77777777" w:rsidTr="00D94DB2">
        <w:trPr>
          <w:trHeight w:val="80"/>
          <w:jc w:val="center"/>
        </w:trPr>
        <w:tc>
          <w:tcPr>
            <w:tcW w:w="4854" w:type="dxa"/>
            <w:tcBorders>
              <w:left w:val="single" w:sz="8" w:space="0" w:color="auto"/>
              <w:right w:val="single" w:sz="8" w:space="0" w:color="auto"/>
            </w:tcBorders>
            <w:shd w:val="clear" w:color="auto" w:fill="auto"/>
            <w:noWrap/>
            <w:vAlign w:val="bottom"/>
          </w:tcPr>
          <w:p w14:paraId="55A43059" w14:textId="77777777" w:rsidR="00676777" w:rsidRPr="00E92024" w:rsidRDefault="00676777" w:rsidP="00D94DB2">
            <w:pPr>
              <w:rPr>
                <w:sz w:val="18"/>
                <w:szCs w:val="18"/>
              </w:rPr>
            </w:pPr>
            <w:r w:rsidRPr="00E92024">
              <w:rPr>
                <w:sz w:val="18"/>
                <w:szCs w:val="18"/>
              </w:rPr>
              <w:t xml:space="preserve">      Корпоративни данъци</w:t>
            </w:r>
          </w:p>
        </w:tc>
        <w:tc>
          <w:tcPr>
            <w:tcW w:w="1276" w:type="dxa"/>
            <w:tcBorders>
              <w:left w:val="nil"/>
              <w:bottom w:val="nil"/>
            </w:tcBorders>
            <w:shd w:val="clear" w:color="auto" w:fill="auto"/>
            <w:noWrap/>
          </w:tcPr>
          <w:p w14:paraId="16DFB8D3" w14:textId="77777777" w:rsidR="00676777" w:rsidRPr="00E35F78" w:rsidRDefault="00676777" w:rsidP="00D94DB2">
            <w:pPr>
              <w:jc w:val="right"/>
              <w:rPr>
                <w:sz w:val="18"/>
                <w:szCs w:val="18"/>
              </w:rPr>
            </w:pPr>
            <w:r w:rsidRPr="00E35F78">
              <w:rPr>
                <w:sz w:val="18"/>
                <w:szCs w:val="18"/>
              </w:rPr>
              <w:t>6 619,4</w:t>
            </w:r>
          </w:p>
        </w:tc>
        <w:tc>
          <w:tcPr>
            <w:tcW w:w="1616" w:type="dxa"/>
            <w:shd w:val="clear" w:color="auto" w:fill="auto"/>
            <w:noWrap/>
            <w:vAlign w:val="bottom"/>
          </w:tcPr>
          <w:p w14:paraId="1FC23F1C" w14:textId="77777777" w:rsidR="00676777" w:rsidRDefault="00676777" w:rsidP="00D94DB2">
            <w:pPr>
              <w:jc w:val="right"/>
              <w:rPr>
                <w:sz w:val="18"/>
                <w:szCs w:val="18"/>
              </w:rPr>
            </w:pPr>
            <w:r>
              <w:rPr>
                <w:sz w:val="18"/>
                <w:szCs w:val="18"/>
              </w:rPr>
              <w:t>4 193,5</w:t>
            </w:r>
          </w:p>
        </w:tc>
        <w:tc>
          <w:tcPr>
            <w:tcW w:w="1304" w:type="dxa"/>
            <w:tcBorders>
              <w:right w:val="single" w:sz="4" w:space="0" w:color="auto"/>
            </w:tcBorders>
            <w:shd w:val="clear" w:color="auto" w:fill="auto"/>
            <w:noWrap/>
            <w:vAlign w:val="bottom"/>
          </w:tcPr>
          <w:p w14:paraId="79FBE172" w14:textId="77777777" w:rsidR="00676777" w:rsidRDefault="00676777" w:rsidP="00D94DB2">
            <w:pPr>
              <w:jc w:val="right"/>
              <w:rPr>
                <w:sz w:val="18"/>
                <w:szCs w:val="18"/>
              </w:rPr>
            </w:pPr>
            <w:r>
              <w:rPr>
                <w:sz w:val="18"/>
                <w:szCs w:val="18"/>
              </w:rPr>
              <w:t>63,4%</w:t>
            </w:r>
          </w:p>
        </w:tc>
      </w:tr>
      <w:tr w:rsidR="00676777" w:rsidRPr="005773D6" w14:paraId="5923CB19" w14:textId="77777777" w:rsidTr="00D94DB2">
        <w:trPr>
          <w:trHeight w:val="165"/>
          <w:jc w:val="center"/>
        </w:trPr>
        <w:tc>
          <w:tcPr>
            <w:tcW w:w="4854" w:type="dxa"/>
            <w:tcBorders>
              <w:left w:val="single" w:sz="8" w:space="0" w:color="auto"/>
              <w:right w:val="single" w:sz="8" w:space="0" w:color="auto"/>
            </w:tcBorders>
            <w:shd w:val="clear" w:color="auto" w:fill="auto"/>
            <w:noWrap/>
            <w:vAlign w:val="bottom"/>
          </w:tcPr>
          <w:p w14:paraId="068C8F19" w14:textId="77777777" w:rsidR="00676777" w:rsidRPr="00E92024" w:rsidRDefault="00676777" w:rsidP="00D94DB2">
            <w:pPr>
              <w:rPr>
                <w:sz w:val="18"/>
                <w:szCs w:val="18"/>
              </w:rPr>
            </w:pPr>
            <w:r w:rsidRPr="00E92024">
              <w:rPr>
                <w:sz w:val="18"/>
                <w:szCs w:val="18"/>
              </w:rPr>
              <w:t xml:space="preserve">     </w:t>
            </w:r>
            <w:r w:rsidRPr="00E92024">
              <w:rPr>
                <w:sz w:val="18"/>
                <w:szCs w:val="18"/>
                <w:lang w:val="en-US"/>
              </w:rPr>
              <w:t xml:space="preserve"> </w:t>
            </w:r>
            <w:r w:rsidRPr="00E92024">
              <w:rPr>
                <w:sz w:val="18"/>
                <w:szCs w:val="18"/>
              </w:rPr>
              <w:t>ДДФЛ</w:t>
            </w:r>
          </w:p>
        </w:tc>
        <w:tc>
          <w:tcPr>
            <w:tcW w:w="1276" w:type="dxa"/>
            <w:tcBorders>
              <w:left w:val="nil"/>
              <w:bottom w:val="nil"/>
            </w:tcBorders>
            <w:shd w:val="clear" w:color="auto" w:fill="auto"/>
            <w:noWrap/>
          </w:tcPr>
          <w:p w14:paraId="595A69D4" w14:textId="77777777" w:rsidR="00676777" w:rsidRPr="00E35F78" w:rsidRDefault="00676777" w:rsidP="00D94DB2">
            <w:pPr>
              <w:jc w:val="right"/>
              <w:rPr>
                <w:sz w:val="18"/>
                <w:szCs w:val="18"/>
              </w:rPr>
            </w:pPr>
            <w:r w:rsidRPr="00E35F78">
              <w:rPr>
                <w:sz w:val="18"/>
                <w:szCs w:val="18"/>
              </w:rPr>
              <w:t>7 972,1</w:t>
            </w:r>
          </w:p>
        </w:tc>
        <w:tc>
          <w:tcPr>
            <w:tcW w:w="1616" w:type="dxa"/>
            <w:tcBorders>
              <w:top w:val="nil"/>
            </w:tcBorders>
            <w:shd w:val="clear" w:color="auto" w:fill="auto"/>
            <w:noWrap/>
            <w:vAlign w:val="bottom"/>
          </w:tcPr>
          <w:p w14:paraId="7C9AC93F" w14:textId="77777777" w:rsidR="00676777" w:rsidRDefault="00676777" w:rsidP="00D94DB2">
            <w:pPr>
              <w:jc w:val="right"/>
              <w:rPr>
                <w:sz w:val="18"/>
                <w:szCs w:val="18"/>
              </w:rPr>
            </w:pPr>
            <w:r>
              <w:rPr>
                <w:sz w:val="18"/>
                <w:szCs w:val="18"/>
              </w:rPr>
              <w:t>5 952,3</w:t>
            </w:r>
          </w:p>
        </w:tc>
        <w:tc>
          <w:tcPr>
            <w:tcW w:w="1304" w:type="dxa"/>
            <w:tcBorders>
              <w:top w:val="nil"/>
              <w:right w:val="single" w:sz="4" w:space="0" w:color="auto"/>
            </w:tcBorders>
            <w:shd w:val="clear" w:color="auto" w:fill="auto"/>
            <w:noWrap/>
            <w:vAlign w:val="bottom"/>
          </w:tcPr>
          <w:p w14:paraId="592770EB" w14:textId="77777777" w:rsidR="00676777" w:rsidRDefault="00676777" w:rsidP="00D94DB2">
            <w:pPr>
              <w:jc w:val="right"/>
              <w:rPr>
                <w:sz w:val="18"/>
                <w:szCs w:val="18"/>
              </w:rPr>
            </w:pPr>
            <w:r>
              <w:rPr>
                <w:sz w:val="18"/>
                <w:szCs w:val="18"/>
              </w:rPr>
              <w:t>74,7%</w:t>
            </w:r>
          </w:p>
        </w:tc>
      </w:tr>
      <w:tr w:rsidR="00676777" w:rsidRPr="005773D6" w14:paraId="02C7FBBA" w14:textId="77777777" w:rsidTr="00D94DB2">
        <w:trPr>
          <w:trHeight w:val="165"/>
          <w:jc w:val="center"/>
        </w:trPr>
        <w:tc>
          <w:tcPr>
            <w:tcW w:w="4854" w:type="dxa"/>
            <w:tcBorders>
              <w:left w:val="single" w:sz="8" w:space="0" w:color="auto"/>
              <w:right w:val="single" w:sz="8" w:space="0" w:color="auto"/>
            </w:tcBorders>
            <w:shd w:val="clear" w:color="auto" w:fill="auto"/>
            <w:noWrap/>
            <w:vAlign w:val="bottom"/>
          </w:tcPr>
          <w:p w14:paraId="4D337538" w14:textId="77777777" w:rsidR="00676777" w:rsidRPr="00E92024" w:rsidRDefault="00676777" w:rsidP="00D94DB2">
            <w:pPr>
              <w:rPr>
                <w:sz w:val="18"/>
                <w:szCs w:val="18"/>
              </w:rPr>
            </w:pPr>
            <w:r w:rsidRPr="00E92024">
              <w:rPr>
                <w:sz w:val="18"/>
                <w:szCs w:val="18"/>
              </w:rPr>
              <w:t xml:space="preserve">     </w:t>
            </w:r>
            <w:r w:rsidRPr="00E92024">
              <w:rPr>
                <w:sz w:val="18"/>
                <w:szCs w:val="18"/>
                <w:lang w:val="en-US"/>
              </w:rPr>
              <w:t xml:space="preserve"> </w:t>
            </w:r>
            <w:r w:rsidRPr="00E92024">
              <w:rPr>
                <w:sz w:val="18"/>
                <w:szCs w:val="18"/>
              </w:rPr>
              <w:t>ДДС</w:t>
            </w:r>
          </w:p>
        </w:tc>
        <w:tc>
          <w:tcPr>
            <w:tcW w:w="1276" w:type="dxa"/>
            <w:tcBorders>
              <w:left w:val="nil"/>
              <w:bottom w:val="nil"/>
            </w:tcBorders>
            <w:shd w:val="clear" w:color="auto" w:fill="auto"/>
            <w:noWrap/>
          </w:tcPr>
          <w:p w14:paraId="4A24B7D7" w14:textId="77777777" w:rsidR="00676777" w:rsidRPr="00E35F78" w:rsidRDefault="00676777" w:rsidP="00D94DB2">
            <w:pPr>
              <w:jc w:val="right"/>
              <w:rPr>
                <w:sz w:val="18"/>
                <w:szCs w:val="18"/>
              </w:rPr>
            </w:pPr>
            <w:r w:rsidRPr="00E35F78">
              <w:rPr>
                <w:sz w:val="18"/>
                <w:szCs w:val="18"/>
              </w:rPr>
              <w:t>24 833,6</w:t>
            </w:r>
          </w:p>
        </w:tc>
        <w:tc>
          <w:tcPr>
            <w:tcW w:w="1616" w:type="dxa"/>
            <w:tcBorders>
              <w:top w:val="nil"/>
            </w:tcBorders>
            <w:shd w:val="clear" w:color="auto" w:fill="auto"/>
            <w:noWrap/>
            <w:vAlign w:val="bottom"/>
          </w:tcPr>
          <w:p w14:paraId="7DAD8C6B" w14:textId="77777777" w:rsidR="00676777" w:rsidRDefault="00676777" w:rsidP="00D94DB2">
            <w:pPr>
              <w:jc w:val="right"/>
              <w:rPr>
                <w:sz w:val="18"/>
                <w:szCs w:val="18"/>
              </w:rPr>
            </w:pPr>
            <w:r>
              <w:rPr>
                <w:sz w:val="18"/>
                <w:szCs w:val="18"/>
              </w:rPr>
              <w:t>15 388,8</w:t>
            </w:r>
          </w:p>
        </w:tc>
        <w:tc>
          <w:tcPr>
            <w:tcW w:w="1304" w:type="dxa"/>
            <w:tcBorders>
              <w:top w:val="nil"/>
              <w:right w:val="single" w:sz="4" w:space="0" w:color="auto"/>
            </w:tcBorders>
            <w:shd w:val="clear" w:color="auto" w:fill="auto"/>
            <w:noWrap/>
            <w:vAlign w:val="bottom"/>
          </w:tcPr>
          <w:p w14:paraId="05F0D27F" w14:textId="77777777" w:rsidR="00676777" w:rsidRDefault="00676777" w:rsidP="00D94DB2">
            <w:pPr>
              <w:jc w:val="right"/>
              <w:rPr>
                <w:sz w:val="18"/>
                <w:szCs w:val="18"/>
              </w:rPr>
            </w:pPr>
            <w:r>
              <w:rPr>
                <w:sz w:val="18"/>
                <w:szCs w:val="18"/>
              </w:rPr>
              <w:t>62,0%</w:t>
            </w:r>
          </w:p>
        </w:tc>
      </w:tr>
      <w:tr w:rsidR="00676777" w:rsidRPr="005773D6" w14:paraId="6C14F048" w14:textId="77777777" w:rsidTr="00D94DB2">
        <w:trPr>
          <w:trHeight w:val="165"/>
          <w:jc w:val="center"/>
        </w:trPr>
        <w:tc>
          <w:tcPr>
            <w:tcW w:w="4854" w:type="dxa"/>
            <w:tcBorders>
              <w:left w:val="single" w:sz="8" w:space="0" w:color="auto"/>
              <w:right w:val="single" w:sz="8" w:space="0" w:color="auto"/>
            </w:tcBorders>
            <w:shd w:val="clear" w:color="auto" w:fill="auto"/>
            <w:noWrap/>
            <w:vAlign w:val="bottom"/>
          </w:tcPr>
          <w:p w14:paraId="4D10BAC7" w14:textId="77777777" w:rsidR="00676777" w:rsidRPr="00E92024" w:rsidRDefault="00676777" w:rsidP="00D94DB2">
            <w:pPr>
              <w:rPr>
                <w:sz w:val="18"/>
                <w:szCs w:val="18"/>
              </w:rPr>
            </w:pPr>
            <w:r w:rsidRPr="00E92024">
              <w:rPr>
                <w:sz w:val="18"/>
                <w:szCs w:val="18"/>
              </w:rPr>
              <w:t xml:space="preserve">     </w:t>
            </w:r>
            <w:r w:rsidRPr="00E92024">
              <w:rPr>
                <w:sz w:val="18"/>
                <w:szCs w:val="18"/>
                <w:lang w:val="en-US"/>
              </w:rPr>
              <w:t xml:space="preserve"> </w:t>
            </w:r>
            <w:r w:rsidRPr="00E92024">
              <w:rPr>
                <w:sz w:val="18"/>
                <w:szCs w:val="18"/>
              </w:rPr>
              <w:t xml:space="preserve">Акцизи </w:t>
            </w:r>
          </w:p>
        </w:tc>
        <w:tc>
          <w:tcPr>
            <w:tcW w:w="1276" w:type="dxa"/>
            <w:tcBorders>
              <w:left w:val="nil"/>
              <w:bottom w:val="nil"/>
            </w:tcBorders>
            <w:shd w:val="clear" w:color="auto" w:fill="auto"/>
            <w:noWrap/>
          </w:tcPr>
          <w:p w14:paraId="15DA4495" w14:textId="77777777" w:rsidR="00676777" w:rsidRPr="00E35F78" w:rsidRDefault="00676777" w:rsidP="00D94DB2">
            <w:pPr>
              <w:jc w:val="right"/>
              <w:rPr>
                <w:sz w:val="18"/>
                <w:szCs w:val="18"/>
              </w:rPr>
            </w:pPr>
            <w:r w:rsidRPr="00E35F78">
              <w:rPr>
                <w:sz w:val="18"/>
                <w:szCs w:val="18"/>
              </w:rPr>
              <w:t>7 693,0</w:t>
            </w:r>
          </w:p>
        </w:tc>
        <w:tc>
          <w:tcPr>
            <w:tcW w:w="1616" w:type="dxa"/>
            <w:tcBorders>
              <w:top w:val="nil"/>
            </w:tcBorders>
            <w:shd w:val="clear" w:color="auto" w:fill="auto"/>
            <w:noWrap/>
            <w:vAlign w:val="bottom"/>
          </w:tcPr>
          <w:p w14:paraId="7185BBE7" w14:textId="77777777" w:rsidR="00676777" w:rsidRDefault="00676777" w:rsidP="00D94DB2">
            <w:pPr>
              <w:jc w:val="right"/>
              <w:rPr>
                <w:sz w:val="18"/>
                <w:szCs w:val="18"/>
              </w:rPr>
            </w:pPr>
            <w:r>
              <w:rPr>
                <w:sz w:val="18"/>
                <w:szCs w:val="18"/>
              </w:rPr>
              <w:t>5 331,3</w:t>
            </w:r>
          </w:p>
        </w:tc>
        <w:tc>
          <w:tcPr>
            <w:tcW w:w="1304" w:type="dxa"/>
            <w:tcBorders>
              <w:top w:val="nil"/>
              <w:right w:val="single" w:sz="4" w:space="0" w:color="auto"/>
            </w:tcBorders>
            <w:shd w:val="clear" w:color="auto" w:fill="auto"/>
            <w:noWrap/>
            <w:vAlign w:val="bottom"/>
          </w:tcPr>
          <w:p w14:paraId="32867A77" w14:textId="77777777" w:rsidR="00676777" w:rsidRDefault="00676777" w:rsidP="00D94DB2">
            <w:pPr>
              <w:jc w:val="right"/>
              <w:rPr>
                <w:sz w:val="18"/>
                <w:szCs w:val="18"/>
              </w:rPr>
            </w:pPr>
            <w:r>
              <w:rPr>
                <w:sz w:val="18"/>
                <w:szCs w:val="18"/>
              </w:rPr>
              <w:t>69,3%</w:t>
            </w:r>
          </w:p>
        </w:tc>
      </w:tr>
      <w:tr w:rsidR="00676777" w:rsidRPr="005773D6" w14:paraId="4137A9EC" w14:textId="77777777" w:rsidTr="00D94DB2">
        <w:trPr>
          <w:trHeight w:val="165"/>
          <w:jc w:val="center"/>
        </w:trPr>
        <w:tc>
          <w:tcPr>
            <w:tcW w:w="4854" w:type="dxa"/>
            <w:tcBorders>
              <w:left w:val="single" w:sz="8" w:space="0" w:color="auto"/>
              <w:right w:val="single" w:sz="8" w:space="0" w:color="auto"/>
            </w:tcBorders>
            <w:shd w:val="clear" w:color="auto" w:fill="auto"/>
            <w:noWrap/>
            <w:vAlign w:val="bottom"/>
          </w:tcPr>
          <w:p w14:paraId="7A52FE2D" w14:textId="77777777" w:rsidR="00676777" w:rsidRPr="00E92024" w:rsidRDefault="00676777" w:rsidP="00D94DB2">
            <w:pPr>
              <w:rPr>
                <w:sz w:val="18"/>
                <w:szCs w:val="18"/>
              </w:rPr>
            </w:pPr>
            <w:r w:rsidRPr="00E92024">
              <w:rPr>
                <w:sz w:val="18"/>
                <w:szCs w:val="18"/>
              </w:rPr>
              <w:t xml:space="preserve">      Данък в/у застрахователните премии</w:t>
            </w:r>
          </w:p>
        </w:tc>
        <w:tc>
          <w:tcPr>
            <w:tcW w:w="1276" w:type="dxa"/>
            <w:tcBorders>
              <w:left w:val="nil"/>
              <w:bottom w:val="nil"/>
            </w:tcBorders>
            <w:shd w:val="clear" w:color="auto" w:fill="auto"/>
            <w:noWrap/>
          </w:tcPr>
          <w:p w14:paraId="5CEE06A6" w14:textId="77777777" w:rsidR="00676777" w:rsidRPr="00E35F78" w:rsidRDefault="00676777" w:rsidP="00D94DB2">
            <w:pPr>
              <w:jc w:val="right"/>
              <w:rPr>
                <w:sz w:val="18"/>
                <w:szCs w:val="18"/>
              </w:rPr>
            </w:pPr>
            <w:r w:rsidRPr="00E35F78">
              <w:rPr>
                <w:sz w:val="18"/>
                <w:szCs w:val="18"/>
              </w:rPr>
              <w:t>74,6</w:t>
            </w:r>
          </w:p>
        </w:tc>
        <w:tc>
          <w:tcPr>
            <w:tcW w:w="1616" w:type="dxa"/>
            <w:tcBorders>
              <w:top w:val="nil"/>
            </w:tcBorders>
            <w:shd w:val="clear" w:color="auto" w:fill="auto"/>
            <w:noWrap/>
            <w:vAlign w:val="bottom"/>
          </w:tcPr>
          <w:p w14:paraId="3281E359" w14:textId="77777777" w:rsidR="00676777" w:rsidRDefault="00676777" w:rsidP="00D94DB2">
            <w:pPr>
              <w:jc w:val="right"/>
              <w:rPr>
                <w:sz w:val="18"/>
                <w:szCs w:val="18"/>
              </w:rPr>
            </w:pPr>
            <w:r>
              <w:rPr>
                <w:sz w:val="18"/>
                <w:szCs w:val="18"/>
              </w:rPr>
              <w:t>56,6</w:t>
            </w:r>
          </w:p>
        </w:tc>
        <w:tc>
          <w:tcPr>
            <w:tcW w:w="1304" w:type="dxa"/>
            <w:tcBorders>
              <w:top w:val="nil"/>
              <w:right w:val="single" w:sz="4" w:space="0" w:color="auto"/>
            </w:tcBorders>
            <w:shd w:val="clear" w:color="auto" w:fill="auto"/>
            <w:noWrap/>
            <w:vAlign w:val="bottom"/>
          </w:tcPr>
          <w:p w14:paraId="3BFBAD64" w14:textId="77777777" w:rsidR="00676777" w:rsidRDefault="00676777" w:rsidP="00D94DB2">
            <w:pPr>
              <w:jc w:val="right"/>
              <w:rPr>
                <w:sz w:val="18"/>
                <w:szCs w:val="18"/>
              </w:rPr>
            </w:pPr>
            <w:r>
              <w:rPr>
                <w:sz w:val="18"/>
                <w:szCs w:val="18"/>
              </w:rPr>
              <w:t>75,9%</w:t>
            </w:r>
          </w:p>
        </w:tc>
      </w:tr>
      <w:tr w:rsidR="00676777" w:rsidRPr="005773D6" w14:paraId="50D0685D" w14:textId="77777777" w:rsidTr="00D94DB2">
        <w:trPr>
          <w:trHeight w:val="165"/>
          <w:jc w:val="center"/>
        </w:trPr>
        <w:tc>
          <w:tcPr>
            <w:tcW w:w="4854" w:type="dxa"/>
            <w:tcBorders>
              <w:left w:val="single" w:sz="8" w:space="0" w:color="auto"/>
              <w:right w:val="single" w:sz="8" w:space="0" w:color="auto"/>
            </w:tcBorders>
            <w:shd w:val="clear" w:color="auto" w:fill="auto"/>
            <w:noWrap/>
            <w:vAlign w:val="bottom"/>
          </w:tcPr>
          <w:p w14:paraId="0F7E9F59" w14:textId="77777777" w:rsidR="00676777" w:rsidRPr="00E92024" w:rsidRDefault="00676777" w:rsidP="00D94DB2">
            <w:pPr>
              <w:rPr>
                <w:sz w:val="18"/>
                <w:szCs w:val="18"/>
              </w:rPr>
            </w:pPr>
            <w:r w:rsidRPr="00E92024">
              <w:rPr>
                <w:sz w:val="18"/>
                <w:szCs w:val="18"/>
              </w:rPr>
              <w:t xml:space="preserve">     </w:t>
            </w:r>
            <w:r w:rsidRPr="00E92024">
              <w:rPr>
                <w:sz w:val="18"/>
                <w:szCs w:val="18"/>
                <w:lang w:val="en-US"/>
              </w:rPr>
              <w:t xml:space="preserve"> </w:t>
            </w:r>
            <w:r w:rsidRPr="00E92024">
              <w:rPr>
                <w:sz w:val="18"/>
                <w:szCs w:val="18"/>
              </w:rPr>
              <w:t>Мита и митнически такси</w:t>
            </w:r>
          </w:p>
        </w:tc>
        <w:tc>
          <w:tcPr>
            <w:tcW w:w="1276" w:type="dxa"/>
            <w:tcBorders>
              <w:left w:val="nil"/>
              <w:bottom w:val="nil"/>
            </w:tcBorders>
            <w:shd w:val="clear" w:color="auto" w:fill="auto"/>
            <w:noWrap/>
          </w:tcPr>
          <w:p w14:paraId="07B3E04B" w14:textId="77777777" w:rsidR="00676777" w:rsidRPr="00E35F78" w:rsidRDefault="00676777" w:rsidP="00D94DB2">
            <w:pPr>
              <w:jc w:val="right"/>
              <w:rPr>
                <w:sz w:val="18"/>
                <w:szCs w:val="18"/>
              </w:rPr>
            </w:pPr>
            <w:r w:rsidRPr="00E35F78">
              <w:rPr>
                <w:sz w:val="18"/>
                <w:szCs w:val="18"/>
              </w:rPr>
              <w:t>367,0</w:t>
            </w:r>
          </w:p>
        </w:tc>
        <w:tc>
          <w:tcPr>
            <w:tcW w:w="1616" w:type="dxa"/>
            <w:tcBorders>
              <w:top w:val="nil"/>
            </w:tcBorders>
            <w:shd w:val="clear" w:color="auto" w:fill="auto"/>
            <w:noWrap/>
            <w:vAlign w:val="bottom"/>
          </w:tcPr>
          <w:p w14:paraId="1AB05140" w14:textId="77777777" w:rsidR="00676777" w:rsidRDefault="00676777" w:rsidP="00D94DB2">
            <w:pPr>
              <w:jc w:val="right"/>
              <w:rPr>
                <w:sz w:val="18"/>
                <w:szCs w:val="18"/>
              </w:rPr>
            </w:pPr>
            <w:r>
              <w:rPr>
                <w:sz w:val="18"/>
                <w:szCs w:val="18"/>
              </w:rPr>
              <w:t>283,6</w:t>
            </w:r>
          </w:p>
        </w:tc>
        <w:tc>
          <w:tcPr>
            <w:tcW w:w="1304" w:type="dxa"/>
            <w:tcBorders>
              <w:top w:val="nil"/>
              <w:right w:val="single" w:sz="4" w:space="0" w:color="auto"/>
            </w:tcBorders>
            <w:shd w:val="clear" w:color="auto" w:fill="auto"/>
            <w:noWrap/>
            <w:vAlign w:val="bottom"/>
          </w:tcPr>
          <w:p w14:paraId="7929B9F8" w14:textId="77777777" w:rsidR="00676777" w:rsidRDefault="00676777" w:rsidP="00D94DB2">
            <w:pPr>
              <w:jc w:val="right"/>
              <w:rPr>
                <w:sz w:val="18"/>
                <w:szCs w:val="18"/>
              </w:rPr>
            </w:pPr>
            <w:r>
              <w:rPr>
                <w:sz w:val="18"/>
                <w:szCs w:val="18"/>
              </w:rPr>
              <w:t>77,3%</w:t>
            </w:r>
          </w:p>
        </w:tc>
      </w:tr>
      <w:tr w:rsidR="00676777" w:rsidRPr="005773D6" w14:paraId="7E3D9E0A" w14:textId="77777777" w:rsidTr="00D94DB2">
        <w:trPr>
          <w:trHeight w:val="165"/>
          <w:jc w:val="center"/>
        </w:trPr>
        <w:tc>
          <w:tcPr>
            <w:tcW w:w="4854" w:type="dxa"/>
            <w:tcBorders>
              <w:left w:val="single" w:sz="8" w:space="0" w:color="auto"/>
              <w:right w:val="single" w:sz="8" w:space="0" w:color="auto"/>
            </w:tcBorders>
            <w:shd w:val="clear" w:color="auto" w:fill="auto"/>
            <w:noWrap/>
            <w:vAlign w:val="bottom"/>
          </w:tcPr>
          <w:p w14:paraId="664088A1" w14:textId="77777777" w:rsidR="00676777" w:rsidRPr="00E92024" w:rsidRDefault="00676777" w:rsidP="00D94DB2">
            <w:pPr>
              <w:rPr>
                <w:sz w:val="18"/>
                <w:szCs w:val="18"/>
              </w:rPr>
            </w:pPr>
            <w:r w:rsidRPr="00E92024">
              <w:rPr>
                <w:sz w:val="18"/>
                <w:szCs w:val="18"/>
              </w:rPr>
              <w:t xml:space="preserve">     </w:t>
            </w:r>
            <w:r w:rsidRPr="00E92024">
              <w:rPr>
                <w:sz w:val="18"/>
                <w:szCs w:val="18"/>
                <w:lang w:val="en-US"/>
              </w:rPr>
              <w:t xml:space="preserve"> </w:t>
            </w:r>
            <w:r w:rsidRPr="00E92024">
              <w:rPr>
                <w:sz w:val="18"/>
                <w:szCs w:val="18"/>
              </w:rPr>
              <w:t>Други данъци</w:t>
            </w:r>
          </w:p>
        </w:tc>
        <w:tc>
          <w:tcPr>
            <w:tcW w:w="1276" w:type="dxa"/>
            <w:tcBorders>
              <w:top w:val="nil"/>
              <w:left w:val="nil"/>
              <w:bottom w:val="nil"/>
            </w:tcBorders>
            <w:shd w:val="clear" w:color="auto" w:fill="auto"/>
            <w:noWrap/>
          </w:tcPr>
          <w:p w14:paraId="54C68851" w14:textId="77777777" w:rsidR="00676777" w:rsidRPr="00E35F78" w:rsidRDefault="00676777" w:rsidP="00D94DB2">
            <w:pPr>
              <w:jc w:val="right"/>
              <w:rPr>
                <w:sz w:val="18"/>
                <w:szCs w:val="18"/>
              </w:rPr>
            </w:pPr>
            <w:r w:rsidRPr="00E35F78">
              <w:rPr>
                <w:sz w:val="18"/>
                <w:szCs w:val="18"/>
              </w:rPr>
              <w:t>627,5</w:t>
            </w:r>
          </w:p>
        </w:tc>
        <w:tc>
          <w:tcPr>
            <w:tcW w:w="1616" w:type="dxa"/>
            <w:tcBorders>
              <w:top w:val="nil"/>
              <w:left w:val="nil"/>
              <w:bottom w:val="nil"/>
              <w:right w:val="nil"/>
            </w:tcBorders>
            <w:shd w:val="clear" w:color="auto" w:fill="auto"/>
            <w:noWrap/>
            <w:vAlign w:val="bottom"/>
          </w:tcPr>
          <w:p w14:paraId="5F68609E" w14:textId="77777777" w:rsidR="00676777" w:rsidRDefault="00676777" w:rsidP="00D94DB2">
            <w:pPr>
              <w:jc w:val="right"/>
              <w:rPr>
                <w:sz w:val="18"/>
                <w:szCs w:val="18"/>
              </w:rPr>
            </w:pPr>
            <w:r>
              <w:rPr>
                <w:sz w:val="18"/>
                <w:szCs w:val="18"/>
              </w:rPr>
              <w:t>199,9</w:t>
            </w:r>
          </w:p>
        </w:tc>
        <w:tc>
          <w:tcPr>
            <w:tcW w:w="1304" w:type="dxa"/>
            <w:tcBorders>
              <w:top w:val="nil"/>
              <w:left w:val="nil"/>
              <w:bottom w:val="nil"/>
              <w:right w:val="single" w:sz="8" w:space="0" w:color="auto"/>
            </w:tcBorders>
            <w:shd w:val="clear" w:color="auto" w:fill="auto"/>
            <w:noWrap/>
            <w:vAlign w:val="bottom"/>
          </w:tcPr>
          <w:p w14:paraId="424F7B65" w14:textId="77777777" w:rsidR="00676777" w:rsidRDefault="00676777" w:rsidP="00D94DB2">
            <w:pPr>
              <w:jc w:val="right"/>
              <w:rPr>
                <w:sz w:val="18"/>
                <w:szCs w:val="18"/>
              </w:rPr>
            </w:pPr>
            <w:r>
              <w:rPr>
                <w:sz w:val="18"/>
                <w:szCs w:val="18"/>
              </w:rPr>
              <w:t>31,9%</w:t>
            </w:r>
          </w:p>
        </w:tc>
      </w:tr>
      <w:tr w:rsidR="00676777" w:rsidRPr="005773D6" w14:paraId="438D373B" w14:textId="77777777" w:rsidTr="00D94DB2">
        <w:trPr>
          <w:trHeight w:val="165"/>
          <w:jc w:val="center"/>
        </w:trPr>
        <w:tc>
          <w:tcPr>
            <w:tcW w:w="4854" w:type="dxa"/>
            <w:tcBorders>
              <w:left w:val="single" w:sz="8" w:space="0" w:color="auto"/>
              <w:right w:val="single" w:sz="8" w:space="0" w:color="auto"/>
            </w:tcBorders>
            <w:shd w:val="clear" w:color="auto" w:fill="auto"/>
            <w:noWrap/>
            <w:vAlign w:val="bottom"/>
          </w:tcPr>
          <w:p w14:paraId="1CE4E95C" w14:textId="77777777" w:rsidR="00676777" w:rsidRPr="00E92024" w:rsidRDefault="00676777" w:rsidP="00D94DB2">
            <w:pPr>
              <w:rPr>
                <w:sz w:val="18"/>
                <w:szCs w:val="18"/>
              </w:rPr>
            </w:pPr>
            <w:r w:rsidRPr="00E92024">
              <w:rPr>
                <w:sz w:val="18"/>
                <w:szCs w:val="18"/>
              </w:rPr>
              <w:t xml:space="preserve">   -Неданъчни приходи</w:t>
            </w:r>
          </w:p>
        </w:tc>
        <w:tc>
          <w:tcPr>
            <w:tcW w:w="1276" w:type="dxa"/>
            <w:tcBorders>
              <w:top w:val="nil"/>
              <w:left w:val="nil"/>
              <w:bottom w:val="nil"/>
            </w:tcBorders>
            <w:shd w:val="clear" w:color="auto" w:fill="auto"/>
            <w:noWrap/>
          </w:tcPr>
          <w:p w14:paraId="14D92E7D" w14:textId="77777777" w:rsidR="00676777" w:rsidRPr="00E35F78" w:rsidRDefault="00676777" w:rsidP="00D94DB2">
            <w:pPr>
              <w:jc w:val="right"/>
              <w:rPr>
                <w:sz w:val="18"/>
                <w:szCs w:val="18"/>
              </w:rPr>
            </w:pPr>
            <w:r w:rsidRPr="00E35F78">
              <w:rPr>
                <w:sz w:val="18"/>
                <w:szCs w:val="18"/>
              </w:rPr>
              <w:t>6 980,7</w:t>
            </w:r>
          </w:p>
        </w:tc>
        <w:tc>
          <w:tcPr>
            <w:tcW w:w="1616" w:type="dxa"/>
            <w:tcBorders>
              <w:top w:val="nil"/>
              <w:left w:val="nil"/>
              <w:bottom w:val="nil"/>
              <w:right w:val="nil"/>
            </w:tcBorders>
            <w:shd w:val="clear" w:color="auto" w:fill="auto"/>
            <w:noWrap/>
            <w:vAlign w:val="bottom"/>
          </w:tcPr>
          <w:p w14:paraId="6AD9307F" w14:textId="77777777" w:rsidR="00676777" w:rsidRDefault="00676777" w:rsidP="00D94DB2">
            <w:pPr>
              <w:jc w:val="right"/>
              <w:rPr>
                <w:sz w:val="18"/>
                <w:szCs w:val="18"/>
              </w:rPr>
            </w:pPr>
            <w:r>
              <w:rPr>
                <w:sz w:val="18"/>
                <w:szCs w:val="18"/>
              </w:rPr>
              <w:t>5 227,6</w:t>
            </w:r>
          </w:p>
        </w:tc>
        <w:tc>
          <w:tcPr>
            <w:tcW w:w="1304" w:type="dxa"/>
            <w:tcBorders>
              <w:top w:val="nil"/>
              <w:left w:val="nil"/>
              <w:bottom w:val="nil"/>
              <w:right w:val="single" w:sz="8" w:space="0" w:color="auto"/>
            </w:tcBorders>
            <w:shd w:val="clear" w:color="auto" w:fill="auto"/>
            <w:noWrap/>
            <w:vAlign w:val="bottom"/>
          </w:tcPr>
          <w:p w14:paraId="29267618" w14:textId="77777777" w:rsidR="00676777" w:rsidRDefault="00676777" w:rsidP="00D94DB2">
            <w:pPr>
              <w:jc w:val="right"/>
              <w:rPr>
                <w:sz w:val="18"/>
                <w:szCs w:val="18"/>
              </w:rPr>
            </w:pPr>
            <w:r>
              <w:rPr>
                <w:sz w:val="18"/>
                <w:szCs w:val="18"/>
              </w:rPr>
              <w:t>74,9%</w:t>
            </w:r>
          </w:p>
        </w:tc>
      </w:tr>
      <w:tr w:rsidR="00676777" w:rsidRPr="005773D6" w14:paraId="2786427B" w14:textId="77777777" w:rsidTr="00D94DB2">
        <w:trPr>
          <w:trHeight w:val="165"/>
          <w:jc w:val="center"/>
        </w:trPr>
        <w:tc>
          <w:tcPr>
            <w:tcW w:w="4854" w:type="dxa"/>
            <w:tcBorders>
              <w:left w:val="single" w:sz="8" w:space="0" w:color="auto"/>
              <w:bottom w:val="single" w:sz="4" w:space="0" w:color="auto"/>
              <w:right w:val="single" w:sz="8" w:space="0" w:color="auto"/>
            </w:tcBorders>
            <w:shd w:val="clear" w:color="auto" w:fill="auto"/>
            <w:noWrap/>
            <w:vAlign w:val="bottom"/>
          </w:tcPr>
          <w:p w14:paraId="1B8CBB56" w14:textId="77777777" w:rsidR="00676777" w:rsidRPr="00E92024" w:rsidRDefault="00676777" w:rsidP="00D94DB2">
            <w:pPr>
              <w:rPr>
                <w:sz w:val="18"/>
                <w:szCs w:val="18"/>
              </w:rPr>
            </w:pPr>
            <w:r w:rsidRPr="00E92024">
              <w:rPr>
                <w:sz w:val="18"/>
                <w:szCs w:val="18"/>
              </w:rPr>
              <w:t xml:space="preserve">   -Помощи и дарения</w:t>
            </w:r>
          </w:p>
        </w:tc>
        <w:tc>
          <w:tcPr>
            <w:tcW w:w="1276" w:type="dxa"/>
            <w:tcBorders>
              <w:top w:val="nil"/>
              <w:left w:val="nil"/>
              <w:bottom w:val="single" w:sz="4" w:space="0" w:color="auto"/>
            </w:tcBorders>
            <w:shd w:val="clear" w:color="auto" w:fill="auto"/>
            <w:noWrap/>
          </w:tcPr>
          <w:p w14:paraId="00FB911C" w14:textId="77777777" w:rsidR="00676777" w:rsidRPr="00E35F78" w:rsidRDefault="00676777" w:rsidP="00D94DB2">
            <w:pPr>
              <w:jc w:val="right"/>
              <w:rPr>
                <w:sz w:val="18"/>
                <w:szCs w:val="18"/>
              </w:rPr>
            </w:pPr>
            <w:r w:rsidRPr="00E35F78">
              <w:rPr>
                <w:sz w:val="18"/>
                <w:szCs w:val="18"/>
              </w:rPr>
              <w:t>0,5</w:t>
            </w:r>
          </w:p>
        </w:tc>
        <w:tc>
          <w:tcPr>
            <w:tcW w:w="1616" w:type="dxa"/>
            <w:tcBorders>
              <w:top w:val="nil"/>
              <w:left w:val="nil"/>
              <w:bottom w:val="single" w:sz="4" w:space="0" w:color="auto"/>
              <w:right w:val="nil"/>
            </w:tcBorders>
            <w:shd w:val="clear" w:color="auto" w:fill="auto"/>
            <w:noWrap/>
            <w:vAlign w:val="bottom"/>
          </w:tcPr>
          <w:p w14:paraId="4DFAA1DC" w14:textId="77777777" w:rsidR="00676777" w:rsidRDefault="00676777" w:rsidP="00D94DB2">
            <w:pPr>
              <w:jc w:val="right"/>
              <w:rPr>
                <w:sz w:val="18"/>
                <w:szCs w:val="18"/>
              </w:rPr>
            </w:pPr>
            <w:r>
              <w:rPr>
                <w:sz w:val="18"/>
                <w:szCs w:val="18"/>
              </w:rPr>
              <w:t>355,6</w:t>
            </w:r>
          </w:p>
        </w:tc>
        <w:tc>
          <w:tcPr>
            <w:tcW w:w="1304" w:type="dxa"/>
            <w:tcBorders>
              <w:top w:val="nil"/>
              <w:left w:val="nil"/>
              <w:bottom w:val="single" w:sz="4" w:space="0" w:color="auto"/>
              <w:right w:val="single" w:sz="8" w:space="0" w:color="auto"/>
            </w:tcBorders>
            <w:shd w:val="clear" w:color="auto" w:fill="auto"/>
            <w:noWrap/>
            <w:vAlign w:val="bottom"/>
          </w:tcPr>
          <w:p w14:paraId="232041BA" w14:textId="77777777" w:rsidR="00676777" w:rsidRDefault="00676777" w:rsidP="00D94DB2">
            <w:pPr>
              <w:jc w:val="right"/>
              <w:rPr>
                <w:sz w:val="18"/>
                <w:szCs w:val="18"/>
              </w:rPr>
            </w:pPr>
          </w:p>
        </w:tc>
      </w:tr>
      <w:tr w:rsidR="00676777" w:rsidRPr="005773D6" w14:paraId="46514AD7" w14:textId="77777777" w:rsidTr="00D94DB2">
        <w:trPr>
          <w:trHeight w:val="199"/>
          <w:jc w:val="center"/>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12E37" w14:textId="77777777" w:rsidR="00676777" w:rsidRPr="00DD6E1A" w:rsidRDefault="00676777" w:rsidP="00D94DB2">
            <w:pPr>
              <w:rPr>
                <w:b/>
                <w:bCs/>
                <w:sz w:val="18"/>
                <w:szCs w:val="18"/>
              </w:rPr>
            </w:pPr>
            <w:r w:rsidRPr="00DD6E1A">
              <w:rPr>
                <w:b/>
                <w:bCs/>
                <w:sz w:val="18"/>
                <w:szCs w:val="18"/>
              </w:rPr>
              <w:t xml:space="preserve"> Разходи, трансфери и вноска в бюджета на ЕС</w:t>
            </w:r>
          </w:p>
        </w:tc>
        <w:tc>
          <w:tcPr>
            <w:tcW w:w="1276" w:type="dxa"/>
            <w:tcBorders>
              <w:top w:val="single" w:sz="4" w:space="0" w:color="auto"/>
              <w:left w:val="nil"/>
              <w:bottom w:val="single" w:sz="4" w:space="0" w:color="auto"/>
            </w:tcBorders>
            <w:shd w:val="clear" w:color="auto" w:fill="auto"/>
            <w:noWrap/>
          </w:tcPr>
          <w:p w14:paraId="7C46E365" w14:textId="77777777" w:rsidR="00676777" w:rsidRPr="00E35F78" w:rsidRDefault="00676777" w:rsidP="00D94DB2">
            <w:pPr>
              <w:jc w:val="right"/>
              <w:rPr>
                <w:b/>
                <w:sz w:val="18"/>
                <w:szCs w:val="18"/>
              </w:rPr>
            </w:pPr>
            <w:r w:rsidRPr="00E35F78">
              <w:rPr>
                <w:b/>
                <w:sz w:val="18"/>
                <w:szCs w:val="18"/>
              </w:rPr>
              <w:t>62 301,0</w:t>
            </w:r>
          </w:p>
        </w:tc>
        <w:tc>
          <w:tcPr>
            <w:tcW w:w="1616" w:type="dxa"/>
            <w:tcBorders>
              <w:top w:val="single" w:sz="4" w:space="0" w:color="auto"/>
              <w:left w:val="nil"/>
              <w:bottom w:val="single" w:sz="4" w:space="0" w:color="auto"/>
              <w:right w:val="nil"/>
            </w:tcBorders>
            <w:shd w:val="clear" w:color="auto" w:fill="auto"/>
            <w:noWrap/>
            <w:vAlign w:val="bottom"/>
          </w:tcPr>
          <w:p w14:paraId="468E9DB7" w14:textId="77777777" w:rsidR="00676777" w:rsidRDefault="00676777" w:rsidP="00D94DB2">
            <w:pPr>
              <w:jc w:val="right"/>
              <w:rPr>
                <w:b/>
                <w:bCs/>
                <w:sz w:val="18"/>
                <w:szCs w:val="18"/>
              </w:rPr>
            </w:pPr>
            <w:r>
              <w:rPr>
                <w:b/>
                <w:bCs/>
                <w:sz w:val="18"/>
                <w:szCs w:val="18"/>
              </w:rPr>
              <w:t>42 199,7</w:t>
            </w:r>
          </w:p>
        </w:tc>
        <w:tc>
          <w:tcPr>
            <w:tcW w:w="1304" w:type="dxa"/>
            <w:tcBorders>
              <w:top w:val="single" w:sz="4" w:space="0" w:color="auto"/>
              <w:left w:val="nil"/>
              <w:bottom w:val="single" w:sz="4" w:space="0" w:color="auto"/>
              <w:right w:val="single" w:sz="8" w:space="0" w:color="auto"/>
            </w:tcBorders>
            <w:shd w:val="clear" w:color="auto" w:fill="auto"/>
            <w:noWrap/>
            <w:vAlign w:val="bottom"/>
          </w:tcPr>
          <w:p w14:paraId="6845516A" w14:textId="77777777" w:rsidR="00676777" w:rsidRDefault="00676777" w:rsidP="00D94DB2">
            <w:pPr>
              <w:jc w:val="right"/>
              <w:rPr>
                <w:b/>
                <w:bCs/>
                <w:sz w:val="18"/>
                <w:szCs w:val="18"/>
              </w:rPr>
            </w:pPr>
            <w:r>
              <w:rPr>
                <w:b/>
                <w:bCs/>
                <w:sz w:val="18"/>
                <w:szCs w:val="18"/>
              </w:rPr>
              <w:t>67,7%</w:t>
            </w:r>
          </w:p>
        </w:tc>
      </w:tr>
      <w:tr w:rsidR="00676777" w:rsidRPr="005773D6" w14:paraId="2EE96B94" w14:textId="77777777" w:rsidTr="00D94DB2">
        <w:trPr>
          <w:trHeight w:val="101"/>
          <w:jc w:val="center"/>
        </w:trPr>
        <w:tc>
          <w:tcPr>
            <w:tcW w:w="4854" w:type="dxa"/>
            <w:tcBorders>
              <w:top w:val="single" w:sz="4" w:space="0" w:color="auto"/>
              <w:left w:val="single" w:sz="4" w:space="0" w:color="auto"/>
              <w:bottom w:val="nil"/>
              <w:right w:val="single" w:sz="4" w:space="0" w:color="auto"/>
            </w:tcBorders>
            <w:shd w:val="clear" w:color="auto" w:fill="auto"/>
            <w:noWrap/>
            <w:vAlign w:val="bottom"/>
          </w:tcPr>
          <w:p w14:paraId="37B0F332" w14:textId="77777777" w:rsidR="00676777" w:rsidRPr="00E92024" w:rsidRDefault="00676777" w:rsidP="00D94DB2">
            <w:pPr>
              <w:rPr>
                <w:i/>
                <w:sz w:val="18"/>
                <w:szCs w:val="18"/>
              </w:rPr>
            </w:pPr>
            <w:r w:rsidRPr="00E92024">
              <w:rPr>
                <w:i/>
                <w:sz w:val="18"/>
                <w:szCs w:val="18"/>
              </w:rPr>
              <w:t xml:space="preserve">   -Нелихвени разходи</w:t>
            </w:r>
          </w:p>
        </w:tc>
        <w:tc>
          <w:tcPr>
            <w:tcW w:w="1276" w:type="dxa"/>
            <w:tcBorders>
              <w:top w:val="single" w:sz="4" w:space="0" w:color="auto"/>
              <w:left w:val="nil"/>
              <w:bottom w:val="nil"/>
              <w:right w:val="nil"/>
            </w:tcBorders>
            <w:shd w:val="clear" w:color="auto" w:fill="auto"/>
            <w:noWrap/>
          </w:tcPr>
          <w:p w14:paraId="1A6E9DE2" w14:textId="77777777" w:rsidR="00676777" w:rsidRPr="00E35F78" w:rsidRDefault="00676777" w:rsidP="00D94DB2">
            <w:pPr>
              <w:jc w:val="right"/>
              <w:rPr>
                <w:sz w:val="18"/>
                <w:szCs w:val="18"/>
              </w:rPr>
            </w:pPr>
            <w:r w:rsidRPr="00E35F78">
              <w:rPr>
                <w:sz w:val="18"/>
                <w:szCs w:val="18"/>
              </w:rPr>
              <w:t>29 105,5</w:t>
            </w:r>
          </w:p>
        </w:tc>
        <w:tc>
          <w:tcPr>
            <w:tcW w:w="1616" w:type="dxa"/>
            <w:tcBorders>
              <w:top w:val="single" w:sz="4" w:space="0" w:color="auto"/>
              <w:left w:val="nil"/>
              <w:bottom w:val="nil"/>
              <w:right w:val="nil"/>
            </w:tcBorders>
            <w:shd w:val="clear" w:color="auto" w:fill="auto"/>
            <w:noWrap/>
            <w:vAlign w:val="bottom"/>
          </w:tcPr>
          <w:p w14:paraId="20AB9CFA" w14:textId="77777777" w:rsidR="00676777" w:rsidRDefault="00676777" w:rsidP="00D94DB2">
            <w:pPr>
              <w:jc w:val="right"/>
              <w:rPr>
                <w:sz w:val="18"/>
                <w:szCs w:val="18"/>
              </w:rPr>
            </w:pPr>
            <w:r>
              <w:rPr>
                <w:sz w:val="18"/>
                <w:szCs w:val="18"/>
              </w:rPr>
              <w:t>16 885,0</w:t>
            </w:r>
          </w:p>
        </w:tc>
        <w:tc>
          <w:tcPr>
            <w:tcW w:w="1304" w:type="dxa"/>
            <w:tcBorders>
              <w:top w:val="single" w:sz="4" w:space="0" w:color="auto"/>
              <w:left w:val="nil"/>
              <w:bottom w:val="nil"/>
              <w:right w:val="single" w:sz="8" w:space="0" w:color="auto"/>
            </w:tcBorders>
            <w:shd w:val="clear" w:color="auto" w:fill="auto"/>
            <w:noWrap/>
            <w:vAlign w:val="bottom"/>
          </w:tcPr>
          <w:p w14:paraId="72B1ED4C" w14:textId="77777777" w:rsidR="00676777" w:rsidRDefault="00676777" w:rsidP="00D94DB2">
            <w:pPr>
              <w:jc w:val="right"/>
              <w:rPr>
                <w:sz w:val="18"/>
                <w:szCs w:val="18"/>
              </w:rPr>
            </w:pPr>
            <w:r>
              <w:rPr>
                <w:sz w:val="18"/>
                <w:szCs w:val="18"/>
              </w:rPr>
              <w:t>58,0%</w:t>
            </w:r>
          </w:p>
        </w:tc>
      </w:tr>
      <w:tr w:rsidR="00676777" w:rsidRPr="005773D6" w14:paraId="634DFC74" w14:textId="77777777" w:rsidTr="00D94DB2">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14:paraId="4BD0E70E" w14:textId="77777777" w:rsidR="00676777" w:rsidRPr="00E92024" w:rsidRDefault="00676777" w:rsidP="00D94DB2">
            <w:pPr>
              <w:rPr>
                <w:sz w:val="18"/>
                <w:szCs w:val="18"/>
              </w:rPr>
            </w:pPr>
            <w:r w:rsidRPr="00E92024">
              <w:rPr>
                <w:sz w:val="18"/>
                <w:szCs w:val="18"/>
              </w:rPr>
              <w:t xml:space="preserve">      Текущи </w:t>
            </w:r>
          </w:p>
        </w:tc>
        <w:tc>
          <w:tcPr>
            <w:tcW w:w="1276" w:type="dxa"/>
            <w:tcBorders>
              <w:top w:val="nil"/>
              <w:left w:val="nil"/>
              <w:bottom w:val="nil"/>
              <w:right w:val="nil"/>
            </w:tcBorders>
            <w:shd w:val="clear" w:color="auto" w:fill="auto"/>
            <w:noWrap/>
          </w:tcPr>
          <w:p w14:paraId="283CD935" w14:textId="77777777" w:rsidR="00676777" w:rsidRPr="00E35F78" w:rsidRDefault="00676777" w:rsidP="00D94DB2">
            <w:pPr>
              <w:jc w:val="right"/>
              <w:rPr>
                <w:sz w:val="18"/>
                <w:szCs w:val="18"/>
              </w:rPr>
            </w:pPr>
            <w:r w:rsidRPr="00E35F78">
              <w:rPr>
                <w:sz w:val="18"/>
                <w:szCs w:val="18"/>
              </w:rPr>
              <w:t>23 695,7</w:t>
            </w:r>
          </w:p>
        </w:tc>
        <w:tc>
          <w:tcPr>
            <w:tcW w:w="1616" w:type="dxa"/>
            <w:tcBorders>
              <w:top w:val="nil"/>
              <w:left w:val="nil"/>
              <w:bottom w:val="nil"/>
              <w:right w:val="nil"/>
            </w:tcBorders>
            <w:shd w:val="clear" w:color="auto" w:fill="auto"/>
            <w:noWrap/>
            <w:vAlign w:val="bottom"/>
          </w:tcPr>
          <w:p w14:paraId="416586EB" w14:textId="77777777" w:rsidR="00676777" w:rsidRDefault="00676777" w:rsidP="00D94DB2">
            <w:pPr>
              <w:jc w:val="right"/>
              <w:rPr>
                <w:sz w:val="18"/>
                <w:szCs w:val="18"/>
              </w:rPr>
            </w:pPr>
            <w:r>
              <w:rPr>
                <w:sz w:val="18"/>
                <w:szCs w:val="18"/>
              </w:rPr>
              <w:t>14 261,9</w:t>
            </w:r>
          </w:p>
        </w:tc>
        <w:tc>
          <w:tcPr>
            <w:tcW w:w="1304" w:type="dxa"/>
            <w:tcBorders>
              <w:top w:val="nil"/>
              <w:left w:val="nil"/>
              <w:bottom w:val="nil"/>
              <w:right w:val="single" w:sz="8" w:space="0" w:color="auto"/>
            </w:tcBorders>
            <w:shd w:val="clear" w:color="auto" w:fill="auto"/>
            <w:noWrap/>
            <w:vAlign w:val="bottom"/>
          </w:tcPr>
          <w:p w14:paraId="6EF5B5D7" w14:textId="77777777" w:rsidR="00676777" w:rsidRDefault="00676777" w:rsidP="00D94DB2">
            <w:pPr>
              <w:jc w:val="right"/>
              <w:rPr>
                <w:sz w:val="18"/>
                <w:szCs w:val="18"/>
              </w:rPr>
            </w:pPr>
            <w:r>
              <w:rPr>
                <w:sz w:val="18"/>
                <w:szCs w:val="18"/>
              </w:rPr>
              <w:t>60,2%</w:t>
            </w:r>
          </w:p>
        </w:tc>
      </w:tr>
      <w:tr w:rsidR="00676777" w:rsidRPr="008343E9" w14:paraId="79BB9894" w14:textId="77777777" w:rsidTr="00D94DB2">
        <w:trPr>
          <w:trHeight w:val="78"/>
          <w:jc w:val="center"/>
        </w:trPr>
        <w:tc>
          <w:tcPr>
            <w:tcW w:w="4854" w:type="dxa"/>
            <w:tcBorders>
              <w:top w:val="nil"/>
              <w:left w:val="single" w:sz="4" w:space="0" w:color="auto"/>
              <w:bottom w:val="nil"/>
              <w:right w:val="single" w:sz="4" w:space="0" w:color="auto"/>
            </w:tcBorders>
            <w:shd w:val="clear" w:color="auto" w:fill="auto"/>
            <w:noWrap/>
            <w:vAlign w:val="bottom"/>
          </w:tcPr>
          <w:p w14:paraId="41DAD804" w14:textId="77777777" w:rsidR="00676777" w:rsidRPr="00E92024" w:rsidRDefault="00676777" w:rsidP="00D94DB2">
            <w:pPr>
              <w:rPr>
                <w:sz w:val="18"/>
                <w:szCs w:val="18"/>
              </w:rPr>
            </w:pPr>
            <w:r>
              <w:rPr>
                <w:sz w:val="18"/>
                <w:szCs w:val="18"/>
              </w:rPr>
              <w:t xml:space="preserve">      </w:t>
            </w:r>
            <w:r w:rsidRPr="00E92024">
              <w:rPr>
                <w:sz w:val="18"/>
                <w:szCs w:val="18"/>
              </w:rPr>
              <w:t xml:space="preserve">Предоставени тек. и </w:t>
            </w:r>
            <w:proofErr w:type="spellStart"/>
            <w:r w:rsidRPr="00E92024">
              <w:rPr>
                <w:sz w:val="18"/>
                <w:szCs w:val="18"/>
              </w:rPr>
              <w:t>капит</w:t>
            </w:r>
            <w:proofErr w:type="spellEnd"/>
            <w:r w:rsidRPr="00E92024">
              <w:rPr>
                <w:sz w:val="18"/>
                <w:szCs w:val="18"/>
              </w:rPr>
              <w:t>. трансфери за чужбина</w:t>
            </w:r>
          </w:p>
        </w:tc>
        <w:tc>
          <w:tcPr>
            <w:tcW w:w="1276" w:type="dxa"/>
            <w:tcBorders>
              <w:top w:val="nil"/>
              <w:left w:val="nil"/>
              <w:bottom w:val="nil"/>
              <w:right w:val="nil"/>
            </w:tcBorders>
            <w:shd w:val="clear" w:color="auto" w:fill="auto"/>
            <w:noWrap/>
          </w:tcPr>
          <w:p w14:paraId="039DDE2F" w14:textId="77777777" w:rsidR="00676777" w:rsidRPr="00E35F78" w:rsidRDefault="00676777" w:rsidP="00D94DB2">
            <w:pPr>
              <w:jc w:val="right"/>
              <w:rPr>
                <w:sz w:val="18"/>
                <w:szCs w:val="18"/>
              </w:rPr>
            </w:pPr>
            <w:r w:rsidRPr="00E35F78">
              <w:rPr>
                <w:sz w:val="18"/>
                <w:szCs w:val="18"/>
              </w:rPr>
              <w:t>27,7</w:t>
            </w:r>
          </w:p>
        </w:tc>
        <w:tc>
          <w:tcPr>
            <w:tcW w:w="1616" w:type="dxa"/>
            <w:tcBorders>
              <w:top w:val="nil"/>
              <w:left w:val="nil"/>
              <w:bottom w:val="nil"/>
              <w:right w:val="nil"/>
            </w:tcBorders>
            <w:shd w:val="clear" w:color="auto" w:fill="auto"/>
            <w:noWrap/>
            <w:vAlign w:val="bottom"/>
          </w:tcPr>
          <w:p w14:paraId="5A61648C" w14:textId="77777777" w:rsidR="00676777" w:rsidRDefault="00676777" w:rsidP="00D94DB2">
            <w:pPr>
              <w:jc w:val="right"/>
              <w:rPr>
                <w:sz w:val="18"/>
                <w:szCs w:val="18"/>
              </w:rPr>
            </w:pPr>
            <w:r>
              <w:rPr>
                <w:sz w:val="18"/>
                <w:szCs w:val="18"/>
              </w:rPr>
              <w:t>15,1</w:t>
            </w:r>
          </w:p>
        </w:tc>
        <w:tc>
          <w:tcPr>
            <w:tcW w:w="1304" w:type="dxa"/>
            <w:tcBorders>
              <w:top w:val="nil"/>
              <w:left w:val="nil"/>
              <w:bottom w:val="nil"/>
              <w:right w:val="single" w:sz="8" w:space="0" w:color="auto"/>
            </w:tcBorders>
            <w:shd w:val="clear" w:color="auto" w:fill="auto"/>
            <w:noWrap/>
            <w:vAlign w:val="bottom"/>
          </w:tcPr>
          <w:p w14:paraId="655B46E4" w14:textId="77777777" w:rsidR="00676777" w:rsidRDefault="00676777" w:rsidP="00D94DB2">
            <w:pPr>
              <w:jc w:val="right"/>
              <w:rPr>
                <w:sz w:val="18"/>
                <w:szCs w:val="18"/>
              </w:rPr>
            </w:pPr>
            <w:r>
              <w:rPr>
                <w:sz w:val="18"/>
                <w:szCs w:val="18"/>
              </w:rPr>
              <w:t>54,5%</w:t>
            </w:r>
          </w:p>
        </w:tc>
      </w:tr>
      <w:tr w:rsidR="00676777" w:rsidRPr="005773D6" w14:paraId="2D74EFF9" w14:textId="77777777" w:rsidTr="00D94DB2">
        <w:trPr>
          <w:trHeight w:val="179"/>
          <w:jc w:val="center"/>
        </w:trPr>
        <w:tc>
          <w:tcPr>
            <w:tcW w:w="4854" w:type="dxa"/>
            <w:tcBorders>
              <w:top w:val="nil"/>
              <w:left w:val="single" w:sz="4" w:space="0" w:color="auto"/>
              <w:bottom w:val="nil"/>
              <w:right w:val="single" w:sz="4" w:space="0" w:color="auto"/>
            </w:tcBorders>
            <w:shd w:val="clear" w:color="auto" w:fill="auto"/>
            <w:noWrap/>
            <w:vAlign w:val="bottom"/>
          </w:tcPr>
          <w:p w14:paraId="2CD95A5B" w14:textId="77777777" w:rsidR="00676777" w:rsidRPr="00E92024" w:rsidRDefault="00676777" w:rsidP="00D94DB2">
            <w:pPr>
              <w:rPr>
                <w:sz w:val="18"/>
                <w:szCs w:val="18"/>
              </w:rPr>
            </w:pPr>
            <w:r w:rsidRPr="00E92024">
              <w:rPr>
                <w:sz w:val="18"/>
                <w:szCs w:val="18"/>
              </w:rPr>
              <w:t xml:space="preserve">   Капиталови</w:t>
            </w:r>
          </w:p>
        </w:tc>
        <w:tc>
          <w:tcPr>
            <w:tcW w:w="1276" w:type="dxa"/>
            <w:tcBorders>
              <w:top w:val="nil"/>
              <w:left w:val="nil"/>
              <w:bottom w:val="nil"/>
              <w:right w:val="nil"/>
            </w:tcBorders>
            <w:shd w:val="clear" w:color="auto" w:fill="auto"/>
            <w:noWrap/>
          </w:tcPr>
          <w:p w14:paraId="296C20D0" w14:textId="77777777" w:rsidR="00676777" w:rsidRPr="00E35F78" w:rsidRDefault="00676777" w:rsidP="00D94DB2">
            <w:pPr>
              <w:jc w:val="right"/>
              <w:rPr>
                <w:sz w:val="18"/>
                <w:szCs w:val="18"/>
              </w:rPr>
            </w:pPr>
            <w:r w:rsidRPr="00E35F78">
              <w:rPr>
                <w:sz w:val="18"/>
                <w:szCs w:val="18"/>
              </w:rPr>
              <w:t>5 382,1</w:t>
            </w:r>
          </w:p>
        </w:tc>
        <w:tc>
          <w:tcPr>
            <w:tcW w:w="1616" w:type="dxa"/>
            <w:tcBorders>
              <w:top w:val="nil"/>
              <w:left w:val="nil"/>
              <w:bottom w:val="nil"/>
              <w:right w:val="nil"/>
            </w:tcBorders>
            <w:shd w:val="clear" w:color="auto" w:fill="auto"/>
            <w:noWrap/>
            <w:vAlign w:val="bottom"/>
          </w:tcPr>
          <w:p w14:paraId="3433978A" w14:textId="77777777" w:rsidR="00676777" w:rsidRDefault="00676777" w:rsidP="00D94DB2">
            <w:pPr>
              <w:jc w:val="right"/>
              <w:rPr>
                <w:sz w:val="18"/>
                <w:szCs w:val="18"/>
              </w:rPr>
            </w:pPr>
            <w:r>
              <w:rPr>
                <w:sz w:val="18"/>
                <w:szCs w:val="18"/>
              </w:rPr>
              <w:t>2 608,0</w:t>
            </w:r>
          </w:p>
        </w:tc>
        <w:tc>
          <w:tcPr>
            <w:tcW w:w="1304" w:type="dxa"/>
            <w:tcBorders>
              <w:top w:val="nil"/>
              <w:left w:val="nil"/>
              <w:bottom w:val="nil"/>
              <w:right w:val="single" w:sz="8" w:space="0" w:color="auto"/>
            </w:tcBorders>
            <w:shd w:val="clear" w:color="auto" w:fill="auto"/>
            <w:noWrap/>
            <w:vAlign w:val="bottom"/>
          </w:tcPr>
          <w:p w14:paraId="3A496A04" w14:textId="77777777" w:rsidR="00676777" w:rsidRDefault="00676777" w:rsidP="00D94DB2">
            <w:pPr>
              <w:jc w:val="right"/>
              <w:rPr>
                <w:sz w:val="18"/>
                <w:szCs w:val="18"/>
              </w:rPr>
            </w:pPr>
            <w:r>
              <w:rPr>
                <w:sz w:val="18"/>
                <w:szCs w:val="18"/>
              </w:rPr>
              <w:t>48,5%</w:t>
            </w:r>
          </w:p>
        </w:tc>
      </w:tr>
      <w:tr w:rsidR="00676777" w:rsidRPr="005773D6" w14:paraId="62F064DC" w14:textId="77777777" w:rsidTr="00D94DB2">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14:paraId="7A26F919" w14:textId="77777777" w:rsidR="00676777" w:rsidRPr="00E92024" w:rsidRDefault="00676777" w:rsidP="00D94DB2">
            <w:pPr>
              <w:rPr>
                <w:i/>
                <w:sz w:val="18"/>
                <w:szCs w:val="18"/>
              </w:rPr>
            </w:pPr>
            <w:r w:rsidRPr="00E92024">
              <w:rPr>
                <w:i/>
                <w:sz w:val="18"/>
                <w:szCs w:val="18"/>
              </w:rPr>
              <w:t xml:space="preserve">   -Лихви</w:t>
            </w:r>
          </w:p>
        </w:tc>
        <w:tc>
          <w:tcPr>
            <w:tcW w:w="1276" w:type="dxa"/>
            <w:tcBorders>
              <w:top w:val="nil"/>
              <w:left w:val="nil"/>
              <w:bottom w:val="nil"/>
              <w:right w:val="nil"/>
            </w:tcBorders>
            <w:shd w:val="clear" w:color="auto" w:fill="auto"/>
            <w:noWrap/>
          </w:tcPr>
          <w:p w14:paraId="442F2586" w14:textId="77777777" w:rsidR="00676777" w:rsidRPr="00E35F78" w:rsidRDefault="00676777" w:rsidP="00D94DB2">
            <w:pPr>
              <w:jc w:val="right"/>
              <w:rPr>
                <w:sz w:val="18"/>
                <w:szCs w:val="18"/>
              </w:rPr>
            </w:pPr>
            <w:r w:rsidRPr="00E35F78">
              <w:rPr>
                <w:sz w:val="18"/>
                <w:szCs w:val="18"/>
              </w:rPr>
              <w:t>1 567,0</w:t>
            </w:r>
          </w:p>
        </w:tc>
        <w:tc>
          <w:tcPr>
            <w:tcW w:w="1616" w:type="dxa"/>
            <w:tcBorders>
              <w:top w:val="nil"/>
              <w:left w:val="nil"/>
              <w:bottom w:val="nil"/>
              <w:right w:val="nil"/>
            </w:tcBorders>
            <w:shd w:val="clear" w:color="auto" w:fill="auto"/>
            <w:noWrap/>
            <w:vAlign w:val="bottom"/>
          </w:tcPr>
          <w:p w14:paraId="5FBF5FD1" w14:textId="77777777" w:rsidR="00676777" w:rsidRDefault="00676777" w:rsidP="00D94DB2">
            <w:pPr>
              <w:jc w:val="right"/>
              <w:rPr>
                <w:sz w:val="18"/>
                <w:szCs w:val="18"/>
              </w:rPr>
            </w:pPr>
            <w:r>
              <w:rPr>
                <w:sz w:val="18"/>
                <w:szCs w:val="18"/>
              </w:rPr>
              <w:t>1 296,5</w:t>
            </w:r>
          </w:p>
        </w:tc>
        <w:tc>
          <w:tcPr>
            <w:tcW w:w="1304" w:type="dxa"/>
            <w:tcBorders>
              <w:top w:val="nil"/>
              <w:left w:val="nil"/>
              <w:bottom w:val="nil"/>
              <w:right w:val="single" w:sz="8" w:space="0" w:color="auto"/>
            </w:tcBorders>
            <w:shd w:val="clear" w:color="auto" w:fill="auto"/>
            <w:noWrap/>
            <w:vAlign w:val="bottom"/>
          </w:tcPr>
          <w:p w14:paraId="4BCBC278" w14:textId="77777777" w:rsidR="00676777" w:rsidRDefault="00676777" w:rsidP="00D94DB2">
            <w:pPr>
              <w:jc w:val="right"/>
              <w:rPr>
                <w:sz w:val="18"/>
                <w:szCs w:val="18"/>
              </w:rPr>
            </w:pPr>
            <w:r>
              <w:rPr>
                <w:sz w:val="18"/>
                <w:szCs w:val="18"/>
              </w:rPr>
              <w:t>82,7%</w:t>
            </w:r>
          </w:p>
        </w:tc>
      </w:tr>
      <w:tr w:rsidR="00676777" w:rsidRPr="005773D6" w14:paraId="7EDBC201" w14:textId="77777777" w:rsidTr="00D94DB2">
        <w:trPr>
          <w:trHeight w:val="80"/>
          <w:jc w:val="center"/>
        </w:trPr>
        <w:tc>
          <w:tcPr>
            <w:tcW w:w="4854" w:type="dxa"/>
            <w:tcBorders>
              <w:top w:val="nil"/>
              <w:left w:val="single" w:sz="4" w:space="0" w:color="auto"/>
              <w:bottom w:val="nil"/>
              <w:right w:val="single" w:sz="4" w:space="0" w:color="auto"/>
            </w:tcBorders>
            <w:shd w:val="clear" w:color="auto" w:fill="auto"/>
            <w:noWrap/>
            <w:vAlign w:val="bottom"/>
          </w:tcPr>
          <w:p w14:paraId="3B5A4202" w14:textId="77777777" w:rsidR="00676777" w:rsidRPr="00E92024" w:rsidRDefault="00676777" w:rsidP="00D94DB2">
            <w:pPr>
              <w:rPr>
                <w:sz w:val="18"/>
                <w:szCs w:val="18"/>
              </w:rPr>
            </w:pPr>
            <w:r w:rsidRPr="00E92024">
              <w:rPr>
                <w:sz w:val="18"/>
                <w:szCs w:val="18"/>
              </w:rPr>
              <w:t xml:space="preserve">      По външни заеми</w:t>
            </w:r>
          </w:p>
        </w:tc>
        <w:tc>
          <w:tcPr>
            <w:tcW w:w="1276" w:type="dxa"/>
            <w:tcBorders>
              <w:top w:val="nil"/>
              <w:left w:val="nil"/>
              <w:bottom w:val="nil"/>
              <w:right w:val="nil"/>
            </w:tcBorders>
            <w:shd w:val="clear" w:color="auto" w:fill="auto"/>
            <w:noWrap/>
          </w:tcPr>
          <w:p w14:paraId="10A32AC2" w14:textId="77777777" w:rsidR="00676777" w:rsidRPr="00E35F78" w:rsidRDefault="00676777" w:rsidP="00D94DB2">
            <w:pPr>
              <w:jc w:val="right"/>
              <w:rPr>
                <w:sz w:val="18"/>
                <w:szCs w:val="18"/>
              </w:rPr>
            </w:pPr>
            <w:r w:rsidRPr="00E35F78">
              <w:rPr>
                <w:sz w:val="18"/>
                <w:szCs w:val="18"/>
              </w:rPr>
              <w:t>1 349,1</w:t>
            </w:r>
          </w:p>
        </w:tc>
        <w:tc>
          <w:tcPr>
            <w:tcW w:w="1616" w:type="dxa"/>
            <w:tcBorders>
              <w:top w:val="nil"/>
              <w:left w:val="nil"/>
              <w:bottom w:val="nil"/>
              <w:right w:val="nil"/>
            </w:tcBorders>
            <w:shd w:val="clear" w:color="auto" w:fill="auto"/>
            <w:noWrap/>
            <w:vAlign w:val="bottom"/>
          </w:tcPr>
          <w:p w14:paraId="5EAC1AC2" w14:textId="77777777" w:rsidR="00676777" w:rsidRDefault="00676777" w:rsidP="00D94DB2">
            <w:pPr>
              <w:jc w:val="right"/>
              <w:rPr>
                <w:sz w:val="18"/>
                <w:szCs w:val="18"/>
              </w:rPr>
            </w:pPr>
            <w:r>
              <w:rPr>
                <w:sz w:val="18"/>
                <w:szCs w:val="18"/>
              </w:rPr>
              <w:t>1 116,0</w:t>
            </w:r>
          </w:p>
        </w:tc>
        <w:tc>
          <w:tcPr>
            <w:tcW w:w="1304" w:type="dxa"/>
            <w:tcBorders>
              <w:top w:val="nil"/>
              <w:left w:val="nil"/>
              <w:bottom w:val="nil"/>
              <w:right w:val="single" w:sz="8" w:space="0" w:color="auto"/>
            </w:tcBorders>
            <w:shd w:val="clear" w:color="auto" w:fill="auto"/>
            <w:noWrap/>
            <w:vAlign w:val="bottom"/>
          </w:tcPr>
          <w:p w14:paraId="0B8B6CDB" w14:textId="77777777" w:rsidR="00676777" w:rsidRDefault="00676777" w:rsidP="00D94DB2">
            <w:pPr>
              <w:jc w:val="right"/>
              <w:rPr>
                <w:sz w:val="18"/>
                <w:szCs w:val="18"/>
              </w:rPr>
            </w:pPr>
            <w:r>
              <w:rPr>
                <w:sz w:val="18"/>
                <w:szCs w:val="18"/>
              </w:rPr>
              <w:t>82,7%</w:t>
            </w:r>
          </w:p>
        </w:tc>
      </w:tr>
      <w:tr w:rsidR="00676777" w:rsidRPr="005773D6" w14:paraId="5E31BC10" w14:textId="77777777" w:rsidTr="00D94DB2">
        <w:trPr>
          <w:trHeight w:val="60"/>
          <w:jc w:val="center"/>
        </w:trPr>
        <w:tc>
          <w:tcPr>
            <w:tcW w:w="4854" w:type="dxa"/>
            <w:tcBorders>
              <w:top w:val="nil"/>
              <w:left w:val="single" w:sz="4" w:space="0" w:color="auto"/>
              <w:bottom w:val="nil"/>
              <w:right w:val="single" w:sz="4" w:space="0" w:color="auto"/>
            </w:tcBorders>
            <w:shd w:val="clear" w:color="auto" w:fill="auto"/>
            <w:noWrap/>
            <w:vAlign w:val="bottom"/>
          </w:tcPr>
          <w:p w14:paraId="4FAEA642" w14:textId="77777777" w:rsidR="00676777" w:rsidRPr="00E92024" w:rsidRDefault="00676777" w:rsidP="00D94DB2">
            <w:pPr>
              <w:rPr>
                <w:sz w:val="18"/>
                <w:szCs w:val="18"/>
              </w:rPr>
            </w:pPr>
            <w:r w:rsidRPr="00E92024">
              <w:rPr>
                <w:sz w:val="18"/>
                <w:szCs w:val="18"/>
              </w:rPr>
              <w:t xml:space="preserve">      По вътрешни заеми</w:t>
            </w:r>
          </w:p>
        </w:tc>
        <w:tc>
          <w:tcPr>
            <w:tcW w:w="1276" w:type="dxa"/>
            <w:tcBorders>
              <w:top w:val="nil"/>
              <w:left w:val="nil"/>
              <w:bottom w:val="nil"/>
              <w:right w:val="nil"/>
            </w:tcBorders>
            <w:shd w:val="clear" w:color="auto" w:fill="auto"/>
            <w:noWrap/>
          </w:tcPr>
          <w:p w14:paraId="7A2D2297" w14:textId="77777777" w:rsidR="00676777" w:rsidRPr="00E35F78" w:rsidRDefault="00676777" w:rsidP="00D94DB2">
            <w:pPr>
              <w:jc w:val="right"/>
              <w:rPr>
                <w:sz w:val="18"/>
                <w:szCs w:val="18"/>
              </w:rPr>
            </w:pPr>
            <w:r w:rsidRPr="00E35F78">
              <w:rPr>
                <w:sz w:val="18"/>
                <w:szCs w:val="18"/>
              </w:rPr>
              <w:t>217,9</w:t>
            </w:r>
          </w:p>
        </w:tc>
        <w:tc>
          <w:tcPr>
            <w:tcW w:w="1616" w:type="dxa"/>
            <w:tcBorders>
              <w:top w:val="nil"/>
              <w:left w:val="nil"/>
              <w:bottom w:val="nil"/>
              <w:right w:val="nil"/>
            </w:tcBorders>
            <w:shd w:val="clear" w:color="auto" w:fill="auto"/>
            <w:noWrap/>
            <w:vAlign w:val="bottom"/>
          </w:tcPr>
          <w:p w14:paraId="3094FB49" w14:textId="77777777" w:rsidR="00676777" w:rsidRDefault="00676777" w:rsidP="00D94DB2">
            <w:pPr>
              <w:jc w:val="right"/>
              <w:rPr>
                <w:sz w:val="18"/>
                <w:szCs w:val="18"/>
              </w:rPr>
            </w:pPr>
            <w:r>
              <w:rPr>
                <w:sz w:val="18"/>
                <w:szCs w:val="18"/>
              </w:rPr>
              <w:t>180,5</w:t>
            </w:r>
          </w:p>
        </w:tc>
        <w:tc>
          <w:tcPr>
            <w:tcW w:w="1304" w:type="dxa"/>
            <w:tcBorders>
              <w:top w:val="nil"/>
              <w:left w:val="nil"/>
              <w:bottom w:val="nil"/>
              <w:right w:val="single" w:sz="8" w:space="0" w:color="auto"/>
            </w:tcBorders>
            <w:shd w:val="clear" w:color="auto" w:fill="auto"/>
            <w:noWrap/>
            <w:vAlign w:val="bottom"/>
          </w:tcPr>
          <w:p w14:paraId="5E78DFE2" w14:textId="77777777" w:rsidR="00676777" w:rsidRDefault="00676777" w:rsidP="00D94DB2">
            <w:pPr>
              <w:jc w:val="right"/>
              <w:rPr>
                <w:sz w:val="18"/>
                <w:szCs w:val="18"/>
              </w:rPr>
            </w:pPr>
            <w:r>
              <w:rPr>
                <w:sz w:val="18"/>
                <w:szCs w:val="18"/>
              </w:rPr>
              <w:t>82,8%</w:t>
            </w:r>
          </w:p>
        </w:tc>
      </w:tr>
      <w:tr w:rsidR="00676777" w:rsidRPr="005773D6" w14:paraId="157AEDB8" w14:textId="77777777" w:rsidTr="00D94DB2">
        <w:trPr>
          <w:trHeight w:val="85"/>
          <w:jc w:val="center"/>
        </w:trPr>
        <w:tc>
          <w:tcPr>
            <w:tcW w:w="4854" w:type="dxa"/>
            <w:tcBorders>
              <w:top w:val="nil"/>
              <w:left w:val="single" w:sz="4" w:space="0" w:color="auto"/>
              <w:bottom w:val="nil"/>
              <w:right w:val="single" w:sz="4" w:space="0" w:color="auto"/>
            </w:tcBorders>
            <w:shd w:val="clear" w:color="auto" w:fill="auto"/>
            <w:noWrap/>
            <w:vAlign w:val="bottom"/>
          </w:tcPr>
          <w:p w14:paraId="35089F49" w14:textId="77777777" w:rsidR="00676777" w:rsidRPr="00E92024" w:rsidRDefault="00676777" w:rsidP="00D94DB2">
            <w:pPr>
              <w:rPr>
                <w:i/>
                <w:sz w:val="18"/>
                <w:szCs w:val="18"/>
              </w:rPr>
            </w:pPr>
            <w:r w:rsidRPr="00E92024">
              <w:rPr>
                <w:i/>
                <w:sz w:val="18"/>
                <w:szCs w:val="18"/>
              </w:rPr>
              <w:t xml:space="preserve"> - Резерв за непредвидени и неотложни разходи</w:t>
            </w:r>
            <w:r w:rsidRPr="00E92024">
              <w:rPr>
                <w:rStyle w:val="FootnoteReference"/>
                <w:i/>
                <w:sz w:val="18"/>
                <w:szCs w:val="18"/>
              </w:rPr>
              <w:footnoteReference w:id="10"/>
            </w:r>
            <w:r w:rsidRPr="00E92024">
              <w:rPr>
                <w:i/>
                <w:sz w:val="18"/>
                <w:szCs w:val="18"/>
              </w:rPr>
              <w:tab/>
            </w:r>
          </w:p>
        </w:tc>
        <w:tc>
          <w:tcPr>
            <w:tcW w:w="1276" w:type="dxa"/>
            <w:tcBorders>
              <w:top w:val="nil"/>
              <w:left w:val="nil"/>
              <w:bottom w:val="nil"/>
              <w:right w:val="nil"/>
            </w:tcBorders>
            <w:shd w:val="clear" w:color="auto" w:fill="auto"/>
            <w:noWrap/>
            <w:vAlign w:val="bottom"/>
          </w:tcPr>
          <w:p w14:paraId="26D37575" w14:textId="77777777" w:rsidR="00676777" w:rsidRPr="00E35F78" w:rsidRDefault="00676777" w:rsidP="00D94DB2">
            <w:pPr>
              <w:jc w:val="right"/>
              <w:rPr>
                <w:sz w:val="18"/>
                <w:szCs w:val="18"/>
              </w:rPr>
            </w:pPr>
            <w:r w:rsidRPr="00E35F78">
              <w:rPr>
                <w:sz w:val="18"/>
                <w:szCs w:val="18"/>
                <w:lang w:val="ru-RU"/>
              </w:rPr>
              <w:t xml:space="preserve">      </w:t>
            </w:r>
            <w:r w:rsidRPr="00E35F78">
              <w:rPr>
                <w:sz w:val="18"/>
                <w:szCs w:val="18"/>
              </w:rPr>
              <w:t>131,4</w:t>
            </w:r>
            <w:r w:rsidRPr="00E35F78">
              <w:rPr>
                <w:sz w:val="18"/>
                <w:szCs w:val="18"/>
              </w:rPr>
              <w:tab/>
            </w:r>
          </w:p>
        </w:tc>
        <w:tc>
          <w:tcPr>
            <w:tcW w:w="1616" w:type="dxa"/>
            <w:tcBorders>
              <w:top w:val="nil"/>
              <w:left w:val="nil"/>
              <w:bottom w:val="nil"/>
              <w:right w:val="nil"/>
            </w:tcBorders>
            <w:shd w:val="clear" w:color="auto" w:fill="auto"/>
            <w:noWrap/>
            <w:vAlign w:val="bottom"/>
          </w:tcPr>
          <w:p w14:paraId="194DDD5A" w14:textId="77777777" w:rsidR="00676777" w:rsidRDefault="00676777" w:rsidP="00D94DB2">
            <w:pPr>
              <w:jc w:val="right"/>
              <w:rPr>
                <w:sz w:val="18"/>
                <w:szCs w:val="18"/>
              </w:rPr>
            </w:pPr>
          </w:p>
        </w:tc>
        <w:tc>
          <w:tcPr>
            <w:tcW w:w="1304" w:type="dxa"/>
            <w:tcBorders>
              <w:top w:val="nil"/>
              <w:left w:val="nil"/>
              <w:bottom w:val="nil"/>
              <w:right w:val="single" w:sz="8" w:space="0" w:color="auto"/>
            </w:tcBorders>
            <w:shd w:val="clear" w:color="auto" w:fill="auto"/>
            <w:noWrap/>
            <w:vAlign w:val="bottom"/>
          </w:tcPr>
          <w:p w14:paraId="5B3182FC" w14:textId="77777777" w:rsidR="00676777" w:rsidRDefault="00676777" w:rsidP="00D94DB2">
            <w:pPr>
              <w:rPr>
                <w:sz w:val="18"/>
                <w:szCs w:val="18"/>
              </w:rPr>
            </w:pPr>
            <w:r>
              <w:rPr>
                <w:sz w:val="18"/>
                <w:szCs w:val="18"/>
              </w:rPr>
              <w:t> </w:t>
            </w:r>
          </w:p>
        </w:tc>
      </w:tr>
      <w:tr w:rsidR="00676777" w:rsidRPr="005773D6" w14:paraId="4595F1C7" w14:textId="77777777" w:rsidTr="00D94DB2">
        <w:trPr>
          <w:trHeight w:val="85"/>
          <w:jc w:val="center"/>
        </w:trPr>
        <w:tc>
          <w:tcPr>
            <w:tcW w:w="4854" w:type="dxa"/>
            <w:tcBorders>
              <w:top w:val="nil"/>
              <w:left w:val="single" w:sz="4" w:space="0" w:color="auto"/>
              <w:bottom w:val="nil"/>
              <w:right w:val="single" w:sz="4" w:space="0" w:color="auto"/>
            </w:tcBorders>
            <w:shd w:val="clear" w:color="auto" w:fill="auto"/>
            <w:noWrap/>
            <w:vAlign w:val="bottom"/>
          </w:tcPr>
          <w:p w14:paraId="27FE5C19" w14:textId="77777777" w:rsidR="00676777" w:rsidRPr="00E92024" w:rsidRDefault="00676777" w:rsidP="00D94DB2">
            <w:pPr>
              <w:rPr>
                <w:i/>
                <w:sz w:val="18"/>
                <w:szCs w:val="18"/>
              </w:rPr>
            </w:pPr>
            <w:r w:rsidRPr="00E92024">
              <w:rPr>
                <w:i/>
                <w:sz w:val="18"/>
                <w:szCs w:val="18"/>
              </w:rPr>
              <w:t xml:space="preserve"> - Трансфери за  др. бюджети – нето</w:t>
            </w:r>
          </w:p>
        </w:tc>
        <w:tc>
          <w:tcPr>
            <w:tcW w:w="1276" w:type="dxa"/>
            <w:tcBorders>
              <w:top w:val="nil"/>
              <w:left w:val="nil"/>
              <w:bottom w:val="nil"/>
              <w:right w:val="nil"/>
            </w:tcBorders>
            <w:shd w:val="clear" w:color="auto" w:fill="auto"/>
            <w:noWrap/>
          </w:tcPr>
          <w:p w14:paraId="64200405" w14:textId="77777777" w:rsidR="00676777" w:rsidRPr="00E35F78" w:rsidRDefault="00676777" w:rsidP="00D94DB2">
            <w:pPr>
              <w:jc w:val="right"/>
              <w:rPr>
                <w:sz w:val="18"/>
                <w:szCs w:val="18"/>
              </w:rPr>
            </w:pPr>
            <w:r w:rsidRPr="00E35F78">
              <w:rPr>
                <w:sz w:val="18"/>
                <w:szCs w:val="18"/>
              </w:rPr>
              <w:t>29 476,6</w:t>
            </w:r>
          </w:p>
        </w:tc>
        <w:tc>
          <w:tcPr>
            <w:tcW w:w="1616" w:type="dxa"/>
            <w:tcBorders>
              <w:top w:val="nil"/>
              <w:left w:val="nil"/>
              <w:bottom w:val="nil"/>
              <w:right w:val="nil"/>
            </w:tcBorders>
            <w:shd w:val="clear" w:color="auto" w:fill="auto"/>
            <w:noWrap/>
            <w:vAlign w:val="bottom"/>
          </w:tcPr>
          <w:p w14:paraId="3B4724F5" w14:textId="77777777" w:rsidR="00676777" w:rsidRDefault="00676777" w:rsidP="00D94DB2">
            <w:pPr>
              <w:jc w:val="right"/>
              <w:rPr>
                <w:sz w:val="18"/>
                <w:szCs w:val="18"/>
              </w:rPr>
            </w:pPr>
            <w:r>
              <w:rPr>
                <w:sz w:val="18"/>
                <w:szCs w:val="18"/>
              </w:rPr>
              <w:t>22 546,8</w:t>
            </w:r>
          </w:p>
        </w:tc>
        <w:tc>
          <w:tcPr>
            <w:tcW w:w="1304" w:type="dxa"/>
            <w:tcBorders>
              <w:top w:val="nil"/>
              <w:left w:val="nil"/>
              <w:bottom w:val="nil"/>
              <w:right w:val="single" w:sz="8" w:space="0" w:color="auto"/>
            </w:tcBorders>
            <w:shd w:val="clear" w:color="auto" w:fill="auto"/>
            <w:noWrap/>
            <w:vAlign w:val="bottom"/>
          </w:tcPr>
          <w:p w14:paraId="3361AF7C" w14:textId="77777777" w:rsidR="00676777" w:rsidRDefault="00676777" w:rsidP="00D94DB2">
            <w:pPr>
              <w:jc w:val="right"/>
              <w:rPr>
                <w:sz w:val="18"/>
                <w:szCs w:val="18"/>
              </w:rPr>
            </w:pPr>
            <w:r>
              <w:rPr>
                <w:sz w:val="18"/>
                <w:szCs w:val="18"/>
              </w:rPr>
              <w:t>76,5%</w:t>
            </w:r>
          </w:p>
        </w:tc>
      </w:tr>
      <w:tr w:rsidR="00676777" w:rsidRPr="005773D6" w14:paraId="10091725" w14:textId="77777777" w:rsidTr="00D94DB2">
        <w:trPr>
          <w:trHeight w:val="80"/>
          <w:jc w:val="center"/>
        </w:trPr>
        <w:tc>
          <w:tcPr>
            <w:tcW w:w="4854" w:type="dxa"/>
            <w:tcBorders>
              <w:top w:val="nil"/>
              <w:left w:val="single" w:sz="4" w:space="0" w:color="auto"/>
              <w:bottom w:val="single" w:sz="4" w:space="0" w:color="auto"/>
              <w:right w:val="single" w:sz="4" w:space="0" w:color="auto"/>
            </w:tcBorders>
            <w:shd w:val="clear" w:color="auto" w:fill="auto"/>
            <w:noWrap/>
            <w:vAlign w:val="bottom"/>
          </w:tcPr>
          <w:p w14:paraId="24692EF2" w14:textId="77777777" w:rsidR="00676777" w:rsidRPr="00E92024" w:rsidRDefault="00676777" w:rsidP="00D94DB2">
            <w:pPr>
              <w:rPr>
                <w:bCs/>
                <w:i/>
                <w:sz w:val="18"/>
                <w:szCs w:val="18"/>
              </w:rPr>
            </w:pPr>
            <w:r w:rsidRPr="00E92024">
              <w:rPr>
                <w:bCs/>
                <w:i/>
                <w:sz w:val="18"/>
                <w:szCs w:val="18"/>
              </w:rPr>
              <w:t xml:space="preserve"> - Вноска в бюджета на ЕС</w:t>
            </w:r>
          </w:p>
        </w:tc>
        <w:tc>
          <w:tcPr>
            <w:tcW w:w="1276" w:type="dxa"/>
            <w:tcBorders>
              <w:top w:val="nil"/>
              <w:left w:val="nil"/>
              <w:bottom w:val="single" w:sz="4" w:space="0" w:color="auto"/>
              <w:right w:val="nil"/>
            </w:tcBorders>
            <w:shd w:val="clear" w:color="auto" w:fill="auto"/>
            <w:noWrap/>
          </w:tcPr>
          <w:p w14:paraId="723AB09C" w14:textId="77777777" w:rsidR="00676777" w:rsidRPr="00E35F78" w:rsidRDefault="00676777" w:rsidP="00D94DB2">
            <w:pPr>
              <w:jc w:val="right"/>
              <w:rPr>
                <w:sz w:val="18"/>
                <w:szCs w:val="18"/>
              </w:rPr>
            </w:pPr>
            <w:r w:rsidRPr="00E35F78">
              <w:rPr>
                <w:sz w:val="18"/>
                <w:szCs w:val="18"/>
              </w:rPr>
              <w:t>2 020,5</w:t>
            </w:r>
          </w:p>
        </w:tc>
        <w:tc>
          <w:tcPr>
            <w:tcW w:w="1616" w:type="dxa"/>
            <w:tcBorders>
              <w:top w:val="nil"/>
              <w:left w:val="nil"/>
              <w:bottom w:val="single" w:sz="4" w:space="0" w:color="auto"/>
              <w:right w:val="nil"/>
            </w:tcBorders>
            <w:shd w:val="clear" w:color="auto" w:fill="auto"/>
            <w:noWrap/>
            <w:vAlign w:val="bottom"/>
          </w:tcPr>
          <w:p w14:paraId="50964170" w14:textId="77777777" w:rsidR="00676777" w:rsidRDefault="00676777" w:rsidP="00D94DB2">
            <w:pPr>
              <w:jc w:val="right"/>
              <w:rPr>
                <w:sz w:val="18"/>
                <w:szCs w:val="18"/>
              </w:rPr>
            </w:pPr>
            <w:r>
              <w:rPr>
                <w:sz w:val="18"/>
                <w:szCs w:val="18"/>
              </w:rPr>
              <w:t>1 471,4</w:t>
            </w:r>
          </w:p>
        </w:tc>
        <w:tc>
          <w:tcPr>
            <w:tcW w:w="1304" w:type="dxa"/>
            <w:tcBorders>
              <w:top w:val="nil"/>
              <w:left w:val="nil"/>
              <w:bottom w:val="single" w:sz="4" w:space="0" w:color="auto"/>
              <w:right w:val="single" w:sz="8" w:space="0" w:color="auto"/>
            </w:tcBorders>
            <w:shd w:val="clear" w:color="auto" w:fill="auto"/>
            <w:noWrap/>
            <w:vAlign w:val="bottom"/>
          </w:tcPr>
          <w:p w14:paraId="2F594DC4" w14:textId="77777777" w:rsidR="00676777" w:rsidRDefault="00676777" w:rsidP="00D94DB2">
            <w:pPr>
              <w:jc w:val="right"/>
              <w:rPr>
                <w:sz w:val="18"/>
                <w:szCs w:val="18"/>
              </w:rPr>
            </w:pPr>
            <w:r>
              <w:rPr>
                <w:sz w:val="18"/>
                <w:szCs w:val="18"/>
              </w:rPr>
              <w:t>72,8%</w:t>
            </w:r>
          </w:p>
        </w:tc>
      </w:tr>
      <w:tr w:rsidR="00676777" w:rsidRPr="005773D6" w14:paraId="3DB189C7" w14:textId="77777777" w:rsidTr="00D94DB2">
        <w:trPr>
          <w:trHeight w:val="50"/>
          <w:jc w:val="center"/>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9B019" w14:textId="77777777" w:rsidR="00676777" w:rsidRPr="00DD6E1A" w:rsidRDefault="00676777" w:rsidP="00D94DB2">
            <w:pPr>
              <w:rPr>
                <w:b/>
                <w:bCs/>
                <w:sz w:val="18"/>
                <w:szCs w:val="18"/>
              </w:rPr>
            </w:pPr>
            <w:r w:rsidRPr="00DD6E1A">
              <w:rPr>
                <w:b/>
                <w:bCs/>
                <w:sz w:val="18"/>
                <w:szCs w:val="18"/>
              </w:rPr>
              <w:t>Бюджетен баланс</w:t>
            </w:r>
          </w:p>
        </w:tc>
        <w:tc>
          <w:tcPr>
            <w:tcW w:w="1276" w:type="dxa"/>
            <w:tcBorders>
              <w:top w:val="nil"/>
              <w:left w:val="nil"/>
              <w:bottom w:val="single" w:sz="8" w:space="0" w:color="auto"/>
              <w:right w:val="nil"/>
            </w:tcBorders>
            <w:shd w:val="clear" w:color="auto" w:fill="auto"/>
            <w:noWrap/>
          </w:tcPr>
          <w:p w14:paraId="1F7577C4" w14:textId="77777777" w:rsidR="00676777" w:rsidRPr="00E35F78" w:rsidRDefault="00676777" w:rsidP="00D94DB2">
            <w:pPr>
              <w:jc w:val="right"/>
              <w:rPr>
                <w:b/>
                <w:sz w:val="18"/>
                <w:szCs w:val="18"/>
              </w:rPr>
            </w:pPr>
            <w:r w:rsidRPr="00E35F78">
              <w:rPr>
                <w:b/>
                <w:sz w:val="18"/>
                <w:szCs w:val="18"/>
              </w:rPr>
              <w:t>-7 132,6</w:t>
            </w:r>
          </w:p>
        </w:tc>
        <w:tc>
          <w:tcPr>
            <w:tcW w:w="1616" w:type="dxa"/>
            <w:tcBorders>
              <w:top w:val="nil"/>
              <w:left w:val="nil"/>
              <w:bottom w:val="single" w:sz="8" w:space="0" w:color="auto"/>
              <w:right w:val="nil"/>
            </w:tcBorders>
            <w:shd w:val="clear" w:color="auto" w:fill="auto"/>
            <w:noWrap/>
            <w:vAlign w:val="bottom"/>
          </w:tcPr>
          <w:p w14:paraId="78805505" w14:textId="77777777" w:rsidR="00676777" w:rsidRDefault="00676777" w:rsidP="00D94DB2">
            <w:pPr>
              <w:jc w:val="right"/>
              <w:rPr>
                <w:b/>
                <w:bCs/>
                <w:sz w:val="18"/>
                <w:szCs w:val="18"/>
              </w:rPr>
            </w:pPr>
            <w:r>
              <w:rPr>
                <w:b/>
                <w:bCs/>
                <w:sz w:val="18"/>
                <w:szCs w:val="18"/>
              </w:rPr>
              <w:t>-5 210,5</w:t>
            </w:r>
          </w:p>
        </w:tc>
        <w:tc>
          <w:tcPr>
            <w:tcW w:w="1304" w:type="dxa"/>
            <w:tcBorders>
              <w:top w:val="nil"/>
              <w:left w:val="nil"/>
              <w:bottom w:val="single" w:sz="8" w:space="0" w:color="auto"/>
              <w:right w:val="single" w:sz="8" w:space="0" w:color="auto"/>
            </w:tcBorders>
            <w:shd w:val="clear" w:color="auto" w:fill="auto"/>
            <w:noWrap/>
            <w:vAlign w:val="bottom"/>
          </w:tcPr>
          <w:p w14:paraId="6E4A9135" w14:textId="77777777" w:rsidR="00676777" w:rsidRDefault="00676777" w:rsidP="00D94DB2">
            <w:pPr>
              <w:rPr>
                <w:b/>
                <w:bCs/>
                <w:sz w:val="18"/>
                <w:szCs w:val="18"/>
              </w:rPr>
            </w:pPr>
            <w:r>
              <w:rPr>
                <w:b/>
                <w:bCs/>
                <w:sz w:val="18"/>
                <w:szCs w:val="18"/>
              </w:rPr>
              <w:t> </w:t>
            </w:r>
          </w:p>
        </w:tc>
      </w:tr>
    </w:tbl>
    <w:p w14:paraId="5EFF63F1" w14:textId="77777777" w:rsidR="00676777" w:rsidRPr="005773D6" w:rsidRDefault="00676777" w:rsidP="00676777">
      <w:pPr>
        <w:ind w:right="-242"/>
        <w:rPr>
          <w:bCs/>
          <w:color w:val="0070C0"/>
          <w:sz w:val="6"/>
          <w:szCs w:val="6"/>
        </w:rPr>
      </w:pPr>
    </w:p>
    <w:p w14:paraId="06AA0DCA" w14:textId="77777777" w:rsidR="00676777" w:rsidRPr="007F718A" w:rsidRDefault="00676777" w:rsidP="00676777">
      <w:pPr>
        <w:pStyle w:val="BodyTextIndent"/>
        <w:ind w:left="0"/>
        <w:jc w:val="both"/>
        <w:rPr>
          <w:b/>
          <w:sz w:val="12"/>
        </w:rPr>
      </w:pPr>
    </w:p>
    <w:p w14:paraId="44DFADD0" w14:textId="77777777" w:rsidR="00676777" w:rsidRPr="007F718A" w:rsidRDefault="00676777" w:rsidP="00676777">
      <w:pPr>
        <w:pStyle w:val="BodyTextIndent"/>
        <w:numPr>
          <w:ilvl w:val="0"/>
          <w:numId w:val="2"/>
        </w:numPr>
        <w:jc w:val="both"/>
        <w:rPr>
          <w:b/>
        </w:rPr>
      </w:pPr>
      <w:r w:rsidRPr="007F718A">
        <w:rPr>
          <w:b/>
          <w:bCs/>
        </w:rPr>
        <w:t xml:space="preserve">Приходи по държавния бюджет </w:t>
      </w:r>
    </w:p>
    <w:p w14:paraId="541BDD94" w14:textId="77777777" w:rsidR="00676777" w:rsidRPr="007F718A" w:rsidRDefault="00676777" w:rsidP="00676777">
      <w:pPr>
        <w:jc w:val="both"/>
        <w:rPr>
          <w:bCs/>
        </w:rPr>
      </w:pPr>
      <w:r w:rsidRPr="007F718A">
        <w:rPr>
          <w:bCs/>
        </w:rPr>
        <w:t>Общият размер на</w:t>
      </w:r>
      <w:r w:rsidRPr="007F718A">
        <w:rPr>
          <w:b/>
          <w:bCs/>
        </w:rPr>
        <w:t xml:space="preserve"> приходите, помощите и даренията по държавния бюджет</w:t>
      </w:r>
      <w:r w:rsidRPr="007F718A">
        <w:rPr>
          <w:bCs/>
        </w:rPr>
        <w:t xml:space="preserve"> към септември 202</w:t>
      </w:r>
      <w:r w:rsidRPr="007F718A">
        <w:rPr>
          <w:bCs/>
          <w:lang w:val="ru-RU"/>
        </w:rPr>
        <w:t>5</w:t>
      </w:r>
      <w:r w:rsidRPr="007F718A">
        <w:rPr>
          <w:bCs/>
        </w:rPr>
        <w:t> г. е</w:t>
      </w:r>
      <w:r w:rsidRPr="007F718A">
        <w:rPr>
          <w:b/>
          <w:bCs/>
        </w:rPr>
        <w:t xml:space="preserve"> </w:t>
      </w:r>
      <w:r w:rsidRPr="00B026F2">
        <w:rPr>
          <w:b/>
          <w:bCs/>
          <w:lang w:val="ru-RU"/>
        </w:rPr>
        <w:t>36</w:t>
      </w:r>
      <w:r w:rsidRPr="007F718A">
        <w:rPr>
          <w:b/>
          <w:bCs/>
          <w:lang w:val="en-US"/>
        </w:rPr>
        <w:t> </w:t>
      </w:r>
      <w:r w:rsidRPr="00B026F2">
        <w:rPr>
          <w:b/>
          <w:bCs/>
          <w:lang w:val="ru-RU"/>
        </w:rPr>
        <w:t xml:space="preserve">989,2 </w:t>
      </w:r>
      <w:r w:rsidRPr="007F718A">
        <w:rPr>
          <w:b/>
          <w:bCs/>
        </w:rPr>
        <w:t>млн. лв.</w:t>
      </w:r>
      <w:r w:rsidRPr="007F718A">
        <w:rPr>
          <w:bCs/>
        </w:rPr>
        <w:t xml:space="preserve">, което представлява </w:t>
      </w:r>
      <w:r w:rsidRPr="00B026F2">
        <w:rPr>
          <w:bCs/>
          <w:lang w:val="ru-RU"/>
        </w:rPr>
        <w:t>67</w:t>
      </w:r>
      <w:r w:rsidRPr="007F718A">
        <w:rPr>
          <w:bCs/>
        </w:rPr>
        <w:t>,</w:t>
      </w:r>
      <w:r w:rsidRPr="00B026F2">
        <w:rPr>
          <w:bCs/>
          <w:lang w:val="ru-RU"/>
        </w:rPr>
        <w:t>0</w:t>
      </w:r>
      <w:r w:rsidRPr="007F718A">
        <w:rPr>
          <w:bCs/>
        </w:rPr>
        <w:t xml:space="preserve"> % изпълнение на разчетите по ЗДБРБ за 2025</w:t>
      </w:r>
      <w:r>
        <w:rPr>
          <w:bCs/>
          <w:lang w:val="en-US"/>
        </w:rPr>
        <w:t> </w:t>
      </w:r>
      <w:r w:rsidRPr="007F718A">
        <w:rPr>
          <w:bCs/>
        </w:rPr>
        <w:t xml:space="preserve">г. и ръст от </w:t>
      </w:r>
      <w:r w:rsidRPr="00B026F2">
        <w:rPr>
          <w:bCs/>
          <w:lang w:val="ru-RU"/>
        </w:rPr>
        <w:t>5</w:t>
      </w:r>
      <w:r w:rsidRPr="007F718A">
        <w:rPr>
          <w:bCs/>
        </w:rPr>
        <w:t> </w:t>
      </w:r>
      <w:r w:rsidRPr="00B026F2">
        <w:rPr>
          <w:bCs/>
          <w:lang w:val="ru-RU"/>
        </w:rPr>
        <w:t>781</w:t>
      </w:r>
      <w:r w:rsidRPr="007F718A">
        <w:rPr>
          <w:bCs/>
        </w:rPr>
        <w:t>,9 млн. лв. (18,5 %) спрямо отчетените за същия период на предходната година.</w:t>
      </w:r>
    </w:p>
    <w:p w14:paraId="5CDE2E9B" w14:textId="77777777" w:rsidR="00676777" w:rsidRPr="007F718A" w:rsidRDefault="00676777" w:rsidP="00676777">
      <w:pPr>
        <w:numPr>
          <w:ilvl w:val="0"/>
          <w:numId w:val="3"/>
        </w:numPr>
        <w:tabs>
          <w:tab w:val="num" w:pos="720"/>
        </w:tabs>
        <w:ind w:left="0" w:firstLine="180"/>
        <w:jc w:val="both"/>
        <w:rPr>
          <w:b/>
          <w:bCs/>
        </w:rPr>
      </w:pPr>
      <w:r w:rsidRPr="007F718A">
        <w:rPr>
          <w:bCs/>
        </w:rPr>
        <w:t xml:space="preserve"> </w:t>
      </w:r>
      <w:r w:rsidRPr="007F718A">
        <w:rPr>
          <w:b/>
          <w:bCs/>
        </w:rPr>
        <w:t>Данъчни приходи</w:t>
      </w:r>
    </w:p>
    <w:p w14:paraId="52AEC6B3" w14:textId="77777777" w:rsidR="00676777" w:rsidRPr="005773D6" w:rsidRDefault="00676777" w:rsidP="00676777">
      <w:pPr>
        <w:jc w:val="both"/>
        <w:rPr>
          <w:bCs/>
          <w:color w:val="0070C0"/>
          <w:sz w:val="4"/>
          <w:szCs w:val="4"/>
        </w:rPr>
      </w:pPr>
    </w:p>
    <w:p w14:paraId="1609AB6E" w14:textId="77777777" w:rsidR="00676777" w:rsidRPr="005773D6" w:rsidRDefault="00676777" w:rsidP="00676777">
      <w:pPr>
        <w:jc w:val="both"/>
        <w:rPr>
          <w:b/>
          <w:bCs/>
          <w:color w:val="0070C0"/>
        </w:rPr>
      </w:pPr>
      <w:r w:rsidRPr="007F718A">
        <w:rPr>
          <w:bCs/>
        </w:rPr>
        <w:t>Размерът на</w:t>
      </w:r>
      <w:r w:rsidRPr="007F718A">
        <w:rPr>
          <w:b/>
          <w:bCs/>
        </w:rPr>
        <w:t xml:space="preserve"> данъчните постъпления по държавния бюджет</w:t>
      </w:r>
      <w:r w:rsidRPr="007F718A">
        <w:rPr>
          <w:bCs/>
        </w:rPr>
        <w:t xml:space="preserve"> към септември 2025 г. </w:t>
      </w:r>
      <w:r w:rsidRPr="007F718A">
        <w:t xml:space="preserve">е </w:t>
      </w:r>
      <w:r w:rsidRPr="00B026F2">
        <w:rPr>
          <w:b/>
          <w:lang w:val="ru-RU"/>
        </w:rPr>
        <w:t>31</w:t>
      </w:r>
      <w:r w:rsidRPr="007F718A">
        <w:rPr>
          <w:b/>
          <w:lang w:val="ru-RU"/>
        </w:rPr>
        <w:t> </w:t>
      </w:r>
      <w:r w:rsidRPr="00B026F2">
        <w:rPr>
          <w:b/>
          <w:lang w:val="ru-RU"/>
        </w:rPr>
        <w:t>406</w:t>
      </w:r>
      <w:r w:rsidRPr="007F718A">
        <w:rPr>
          <w:b/>
          <w:lang w:val="ru-RU"/>
        </w:rPr>
        <w:t>,</w:t>
      </w:r>
      <w:r w:rsidRPr="00B026F2">
        <w:rPr>
          <w:b/>
          <w:lang w:val="ru-RU"/>
        </w:rPr>
        <w:t>0</w:t>
      </w:r>
      <w:r w:rsidRPr="007F718A">
        <w:rPr>
          <w:b/>
        </w:rPr>
        <w:t> млн.</w:t>
      </w:r>
      <w:r w:rsidRPr="007F718A">
        <w:rPr>
          <w:b/>
          <w:lang w:val="en-US"/>
        </w:rPr>
        <w:t> </w:t>
      </w:r>
      <w:r w:rsidRPr="007F718A">
        <w:rPr>
          <w:b/>
        </w:rPr>
        <w:t>лв</w:t>
      </w:r>
      <w:r w:rsidRPr="007F718A">
        <w:t xml:space="preserve">., което представлява </w:t>
      </w:r>
      <w:r w:rsidRPr="00B026F2">
        <w:rPr>
          <w:lang w:val="ru-RU"/>
        </w:rPr>
        <w:t>65</w:t>
      </w:r>
      <w:r w:rsidRPr="007F718A">
        <w:t>,2 % изпълнение на годишните разчети. Сравнени с данните към септември 2024 г. данъчните приходи нарастват с 3 </w:t>
      </w:r>
      <w:r w:rsidRPr="00B026F2">
        <w:rPr>
          <w:lang w:val="ru-RU"/>
        </w:rPr>
        <w:t>966</w:t>
      </w:r>
      <w:r w:rsidRPr="007F718A">
        <w:t>,2 млн. лв. или 1</w:t>
      </w:r>
      <w:r w:rsidRPr="00B026F2">
        <w:rPr>
          <w:lang w:val="ru-RU"/>
        </w:rPr>
        <w:t>4</w:t>
      </w:r>
      <w:r w:rsidRPr="007F718A">
        <w:t xml:space="preserve">,5 на сто, което основно се дължи на номиналния ръст при приходите от данък </w:t>
      </w:r>
      <w:r>
        <w:t xml:space="preserve">върху </w:t>
      </w:r>
      <w:r w:rsidRPr="007F718A">
        <w:t>добавена</w:t>
      </w:r>
      <w:r>
        <w:t>та</w:t>
      </w:r>
      <w:r w:rsidRPr="007F718A">
        <w:t xml:space="preserve"> стойност (ръст от 1 </w:t>
      </w:r>
      <w:r w:rsidRPr="00B026F2">
        <w:rPr>
          <w:lang w:val="ru-RU"/>
        </w:rPr>
        <w:t>905</w:t>
      </w:r>
      <w:r w:rsidRPr="007F718A">
        <w:t>,1 млн. лв.) и корпоративни данъци</w:t>
      </w:r>
      <w:r w:rsidRPr="007F718A" w:rsidDel="00910848">
        <w:t xml:space="preserve"> </w:t>
      </w:r>
      <w:r w:rsidRPr="007F718A">
        <w:t>(ръст от  94</w:t>
      </w:r>
      <w:r w:rsidRPr="00B026F2">
        <w:rPr>
          <w:lang w:val="ru-RU"/>
        </w:rPr>
        <w:t>6</w:t>
      </w:r>
      <w:r w:rsidRPr="007F718A">
        <w:t>,3 млн. лв.).</w:t>
      </w:r>
    </w:p>
    <w:p w14:paraId="0C024BBE" w14:textId="77777777" w:rsidR="00676777" w:rsidRPr="007F718A" w:rsidRDefault="00676777" w:rsidP="00676777">
      <w:pPr>
        <w:spacing w:before="120"/>
        <w:jc w:val="both"/>
        <w:rPr>
          <w:lang w:val="ru-RU"/>
        </w:rPr>
      </w:pPr>
      <w:r w:rsidRPr="007F718A">
        <w:t>Приходите в групата на</w:t>
      </w:r>
      <w:r w:rsidRPr="007F718A">
        <w:rPr>
          <w:b/>
        </w:rPr>
        <w:t xml:space="preserve"> преките данъци</w:t>
      </w:r>
      <w:r w:rsidRPr="007F718A">
        <w:t xml:space="preserve"> са в размер на</w:t>
      </w:r>
      <w:r w:rsidRPr="007F718A">
        <w:rPr>
          <w:b/>
        </w:rPr>
        <w:t xml:space="preserve"> </w:t>
      </w:r>
      <w:r w:rsidRPr="00B026F2">
        <w:rPr>
          <w:b/>
          <w:lang w:val="ru-RU"/>
        </w:rPr>
        <w:t>10</w:t>
      </w:r>
      <w:r w:rsidRPr="007F718A">
        <w:rPr>
          <w:b/>
          <w:lang w:val="ru-RU"/>
        </w:rPr>
        <w:t xml:space="preserve"> </w:t>
      </w:r>
      <w:r w:rsidRPr="00B026F2">
        <w:rPr>
          <w:b/>
          <w:lang w:val="ru-RU"/>
        </w:rPr>
        <w:t>145</w:t>
      </w:r>
      <w:r w:rsidRPr="007F718A">
        <w:rPr>
          <w:b/>
        </w:rPr>
        <w:t>,8 млн. лв</w:t>
      </w:r>
      <w:r w:rsidRPr="007F718A">
        <w:t xml:space="preserve">. или </w:t>
      </w:r>
      <w:r w:rsidRPr="007F718A">
        <w:rPr>
          <w:lang w:val="ru-RU"/>
        </w:rPr>
        <w:t>69,5</w:t>
      </w:r>
      <w:r w:rsidRPr="007F718A">
        <w:t xml:space="preserve"> % от планираните за годината, като съпоставени със същия период на предходната година постъпленията нарастват с 1 </w:t>
      </w:r>
      <w:r w:rsidRPr="00B026F2">
        <w:rPr>
          <w:lang w:val="ru-RU"/>
        </w:rPr>
        <w:t>740</w:t>
      </w:r>
      <w:r>
        <w:t>,7</w:t>
      </w:r>
      <w:r w:rsidRPr="007F718A">
        <w:t xml:space="preserve"> млн. лв. (20,7 %). Повишението се дължи основно на значително по-високите постъпления от корпоративни данъци, които нарастват с </w:t>
      </w:r>
      <w:r w:rsidRPr="00B026F2">
        <w:rPr>
          <w:lang w:val="ru-RU"/>
        </w:rPr>
        <w:t>29</w:t>
      </w:r>
      <w:r w:rsidRPr="007F718A">
        <w:t>,1 % спрямо същия период на предходната година.</w:t>
      </w:r>
    </w:p>
    <w:p w14:paraId="4F207504" w14:textId="77777777" w:rsidR="00676777" w:rsidRPr="007F718A" w:rsidRDefault="00676777" w:rsidP="00676777">
      <w:pPr>
        <w:spacing w:before="120"/>
        <w:jc w:val="both"/>
      </w:pPr>
      <w:r w:rsidRPr="007F718A">
        <w:t>Приходите от</w:t>
      </w:r>
      <w:r w:rsidRPr="007F718A">
        <w:rPr>
          <w:b/>
        </w:rPr>
        <w:t xml:space="preserve"> </w:t>
      </w:r>
      <w:r w:rsidRPr="007F718A">
        <w:rPr>
          <w:b/>
          <w:bCs/>
          <w:i/>
        </w:rPr>
        <w:t>корпоративни данъци</w:t>
      </w:r>
      <w:r w:rsidRPr="007F718A">
        <w:t xml:space="preserve"> </w:t>
      </w:r>
      <w:r w:rsidRPr="007F718A">
        <w:rPr>
          <w:bCs/>
        </w:rPr>
        <w:t>към септември 2025 г.</w:t>
      </w:r>
      <w:r w:rsidRPr="007F718A">
        <w:t xml:space="preserve"> са в размер на </w:t>
      </w:r>
      <w:r w:rsidRPr="00B026F2">
        <w:rPr>
          <w:lang w:val="ru-RU"/>
        </w:rPr>
        <w:t>4</w:t>
      </w:r>
      <w:r w:rsidRPr="007F718A">
        <w:t xml:space="preserve"> </w:t>
      </w:r>
      <w:r w:rsidRPr="00B026F2">
        <w:rPr>
          <w:lang w:val="ru-RU"/>
        </w:rPr>
        <w:t>193</w:t>
      </w:r>
      <w:r w:rsidRPr="007F718A">
        <w:t>,5 млн. лв. Сравнени с данните към месец септември на предходната година постъпленията са с 94</w:t>
      </w:r>
      <w:r w:rsidRPr="00B026F2">
        <w:rPr>
          <w:lang w:val="ru-RU"/>
        </w:rPr>
        <w:t>6</w:t>
      </w:r>
      <w:r w:rsidRPr="007F718A">
        <w:t xml:space="preserve">,3 млн. лв. повече. </w:t>
      </w:r>
    </w:p>
    <w:p w14:paraId="2B35EEC0" w14:textId="77777777" w:rsidR="00676777" w:rsidRPr="007F718A" w:rsidRDefault="00676777" w:rsidP="00676777">
      <w:pPr>
        <w:jc w:val="both"/>
      </w:pPr>
      <w:r w:rsidRPr="007F718A">
        <w:t>Постъпленията от</w:t>
      </w:r>
      <w:r w:rsidRPr="007F718A">
        <w:rPr>
          <w:b/>
          <w:i/>
        </w:rPr>
        <w:t xml:space="preserve"> корпоративен данък</w:t>
      </w:r>
      <w:r w:rsidRPr="007F718A">
        <w:t xml:space="preserve"> през 2025 г. са в пряка зависимост от следните показатели:</w:t>
      </w:r>
    </w:p>
    <w:p w14:paraId="4F14FC7D" w14:textId="77777777" w:rsidR="00676777" w:rsidRPr="007F718A" w:rsidRDefault="00676777" w:rsidP="00676777">
      <w:pPr>
        <w:numPr>
          <w:ilvl w:val="0"/>
          <w:numId w:val="23"/>
        </w:numPr>
        <w:tabs>
          <w:tab w:val="left" w:pos="900"/>
        </w:tabs>
        <w:ind w:left="0" w:firstLine="720"/>
        <w:jc w:val="both"/>
      </w:pPr>
      <w:r w:rsidRPr="007F718A">
        <w:lastRenderedPageBreak/>
        <w:t>декларирана данъчна печалба по подадените ГДД за 2024 г.;</w:t>
      </w:r>
    </w:p>
    <w:p w14:paraId="73271ED9" w14:textId="77777777" w:rsidR="00676777" w:rsidRPr="007F718A" w:rsidRDefault="00676777" w:rsidP="00676777">
      <w:pPr>
        <w:numPr>
          <w:ilvl w:val="0"/>
          <w:numId w:val="23"/>
        </w:numPr>
        <w:tabs>
          <w:tab w:val="left" w:pos="900"/>
        </w:tabs>
        <w:ind w:left="0" w:firstLine="720"/>
        <w:jc w:val="both"/>
      </w:pPr>
      <w:r w:rsidRPr="007F718A">
        <w:t>декларирана данъчна загуба за 2024 г.;</w:t>
      </w:r>
    </w:p>
    <w:p w14:paraId="3ED76A10" w14:textId="77777777" w:rsidR="00676777" w:rsidRPr="007F718A" w:rsidRDefault="00676777" w:rsidP="00676777">
      <w:pPr>
        <w:numPr>
          <w:ilvl w:val="0"/>
          <w:numId w:val="23"/>
        </w:numPr>
        <w:tabs>
          <w:tab w:val="left" w:pos="900"/>
        </w:tabs>
        <w:ind w:left="0" w:firstLine="720"/>
        <w:jc w:val="both"/>
      </w:pPr>
      <w:r w:rsidRPr="007F718A">
        <w:t>общ размер на авансовите вноски, които данъчно задължените лица правят въз основа на прогнозната данъчна печалба за текущата година;</w:t>
      </w:r>
    </w:p>
    <w:p w14:paraId="690CABC5" w14:textId="77777777" w:rsidR="00676777" w:rsidRPr="007F718A" w:rsidRDefault="00676777" w:rsidP="00676777">
      <w:pPr>
        <w:numPr>
          <w:ilvl w:val="0"/>
          <w:numId w:val="23"/>
        </w:numPr>
        <w:tabs>
          <w:tab w:val="left" w:pos="900"/>
        </w:tabs>
        <w:ind w:left="0" w:firstLine="720"/>
        <w:jc w:val="both"/>
      </w:pPr>
      <w:r w:rsidRPr="007F718A">
        <w:rPr>
          <w:szCs w:val="16"/>
        </w:rPr>
        <w:t>общ размер на разликата за внасяне по ГДД за 2024 г</w:t>
      </w:r>
      <w:r w:rsidRPr="007F718A">
        <w:t>.;</w:t>
      </w:r>
    </w:p>
    <w:p w14:paraId="26269B1B" w14:textId="77777777" w:rsidR="00676777" w:rsidRPr="007F718A" w:rsidRDefault="00676777" w:rsidP="00676777">
      <w:pPr>
        <w:numPr>
          <w:ilvl w:val="0"/>
          <w:numId w:val="23"/>
        </w:numPr>
        <w:tabs>
          <w:tab w:val="left" w:pos="900"/>
        </w:tabs>
        <w:ind w:left="0" w:firstLine="720"/>
        <w:jc w:val="both"/>
      </w:pPr>
      <w:r w:rsidRPr="007F718A">
        <w:t>начислените по ревизионни актове суми за корпоративен данък;</w:t>
      </w:r>
    </w:p>
    <w:p w14:paraId="32191BEC" w14:textId="77777777" w:rsidR="00676777" w:rsidRPr="007F718A" w:rsidRDefault="00676777" w:rsidP="00676777">
      <w:pPr>
        <w:ind w:left="12" w:firstLine="708"/>
        <w:jc w:val="both"/>
      </w:pPr>
      <w:r w:rsidRPr="007F718A">
        <w:rPr>
          <w:lang w:val="ru-RU"/>
        </w:rPr>
        <w:t>-</w:t>
      </w:r>
      <w:r w:rsidRPr="007F718A">
        <w:rPr>
          <w:lang w:val="en-US"/>
        </w:rPr>
        <w:t> </w:t>
      </w:r>
      <w:r w:rsidRPr="007F718A">
        <w:t>относителния дял на постигнатата събираемост при корпоративния данък.</w:t>
      </w:r>
    </w:p>
    <w:p w14:paraId="085100A8" w14:textId="77777777" w:rsidR="00676777" w:rsidRPr="007F718A" w:rsidRDefault="00676777" w:rsidP="00676777">
      <w:pPr>
        <w:spacing w:before="120"/>
        <w:jc w:val="both"/>
      </w:pPr>
      <w:r w:rsidRPr="007F718A">
        <w:t>Върху размера на приходите от корпоративен данък влияние оказва и прилагането на преференцията за пренасяне на данъчни загуби, както и на възможността за допълнителна еднократна корекция на годишната данъчна декларация при откриване на счетоводни или други грешки и при отразяване на коригиращи събития по смисъла на приложимите счетоводни стандарти в срок до 30 септември на текущата година.</w:t>
      </w:r>
    </w:p>
    <w:p w14:paraId="2692F14B" w14:textId="77777777" w:rsidR="00676777" w:rsidRPr="005773D6" w:rsidRDefault="00676777" w:rsidP="00676777">
      <w:pPr>
        <w:spacing w:before="120"/>
        <w:jc w:val="both"/>
        <w:rPr>
          <w:color w:val="0070C0"/>
        </w:rPr>
      </w:pPr>
      <w:r w:rsidRPr="007F718A">
        <w:t xml:space="preserve">В тази група данъци са и приходите от </w:t>
      </w:r>
      <w:r w:rsidRPr="007F718A">
        <w:rPr>
          <w:b/>
          <w:i/>
        </w:rPr>
        <w:t>данък върху дивидентите, ликвидационните дялове и доходите на местни и чуждестранни юридически лица</w:t>
      </w:r>
      <w:r w:rsidRPr="007F718A">
        <w:t xml:space="preserve">, </w:t>
      </w:r>
      <w:r w:rsidRPr="00DB6505">
        <w:t xml:space="preserve">които са в размер на </w:t>
      </w:r>
      <w:r w:rsidRPr="00B026F2">
        <w:rPr>
          <w:lang w:val="ru-RU"/>
        </w:rPr>
        <w:t>89</w:t>
      </w:r>
      <w:r w:rsidRPr="00DB6505">
        <w:t>,7 млн. лв. или 51,5 % изпълнение на разчетите в ЗДБРБ за 2025 година. Постъпленията от данъци върху дивидентите, ликвидационните дялове и доходите на юридически лица зависят от състоянието на икономиката и осъществяващите се процеси по разпределение на фирмена собственост в страната.</w:t>
      </w:r>
    </w:p>
    <w:p w14:paraId="6E3F8FED" w14:textId="77777777" w:rsidR="00676777" w:rsidRPr="00DB6505" w:rsidRDefault="00676777" w:rsidP="00676777">
      <w:pPr>
        <w:spacing w:before="120" w:after="120"/>
        <w:jc w:val="both"/>
        <w:rPr>
          <w:lang w:val="ru-RU"/>
        </w:rPr>
      </w:pPr>
      <w:r w:rsidRPr="00DB6505">
        <w:t>Приходите от</w:t>
      </w:r>
      <w:r w:rsidRPr="00DB6505">
        <w:rPr>
          <w:b/>
        </w:rPr>
        <w:t xml:space="preserve"> данъци върху доходите на физически лица </w:t>
      </w:r>
      <w:r w:rsidRPr="00DB6505">
        <w:t xml:space="preserve">са в размер на </w:t>
      </w:r>
      <w:r w:rsidRPr="00DB6505">
        <w:rPr>
          <w:b/>
        </w:rPr>
        <w:t xml:space="preserve">5 952,3 млн. лв. </w:t>
      </w:r>
      <w:r w:rsidRPr="00DB6505">
        <w:t>или 74,7 % от заложените в разчета за годината. Тези приходи са със 794,4 млн. лв. повече или 15,4</w:t>
      </w:r>
      <w:r>
        <w:t> </w:t>
      </w:r>
      <w:r w:rsidRPr="00DB6505">
        <w:t>% ръст спрямо същия период на предходната година.</w:t>
      </w:r>
      <w:r w:rsidRPr="00DB6505">
        <w:rPr>
          <w:lang w:val="ru-RU"/>
        </w:rPr>
        <w:t xml:space="preserve"> </w:t>
      </w:r>
    </w:p>
    <w:p w14:paraId="17817475" w14:textId="77777777" w:rsidR="00676777" w:rsidRPr="00DB6505" w:rsidRDefault="00676777" w:rsidP="00676777">
      <w:pPr>
        <w:spacing w:after="120"/>
        <w:jc w:val="both"/>
      </w:pPr>
      <w:r w:rsidRPr="00DB6505">
        <w:t>Основен фактор за размера на данъчните постъпления от ДДФЛ е развитието на  параметрите на пазара на труда. Нарастването на заетостта, спадът на безработицата и ръстът на заплащането на труда са предпоставки за по-високи приходи от този вид данъци. Влияние върху размера на постъпленията от ДДФЛ оказват действащите законодателни и административни мерки в областта на трудовото, социалното и данъчното законодателство. За повишаване на тази група данъчни приходи допринасят и предприетите мерки за намаляване на недекларирания труд, мерките за повишаване на събираемостта на задължения за минали периоди и тематичните кампании за контрол, провеждани от НАП.</w:t>
      </w:r>
    </w:p>
    <w:p w14:paraId="5C5D5BA2" w14:textId="77777777" w:rsidR="00676777" w:rsidRPr="003575BB" w:rsidRDefault="00676777" w:rsidP="00676777">
      <w:pPr>
        <w:jc w:val="both"/>
        <w:rPr>
          <w:color w:val="000000" w:themeColor="text1"/>
        </w:rPr>
      </w:pPr>
      <w:r w:rsidRPr="003575BB">
        <w:rPr>
          <w:i/>
          <w:color w:val="000000" w:themeColor="text1"/>
        </w:rPr>
        <w:t>По трудови правоотношения</w:t>
      </w:r>
      <w:r w:rsidRPr="003575BB">
        <w:rPr>
          <w:color w:val="000000" w:themeColor="text1"/>
        </w:rPr>
        <w:t xml:space="preserve"> приходите от данъка </w:t>
      </w:r>
      <w:r w:rsidRPr="003575BB">
        <w:rPr>
          <w:bCs/>
          <w:color w:val="000000" w:themeColor="text1"/>
        </w:rPr>
        <w:t>към септември 202</w:t>
      </w:r>
      <w:r w:rsidRPr="003575BB">
        <w:rPr>
          <w:bCs/>
          <w:color w:val="000000" w:themeColor="text1"/>
          <w:lang w:val="ru-RU"/>
        </w:rPr>
        <w:t>5</w:t>
      </w:r>
      <w:r w:rsidRPr="003575BB">
        <w:rPr>
          <w:bCs/>
          <w:color w:val="000000" w:themeColor="text1"/>
        </w:rPr>
        <w:t xml:space="preserve"> г.</w:t>
      </w:r>
      <w:r w:rsidRPr="003575BB">
        <w:rPr>
          <w:color w:val="000000" w:themeColor="text1"/>
        </w:rPr>
        <w:t xml:space="preserve"> са 5 047,2 млн. лв., 73,9 % от годишните разчети. Тези приходи са със 709,8 млн. лв. повече или 16,4 % ръст в сравнение със същия период на предходната година.</w:t>
      </w:r>
    </w:p>
    <w:p w14:paraId="0491395C" w14:textId="77777777" w:rsidR="00676777" w:rsidRPr="003575BB" w:rsidRDefault="00676777" w:rsidP="00676777">
      <w:pPr>
        <w:tabs>
          <w:tab w:val="left" w:pos="0"/>
        </w:tabs>
        <w:spacing w:before="120"/>
        <w:jc w:val="both"/>
        <w:rPr>
          <w:color w:val="000000" w:themeColor="text1"/>
        </w:rPr>
      </w:pPr>
      <w:r w:rsidRPr="003575BB">
        <w:rPr>
          <w:color w:val="000000" w:themeColor="text1"/>
        </w:rPr>
        <w:t>Фактор за нарастване на приходите от ДДФЛ са отчетеният висок номинален ръст на средната работна заплата, както в обществения сектор, в т. ч. увеличението на заплатите в сферата на образованието и на разходите за персонал в бюджетните организации, така и в частния сектор. Друг съществен фактор е увеличението от 1 януари 2025 г. (в изпълнение на чл. 244, ал. 2 от Кодекса на труда) на минималната работна заплата за страната от 933 лв. на 1077 лв. или с 15,4 %.</w:t>
      </w:r>
    </w:p>
    <w:p w14:paraId="52523A4A" w14:textId="77777777" w:rsidR="00676777" w:rsidRPr="003575BB" w:rsidRDefault="00676777" w:rsidP="00676777">
      <w:pPr>
        <w:tabs>
          <w:tab w:val="left" w:pos="0"/>
        </w:tabs>
        <w:spacing w:before="120"/>
        <w:jc w:val="both"/>
        <w:rPr>
          <w:color w:val="000000" w:themeColor="text1"/>
        </w:rPr>
      </w:pPr>
      <w:r w:rsidRPr="003575BB">
        <w:rPr>
          <w:color w:val="000000" w:themeColor="text1"/>
        </w:rPr>
        <w:t>Влияние върху приходите от трудови правоотношения в посока намаление в началото на годината оказва ползването на облекченията за деца по чл. 22в и чл. 22г от ЗДДФЛ чрез подаване на декларация по образец при работодателя през месец декември. Очаква се ползването на облекченията за деца по чл. 22в и чл. 22г от ЗДДФЛ чрез подаване на годишната данъчна декларация за доходите, придобити през 2024 г., както и авансовото ползване при работодател за придобитите доходи през 2025 г. да окаже въздействие и през следващите отчетни периоди.</w:t>
      </w:r>
    </w:p>
    <w:p w14:paraId="379307BE" w14:textId="77777777" w:rsidR="00676777" w:rsidRPr="005773D6" w:rsidRDefault="00676777" w:rsidP="00676777">
      <w:pPr>
        <w:tabs>
          <w:tab w:val="left" w:pos="0"/>
        </w:tabs>
        <w:spacing w:before="120"/>
        <w:jc w:val="both"/>
        <w:rPr>
          <w:color w:val="0070C0"/>
        </w:rPr>
      </w:pPr>
      <w:r w:rsidRPr="003575BB">
        <w:rPr>
          <w:color w:val="000000" w:themeColor="text1"/>
        </w:rPr>
        <w:t>От</w:t>
      </w:r>
      <w:r w:rsidRPr="003575BB">
        <w:rPr>
          <w:i/>
          <w:color w:val="000000" w:themeColor="text1"/>
        </w:rPr>
        <w:t xml:space="preserve"> извънтрудови правоотношения</w:t>
      </w:r>
      <w:r w:rsidRPr="003575BB">
        <w:rPr>
          <w:color w:val="000000" w:themeColor="text1"/>
        </w:rPr>
        <w:t xml:space="preserve"> </w:t>
      </w:r>
      <w:r w:rsidRPr="003575BB">
        <w:rPr>
          <w:i/>
          <w:color w:val="000000" w:themeColor="text1"/>
        </w:rPr>
        <w:t>(ЕТ, свободни професии, граждански договори, годишен и авансов данък и др.)</w:t>
      </w:r>
      <w:r w:rsidRPr="003575BB">
        <w:rPr>
          <w:b/>
          <w:i/>
          <w:color w:val="000000" w:themeColor="text1"/>
        </w:rPr>
        <w:t xml:space="preserve"> </w:t>
      </w:r>
      <w:r w:rsidRPr="003575BB">
        <w:rPr>
          <w:color w:val="000000" w:themeColor="text1"/>
        </w:rPr>
        <w:t>приходите</w:t>
      </w:r>
      <w:r w:rsidRPr="003575BB">
        <w:rPr>
          <w:i/>
          <w:color w:val="000000" w:themeColor="text1"/>
        </w:rPr>
        <w:t xml:space="preserve"> </w:t>
      </w:r>
      <w:r w:rsidRPr="003575BB">
        <w:rPr>
          <w:color w:val="000000" w:themeColor="text1"/>
        </w:rPr>
        <w:t>от данъка към</w:t>
      </w:r>
      <w:r w:rsidRPr="003575BB">
        <w:rPr>
          <w:b/>
          <w:i/>
          <w:color w:val="000000" w:themeColor="text1"/>
        </w:rPr>
        <w:t xml:space="preserve"> </w:t>
      </w:r>
      <w:r w:rsidRPr="003575BB">
        <w:rPr>
          <w:color w:val="000000" w:themeColor="text1"/>
        </w:rPr>
        <w:t xml:space="preserve">30.09.2025 г. са 420,9 млн. лв., което представлява 85,6 % от годишния план. За отчетния период на 2025 г. са постъпили с 65,3 млн. лв. повече приходи (ръст 18,4 %) спрямо края на септември 2024 година. Основно влияние върху тези приходи оказват резултатите от годишните данъчни декларации по чл. 50 от ЗДДФЛ (дължим данък за довнасяне или надвнесен данък) и дължимите авансови вноски, както и плащанията за </w:t>
      </w:r>
      <w:r w:rsidRPr="003575BB">
        <w:rPr>
          <w:color w:val="000000" w:themeColor="text1"/>
        </w:rPr>
        <w:lastRenderedPageBreak/>
        <w:t>минали години и размера на възстановения и прихванат данък. Възстановяването на суми при ползването на данъчното облекчение за деца по чл. 22в и данъчното облекчение за деца с увреждания по чл. 22г от ЗДДФЛ с подаването на годишните декларации води до намаление на постъпленията тази група данъци.</w:t>
      </w:r>
    </w:p>
    <w:p w14:paraId="1E9CDC37" w14:textId="77777777" w:rsidR="00676777" w:rsidRPr="005773D6" w:rsidRDefault="00676777" w:rsidP="00676777">
      <w:pPr>
        <w:spacing w:before="120" w:after="120"/>
        <w:jc w:val="both"/>
        <w:rPr>
          <w:color w:val="0070C0"/>
        </w:rPr>
      </w:pPr>
      <w:r w:rsidRPr="003575BB">
        <w:rPr>
          <w:i/>
          <w:color w:val="000000" w:themeColor="text1"/>
        </w:rPr>
        <w:t xml:space="preserve">Окончателен данък на местните и чуждестранни физически лица по чл. 37 и 38 от ЗДДФЛ </w:t>
      </w:r>
      <w:r w:rsidRPr="003575BB">
        <w:rPr>
          <w:color w:val="000000" w:themeColor="text1"/>
        </w:rPr>
        <w:t xml:space="preserve">и </w:t>
      </w:r>
      <w:r w:rsidRPr="003575BB">
        <w:rPr>
          <w:i/>
          <w:color w:val="000000" w:themeColor="text1"/>
        </w:rPr>
        <w:t>данък върху дивидентите и ликвидационните дялове на физически лица</w:t>
      </w:r>
      <w:r w:rsidRPr="003575BB">
        <w:rPr>
          <w:color w:val="000000" w:themeColor="text1"/>
        </w:rPr>
        <w:t xml:space="preserve"> - постъпленията от тези данъци са в размер на </w:t>
      </w:r>
      <w:r w:rsidRPr="003575BB">
        <w:rPr>
          <w:color w:val="000000" w:themeColor="text1"/>
          <w:lang w:val="ru-RU"/>
        </w:rPr>
        <w:t xml:space="preserve">484,1 </w:t>
      </w:r>
      <w:r w:rsidRPr="003575BB">
        <w:rPr>
          <w:color w:val="000000" w:themeColor="text1"/>
        </w:rPr>
        <w:t>млн. лв. или 74,2 % от плана за 2025 година. Към месец септември постъпленията са с 19,3 млн. лв. повече (4,1 %) спрямо 2024 година. Размерът на тези приходи се дължи, както на отчетените финансови резултати от нефинансовите предприятия през 2024 г., така и от предприетите законодателни и контролни мерки. Влияние върху изпълнението на приходите от данък върху дивидентите и ликвидационните дялове на местни и чуждестранни физически и юридически лица имат предприетите контролни действия от НАП за проверка на касови наличности. Контролните действия са насочени приоритетно към лица, за които има информация за висока касова наличност (над 100 хил. лв.), и при които има риск от наличие на сделки, сключени при условия, водещи до отклонение от данъчно облагане, наличието на скрито разпределение на печалбата по смисъла на § 1, т. 5 от ДР на ЗКПО. Скритото разпределение на печалбата се третира като дивидент, за който се внася 5 % данък върху разпределените суми. Постъпленията от данъка върху дивидентите нарастват допълнително в резултат на действащата разпоредба от Закона за ограничаване на плащанията в брой (чл. 3, ал. 4, т. 3), плащанията на територията на страната на дивиденти, със стойност равна на или надвишаваща 1000 лв., да се извършват само чрез превод или внасяне по платежна сметка.</w:t>
      </w:r>
    </w:p>
    <w:p w14:paraId="02B8FBCE" w14:textId="77777777" w:rsidR="00676777" w:rsidRPr="003575BB" w:rsidRDefault="00676777" w:rsidP="00676777">
      <w:pPr>
        <w:numPr>
          <w:ilvl w:val="0"/>
          <w:numId w:val="4"/>
        </w:numPr>
        <w:tabs>
          <w:tab w:val="clear" w:pos="1440"/>
          <w:tab w:val="num" w:pos="540"/>
        </w:tabs>
        <w:ind w:left="0" w:firstLine="180"/>
        <w:jc w:val="both"/>
        <w:rPr>
          <w:b/>
          <w:bCs/>
          <w:color w:val="000000" w:themeColor="text1"/>
        </w:rPr>
      </w:pPr>
      <w:r w:rsidRPr="003575BB">
        <w:rPr>
          <w:b/>
          <w:bCs/>
          <w:color w:val="000000" w:themeColor="text1"/>
        </w:rPr>
        <w:t>Косвени данъци</w:t>
      </w:r>
    </w:p>
    <w:p w14:paraId="0DA0CECD" w14:textId="77777777" w:rsidR="00676777" w:rsidRPr="003575BB" w:rsidRDefault="00676777" w:rsidP="00676777">
      <w:pPr>
        <w:jc w:val="both"/>
        <w:rPr>
          <w:b/>
          <w:bCs/>
          <w:color w:val="000000" w:themeColor="text1"/>
          <w:sz w:val="4"/>
          <w:szCs w:val="4"/>
        </w:rPr>
      </w:pPr>
    </w:p>
    <w:p w14:paraId="6D2A5475" w14:textId="77777777" w:rsidR="00676777" w:rsidRPr="005773D6" w:rsidRDefault="00676777" w:rsidP="00676777">
      <w:pPr>
        <w:spacing w:after="120"/>
        <w:jc w:val="both"/>
        <w:rPr>
          <w:color w:val="0070C0"/>
        </w:rPr>
      </w:pPr>
      <w:r w:rsidRPr="003575BB">
        <w:rPr>
          <w:color w:val="000000" w:themeColor="text1"/>
        </w:rPr>
        <w:t xml:space="preserve">Приходите от </w:t>
      </w:r>
      <w:r w:rsidRPr="003575BB">
        <w:rPr>
          <w:b/>
          <w:color w:val="000000" w:themeColor="text1"/>
        </w:rPr>
        <w:t>косвени данъци</w:t>
      </w:r>
      <w:r w:rsidRPr="003575BB">
        <w:rPr>
          <w:color w:val="000000" w:themeColor="text1"/>
        </w:rPr>
        <w:t xml:space="preserve"> </w:t>
      </w:r>
      <w:r w:rsidRPr="003575BB">
        <w:rPr>
          <w:bCs/>
          <w:color w:val="000000" w:themeColor="text1"/>
        </w:rPr>
        <w:t>към септември 202</w:t>
      </w:r>
      <w:r w:rsidRPr="003575BB">
        <w:rPr>
          <w:bCs/>
          <w:color w:val="000000" w:themeColor="text1"/>
          <w:lang w:val="ru-RU"/>
        </w:rPr>
        <w:t>5</w:t>
      </w:r>
      <w:r w:rsidRPr="003575BB">
        <w:rPr>
          <w:bCs/>
          <w:color w:val="000000" w:themeColor="text1"/>
        </w:rPr>
        <w:t xml:space="preserve"> г.</w:t>
      </w:r>
      <w:r w:rsidRPr="003575BB">
        <w:rPr>
          <w:color w:val="000000" w:themeColor="text1"/>
        </w:rPr>
        <w:t xml:space="preserve"> са в размер на </w:t>
      </w:r>
      <w:r w:rsidRPr="003575BB">
        <w:rPr>
          <w:b/>
          <w:color w:val="000000" w:themeColor="text1"/>
        </w:rPr>
        <w:t>21 060,3 млн. лв</w:t>
      </w:r>
      <w:r w:rsidRPr="003575BB">
        <w:rPr>
          <w:color w:val="000000" w:themeColor="text1"/>
        </w:rPr>
        <w:t xml:space="preserve">. или 63,9 % от годишния разчет. Сравнени с данните за същия период на предходната година постъпленията </w:t>
      </w:r>
      <w:r w:rsidRPr="003575BB">
        <w:rPr>
          <w:bCs/>
          <w:color w:val="000000" w:themeColor="text1"/>
        </w:rPr>
        <w:t>нарастват</w:t>
      </w:r>
      <w:r w:rsidRPr="003575BB">
        <w:rPr>
          <w:color w:val="000000" w:themeColor="text1"/>
        </w:rPr>
        <w:t xml:space="preserve"> с 2</w:t>
      </w:r>
      <w:r w:rsidRPr="003575BB">
        <w:rPr>
          <w:color w:val="000000" w:themeColor="text1"/>
          <w:lang w:val="en-US"/>
        </w:rPr>
        <w:t> </w:t>
      </w:r>
      <w:r w:rsidRPr="003575BB">
        <w:rPr>
          <w:color w:val="000000" w:themeColor="text1"/>
        </w:rPr>
        <w:t xml:space="preserve">205,0 млн. лв. </w:t>
      </w:r>
      <w:r w:rsidRPr="003575BB">
        <w:rPr>
          <w:color w:val="000000" w:themeColor="text1"/>
          <w:lang w:val="ru-RU"/>
        </w:rPr>
        <w:t>(</w:t>
      </w:r>
      <w:r w:rsidRPr="003575BB">
        <w:rPr>
          <w:color w:val="000000" w:themeColor="text1"/>
        </w:rPr>
        <w:t>11,7 %</w:t>
      </w:r>
      <w:r w:rsidRPr="003575BB">
        <w:rPr>
          <w:color w:val="000000" w:themeColor="text1"/>
          <w:lang w:val="ru-RU"/>
        </w:rPr>
        <w:t>). Това нарастване се дължи основно на по-големите приходи от ДДС</w:t>
      </w:r>
      <w:r w:rsidRPr="003575BB">
        <w:rPr>
          <w:color w:val="000000" w:themeColor="text1"/>
        </w:rPr>
        <w:t>.</w:t>
      </w:r>
    </w:p>
    <w:p w14:paraId="0BF6F003" w14:textId="77777777" w:rsidR="00676777" w:rsidRPr="002C1C49" w:rsidRDefault="00676777" w:rsidP="00676777">
      <w:pPr>
        <w:spacing w:after="120"/>
        <w:jc w:val="both"/>
        <w:rPr>
          <w:color w:val="000000" w:themeColor="text1"/>
        </w:rPr>
      </w:pPr>
      <w:r w:rsidRPr="003575BB">
        <w:rPr>
          <w:b/>
          <w:color w:val="000000" w:themeColor="text1"/>
        </w:rPr>
        <w:t>Приходите от ДДС</w:t>
      </w:r>
      <w:r w:rsidRPr="003575BB">
        <w:rPr>
          <w:color w:val="000000" w:themeColor="text1"/>
        </w:rPr>
        <w:t xml:space="preserve"> са в размер на </w:t>
      </w:r>
      <w:r w:rsidRPr="003575BB">
        <w:rPr>
          <w:b/>
          <w:color w:val="000000" w:themeColor="text1"/>
        </w:rPr>
        <w:t>15 388,8</w:t>
      </w:r>
      <w:r w:rsidRPr="003575BB">
        <w:rPr>
          <w:color w:val="000000" w:themeColor="text1"/>
        </w:rPr>
        <w:t xml:space="preserve"> </w:t>
      </w:r>
      <w:r w:rsidRPr="003575BB">
        <w:rPr>
          <w:b/>
          <w:color w:val="000000" w:themeColor="text1"/>
        </w:rPr>
        <w:t xml:space="preserve">млн. лв., </w:t>
      </w:r>
      <w:r w:rsidRPr="003575BB">
        <w:rPr>
          <w:color w:val="000000" w:themeColor="text1"/>
        </w:rPr>
        <w:t xml:space="preserve">което представлява 62,0 % от планираните със ЗДБРБ за 2025 година. Съпоставени с края на септември 2024 г., приходите от ДДС нарастват с 1 905,1 млн. лв. </w:t>
      </w:r>
      <w:r w:rsidRPr="003575BB">
        <w:rPr>
          <w:color w:val="000000" w:themeColor="text1"/>
          <w:lang w:val="ru-RU"/>
        </w:rPr>
        <w:t>(</w:t>
      </w:r>
      <w:r w:rsidRPr="003575BB">
        <w:rPr>
          <w:color w:val="000000" w:themeColor="text1"/>
        </w:rPr>
        <w:t>14,1 на сто</w:t>
      </w:r>
      <w:r w:rsidRPr="003575BB">
        <w:rPr>
          <w:color w:val="000000" w:themeColor="text1"/>
          <w:lang w:val="ru-RU"/>
        </w:rPr>
        <w:t>)</w:t>
      </w:r>
      <w:r w:rsidRPr="003575BB">
        <w:rPr>
          <w:color w:val="000000" w:themeColor="text1"/>
        </w:rPr>
        <w:t xml:space="preserve">, в резултат основно на по-високите приходи от ДДС от сделки в </w:t>
      </w:r>
      <w:r w:rsidRPr="002C1C49">
        <w:rPr>
          <w:color w:val="000000" w:themeColor="text1"/>
        </w:rPr>
        <w:t xml:space="preserve">страната и </w:t>
      </w:r>
      <w:proofErr w:type="spellStart"/>
      <w:r w:rsidRPr="002C1C49">
        <w:rPr>
          <w:color w:val="000000" w:themeColor="text1"/>
        </w:rPr>
        <w:t>вътреобщностни</w:t>
      </w:r>
      <w:proofErr w:type="spellEnd"/>
      <w:r w:rsidRPr="002C1C49">
        <w:rPr>
          <w:color w:val="000000" w:themeColor="text1"/>
        </w:rPr>
        <w:t xml:space="preserve"> придобивания </w:t>
      </w:r>
      <w:r w:rsidRPr="002C1C49">
        <w:rPr>
          <w:color w:val="000000" w:themeColor="text1"/>
          <w:lang w:val="ru-RU"/>
        </w:rPr>
        <w:t>(</w:t>
      </w:r>
      <w:r w:rsidRPr="002C1C49">
        <w:rPr>
          <w:color w:val="000000" w:themeColor="text1"/>
        </w:rPr>
        <w:t>ВОП</w:t>
      </w:r>
      <w:r w:rsidRPr="002C1C49">
        <w:rPr>
          <w:color w:val="000000" w:themeColor="text1"/>
          <w:lang w:val="ru-RU"/>
        </w:rPr>
        <w:t>).</w:t>
      </w:r>
      <w:r w:rsidRPr="002C1C49">
        <w:rPr>
          <w:color w:val="000000" w:themeColor="text1"/>
        </w:rPr>
        <w:t xml:space="preserve">  </w:t>
      </w:r>
    </w:p>
    <w:p w14:paraId="1B625EF6" w14:textId="77777777" w:rsidR="00676777" w:rsidRPr="002C1C49" w:rsidRDefault="00676777" w:rsidP="00676777">
      <w:pPr>
        <w:spacing w:after="120"/>
        <w:contextualSpacing/>
        <w:jc w:val="both"/>
        <w:rPr>
          <w:color w:val="000000" w:themeColor="text1"/>
        </w:rPr>
      </w:pPr>
      <w:r w:rsidRPr="002C1C49">
        <w:rPr>
          <w:color w:val="000000" w:themeColor="text1"/>
        </w:rPr>
        <w:t xml:space="preserve">Нетният размер на приходите от </w:t>
      </w:r>
      <w:r w:rsidRPr="002C1C49">
        <w:rPr>
          <w:i/>
          <w:color w:val="000000" w:themeColor="text1"/>
        </w:rPr>
        <w:t>ДДС от внос</w:t>
      </w:r>
      <w:r w:rsidRPr="002C1C49">
        <w:rPr>
          <w:color w:val="000000" w:themeColor="text1"/>
        </w:rPr>
        <w:t xml:space="preserve"> </w:t>
      </w:r>
      <w:r w:rsidRPr="002C1C49">
        <w:rPr>
          <w:bCs/>
          <w:color w:val="000000" w:themeColor="text1"/>
        </w:rPr>
        <w:t>към септември 2025 г.</w:t>
      </w:r>
      <w:r w:rsidRPr="002C1C49">
        <w:rPr>
          <w:color w:val="000000" w:themeColor="text1"/>
        </w:rPr>
        <w:t xml:space="preserve"> е 4 794,2 млн. лева. Върху постъпленията от ДДС от внос влияние оказва възможността </w:t>
      </w:r>
      <w:r w:rsidRPr="002C1C49">
        <w:rPr>
          <w:iCs/>
          <w:color w:val="000000" w:themeColor="text1"/>
        </w:rPr>
        <w:t>за отложено начисляване на ДДС от вносител при внос на стоки от трети страни, в съответствие с разпоредбата на чл. 167а от Закона за данък върху добавената стойност.</w:t>
      </w:r>
      <w:r w:rsidRPr="002C1C49">
        <w:rPr>
          <w:bCs/>
          <w:color w:val="000000" w:themeColor="text1"/>
        </w:rPr>
        <w:t xml:space="preserve"> </w:t>
      </w:r>
      <w:r w:rsidRPr="002C1C49">
        <w:rPr>
          <w:color w:val="000000" w:themeColor="text1"/>
        </w:rPr>
        <w:t>Ефектът от прилагането на този режим за периода януари - септември 2025 г.  е неначислен ДДС при внос в размер на 1 063,9 млн. лева, което е със 125,0</w:t>
      </w:r>
      <w:r>
        <w:rPr>
          <w:color w:val="000000" w:themeColor="text1"/>
        </w:rPr>
        <w:t> </w:t>
      </w:r>
      <w:r w:rsidRPr="002C1C49">
        <w:rPr>
          <w:color w:val="000000" w:themeColor="text1"/>
        </w:rPr>
        <w:t>млн. лв</w:t>
      </w:r>
      <w:r>
        <w:rPr>
          <w:color w:val="000000" w:themeColor="text1"/>
        </w:rPr>
        <w:t>.</w:t>
      </w:r>
      <w:r w:rsidRPr="002C1C49">
        <w:rPr>
          <w:color w:val="000000" w:themeColor="text1"/>
        </w:rPr>
        <w:t xml:space="preserve"> (10,5 %) по-малко спрямо същия период на 2024 година.</w:t>
      </w:r>
    </w:p>
    <w:p w14:paraId="27E1BBDD" w14:textId="77777777" w:rsidR="00676777" w:rsidRDefault="00676777" w:rsidP="00676777">
      <w:pPr>
        <w:spacing w:after="120"/>
        <w:contextualSpacing/>
        <w:jc w:val="both"/>
      </w:pPr>
      <w:r w:rsidRPr="002C1C49">
        <w:rPr>
          <w:bCs/>
          <w:color w:val="000000" w:themeColor="text1"/>
        </w:rPr>
        <w:t xml:space="preserve">Стоките с най-значителен дял в сумата на неначисления ДДС за деветте месеца на 2025 г. са: </w:t>
      </w:r>
      <w:r>
        <w:t xml:space="preserve">Руди, шлаки и </w:t>
      </w:r>
      <w:proofErr w:type="spellStart"/>
      <w:r>
        <w:t>пепели</w:t>
      </w:r>
      <w:proofErr w:type="spellEnd"/>
      <w:r>
        <w:t xml:space="preserve"> - 555,7 млн. лева (намаление с 201,8 млн. лева, 26,6 % спад, </w:t>
      </w:r>
      <w:proofErr w:type="spellStart"/>
      <w:r>
        <w:t>отн.</w:t>
      </w:r>
      <w:proofErr w:type="spellEnd"/>
      <w:r>
        <w:t xml:space="preserve"> дял 52,2 %), Мед и изделия от мед) - 226,6 млн. лева (увеличение с 48,3 млн. лева, 27,1 % ръст, </w:t>
      </w:r>
      <w:proofErr w:type="spellStart"/>
      <w:r>
        <w:t>отн.</w:t>
      </w:r>
      <w:proofErr w:type="spellEnd"/>
      <w:r>
        <w:t xml:space="preserve"> дял 21,3 %) и Чугун, желязо и стомана - 114,2 млн. лева (намаление с 5,2 млн. лева, 4,3 % спад, </w:t>
      </w:r>
      <w:proofErr w:type="spellStart"/>
      <w:r>
        <w:t>отн.</w:t>
      </w:r>
      <w:proofErr w:type="spellEnd"/>
      <w:r>
        <w:t xml:space="preserve"> дял 10,7 %). Изброените три групи стоки формират 84,3 % от неначисления ДДС за деветте месеца на 2025 година.</w:t>
      </w:r>
    </w:p>
    <w:p w14:paraId="19F0E57A" w14:textId="77777777" w:rsidR="00676777" w:rsidRPr="005773D6" w:rsidRDefault="00676777" w:rsidP="00676777">
      <w:pPr>
        <w:spacing w:after="120"/>
        <w:contextualSpacing/>
        <w:jc w:val="both"/>
        <w:rPr>
          <w:bCs/>
          <w:color w:val="0070C0"/>
        </w:rPr>
      </w:pPr>
      <w:r w:rsidRPr="001B5FFA">
        <w:rPr>
          <w:color w:val="000000" w:themeColor="text1"/>
        </w:rPr>
        <w:t>Постъпленията от</w:t>
      </w:r>
      <w:r w:rsidRPr="001B5FFA">
        <w:rPr>
          <w:i/>
          <w:color w:val="000000" w:themeColor="text1"/>
        </w:rPr>
        <w:t xml:space="preserve"> ДДС при сделки в страната и ВОП (нето)</w:t>
      </w:r>
      <w:r w:rsidRPr="001B5FFA">
        <w:rPr>
          <w:color w:val="000000" w:themeColor="text1"/>
        </w:rPr>
        <w:t xml:space="preserve"> </w:t>
      </w:r>
      <w:r w:rsidRPr="001B5FFA">
        <w:rPr>
          <w:bCs/>
          <w:color w:val="000000" w:themeColor="text1"/>
        </w:rPr>
        <w:t>към септември 2025 г.</w:t>
      </w:r>
      <w:r w:rsidRPr="001B5FFA">
        <w:rPr>
          <w:color w:val="000000" w:themeColor="text1"/>
        </w:rPr>
        <w:t xml:space="preserve"> възлизат на 10 594,6 млн. лв. Сравнени с данните за същия период на предходната година постъпленията </w:t>
      </w:r>
      <w:r w:rsidRPr="001B5FFA">
        <w:rPr>
          <w:bCs/>
          <w:color w:val="000000" w:themeColor="text1"/>
        </w:rPr>
        <w:t>нарастват с 1 </w:t>
      </w:r>
      <w:r w:rsidRPr="001B5FFA">
        <w:rPr>
          <w:bCs/>
          <w:color w:val="000000" w:themeColor="text1"/>
          <w:lang w:val="ru-RU"/>
        </w:rPr>
        <w:t>979,1 млн. лева (23,0 %).</w:t>
      </w:r>
    </w:p>
    <w:p w14:paraId="49A04B24" w14:textId="77777777" w:rsidR="00676777" w:rsidRPr="001B5FFA" w:rsidRDefault="00676777" w:rsidP="00676777">
      <w:pPr>
        <w:tabs>
          <w:tab w:val="left" w:pos="0"/>
        </w:tabs>
        <w:ind w:right="51"/>
        <w:jc w:val="both"/>
        <w:rPr>
          <w:color w:val="000000" w:themeColor="text1"/>
        </w:rPr>
      </w:pPr>
      <w:r w:rsidRPr="001B5FFA">
        <w:rPr>
          <w:color w:val="000000" w:themeColor="text1"/>
        </w:rPr>
        <w:t>Ефективно внесеният</w:t>
      </w:r>
      <w:r w:rsidRPr="001B5FFA">
        <w:rPr>
          <w:i/>
          <w:color w:val="000000" w:themeColor="text1"/>
        </w:rPr>
        <w:t xml:space="preserve"> </w:t>
      </w:r>
      <w:r w:rsidRPr="001B5FFA">
        <w:rPr>
          <w:color w:val="000000" w:themeColor="text1"/>
        </w:rPr>
        <w:t>ДДС по сметките на Националната агенция за приходите</w:t>
      </w:r>
      <w:r w:rsidRPr="001B5FFA">
        <w:rPr>
          <w:i/>
          <w:color w:val="000000" w:themeColor="text1"/>
        </w:rPr>
        <w:t xml:space="preserve"> </w:t>
      </w:r>
      <w:r w:rsidRPr="001B5FFA">
        <w:rPr>
          <w:color w:val="000000" w:themeColor="text1"/>
        </w:rPr>
        <w:t>се</w:t>
      </w:r>
      <w:r w:rsidRPr="001B5FFA">
        <w:rPr>
          <w:i/>
          <w:color w:val="000000" w:themeColor="text1"/>
        </w:rPr>
        <w:t xml:space="preserve"> </w:t>
      </w:r>
      <w:r w:rsidRPr="001B5FFA">
        <w:rPr>
          <w:color w:val="000000" w:themeColor="text1"/>
        </w:rPr>
        <w:t xml:space="preserve">формира от данък по справки-декларации от сделки в страната и ВОП и допълнително внесени суми, разкрити с данъчно-ревизионни актове при ревизии.  </w:t>
      </w:r>
    </w:p>
    <w:p w14:paraId="256F8B68" w14:textId="269B90CA" w:rsidR="00676777" w:rsidRPr="00E77DD3" w:rsidRDefault="00676777" w:rsidP="00676777">
      <w:pPr>
        <w:jc w:val="both"/>
      </w:pPr>
      <w:r w:rsidRPr="00E77DD3">
        <w:t xml:space="preserve">Декларираният ДДС за възстановяване зависи от размера на износа и извършените инвестиции. Регистрираните лица по ДДС упражняват право на данъчен кредит чрез приспадане по реда на чл. 92, ал. 1 от ЗДДС или чрез ефективно възстановяване от данъчната администрация след определения срок. </w:t>
      </w:r>
      <w:r w:rsidRPr="001B5FFA">
        <w:t xml:space="preserve">Приспаднатият данък </w:t>
      </w:r>
      <w:r w:rsidRPr="00E77DD3">
        <w:t xml:space="preserve">към </w:t>
      </w:r>
      <w:r>
        <w:t>месец септември</w:t>
      </w:r>
      <w:r w:rsidRPr="00E77DD3">
        <w:t xml:space="preserve"> 2025 г. е </w:t>
      </w:r>
      <w:r>
        <w:t>788</w:t>
      </w:r>
      <w:r w:rsidRPr="00E77DD3">
        <w:t>,</w:t>
      </w:r>
      <w:r>
        <w:t>1</w:t>
      </w:r>
      <w:r w:rsidRPr="00E77DD3">
        <w:t xml:space="preserve"> млн. лв. и е с</w:t>
      </w:r>
      <w:r>
        <w:t>ъс</w:t>
      </w:r>
      <w:r w:rsidRPr="00E77DD3">
        <w:t xml:space="preserve"> </w:t>
      </w:r>
      <w:r>
        <w:lastRenderedPageBreak/>
        <w:t>131</w:t>
      </w:r>
      <w:r w:rsidRPr="00E77DD3">
        <w:t>,</w:t>
      </w:r>
      <w:r>
        <w:t>6 </w:t>
      </w:r>
      <w:r w:rsidRPr="00E77DD3">
        <w:t>млн. лв. повече от 2024 година (</w:t>
      </w:r>
      <w:r>
        <w:t>20</w:t>
      </w:r>
      <w:r w:rsidRPr="00E77DD3">
        <w:t>,</w:t>
      </w:r>
      <w:r>
        <w:t>0</w:t>
      </w:r>
      <w:r w:rsidRPr="00E77DD3">
        <w:t xml:space="preserve"> % ръст). </w:t>
      </w:r>
      <w:r w:rsidRPr="001B5FFA">
        <w:t>Възстановеният данък</w:t>
      </w:r>
      <w:r w:rsidRPr="00E77DD3">
        <w:t xml:space="preserve"> е в размер на </w:t>
      </w:r>
      <w:r>
        <w:t>7</w:t>
      </w:r>
      <w:r w:rsidRPr="00E77DD3">
        <w:t> </w:t>
      </w:r>
      <w:r>
        <w:t>930</w:t>
      </w:r>
      <w:r w:rsidRPr="00E77DD3">
        <w:t>,</w:t>
      </w:r>
      <w:r w:rsidRPr="00B026F2">
        <w:rPr>
          <w:lang w:val="ru-RU"/>
        </w:rPr>
        <w:t>5</w:t>
      </w:r>
      <w:r w:rsidR="0013129C">
        <w:rPr>
          <w:lang w:val="en-US"/>
        </w:rPr>
        <w:t> </w:t>
      </w:r>
      <w:r w:rsidRPr="00E77DD3">
        <w:t xml:space="preserve">млн. лв., което е с </w:t>
      </w:r>
      <w:r>
        <w:t>6</w:t>
      </w:r>
      <w:r w:rsidRPr="00E77DD3">
        <w:t>,</w:t>
      </w:r>
      <w:r>
        <w:t>6</w:t>
      </w:r>
      <w:r w:rsidRPr="00E77DD3">
        <w:t xml:space="preserve"> млн. лв. </w:t>
      </w:r>
      <w:r>
        <w:t xml:space="preserve">повече от </w:t>
      </w:r>
      <w:r w:rsidRPr="00E77DD3">
        <w:t>възстановени</w:t>
      </w:r>
      <w:r>
        <w:t>я данък</w:t>
      </w:r>
      <w:r w:rsidRPr="00E77DD3">
        <w:t xml:space="preserve"> към месец </w:t>
      </w:r>
      <w:r>
        <w:t>септември</w:t>
      </w:r>
      <w:r w:rsidRPr="00E77DD3">
        <w:t xml:space="preserve"> миналата година. Невъзстановеният ДДС </w:t>
      </w:r>
      <w:r>
        <w:t>към</w:t>
      </w:r>
      <w:r w:rsidRPr="00E77DD3">
        <w:t xml:space="preserve"> месец </w:t>
      </w:r>
      <w:r>
        <w:t>септември</w:t>
      </w:r>
      <w:r w:rsidRPr="00E77DD3">
        <w:t xml:space="preserve"> 2025 г. е в размер на 7</w:t>
      </w:r>
      <w:r>
        <w:t>1</w:t>
      </w:r>
      <w:r w:rsidRPr="00E77DD3">
        <w:t>,</w:t>
      </w:r>
      <w:r>
        <w:t>1</w:t>
      </w:r>
      <w:r w:rsidRPr="00E77DD3">
        <w:t xml:space="preserve"> млн. лв., като се увеличава с </w:t>
      </w:r>
      <w:r>
        <w:t>2,8</w:t>
      </w:r>
      <w:r w:rsidRPr="00E77DD3">
        <w:t xml:space="preserve"> млн. лв. (</w:t>
      </w:r>
      <w:r w:rsidRPr="00052D97">
        <w:t>4,</w:t>
      </w:r>
      <w:r>
        <w:t>1</w:t>
      </w:r>
      <w:r w:rsidRPr="00E77DD3">
        <w:t xml:space="preserve"> %) спрямо 2024 година. </w:t>
      </w:r>
    </w:p>
    <w:p w14:paraId="4343DAC4" w14:textId="77777777" w:rsidR="00676777" w:rsidRPr="005773D6" w:rsidRDefault="00676777" w:rsidP="00676777">
      <w:pPr>
        <w:spacing w:before="120" w:after="120"/>
        <w:jc w:val="both"/>
        <w:rPr>
          <w:color w:val="0070C0"/>
        </w:rPr>
      </w:pPr>
      <w:r w:rsidRPr="001B5FFA">
        <w:rPr>
          <w:b/>
          <w:color w:val="000000" w:themeColor="text1"/>
        </w:rPr>
        <w:t xml:space="preserve">Приходите от акцизи (нето) </w:t>
      </w:r>
      <w:r w:rsidRPr="001B5FFA">
        <w:rPr>
          <w:color w:val="000000" w:themeColor="text1"/>
        </w:rPr>
        <w:t xml:space="preserve">от внос, вътрешно производство и въведени в страната от други държави-членки на ЕС акцизни стоки са в размер на </w:t>
      </w:r>
      <w:r w:rsidRPr="001B5FFA">
        <w:rPr>
          <w:b/>
          <w:color w:val="000000" w:themeColor="text1"/>
        </w:rPr>
        <w:t>5 331,3 млн. лв</w:t>
      </w:r>
      <w:r w:rsidRPr="001B5FFA">
        <w:rPr>
          <w:color w:val="000000" w:themeColor="text1"/>
        </w:rPr>
        <w:t xml:space="preserve">., което е 69,3 % от планираните със ЗДБРБ за 2025 г. Съпоставени със същия период на предходната година постъпленията от акцизи са с 252,3 млн. лв. (5,0 %) повече. </w:t>
      </w:r>
    </w:p>
    <w:p w14:paraId="1D2C5DB5" w14:textId="77777777" w:rsidR="00676777" w:rsidRPr="002E0FFD" w:rsidRDefault="00676777" w:rsidP="00676777">
      <w:pPr>
        <w:spacing w:before="120" w:after="120"/>
        <w:jc w:val="both"/>
        <w:rPr>
          <w:color w:val="000000" w:themeColor="text1"/>
        </w:rPr>
      </w:pPr>
      <w:r w:rsidRPr="002E0FFD">
        <w:rPr>
          <w:color w:val="000000" w:themeColor="text1"/>
        </w:rPr>
        <w:t>Относителният дял на нетните постъпления от акциз по стокови групи е от: тютюн и тютюневи изделия (55,3 %); горива (39,3 %); алкохол и алкохолни напитки, вкл. бира (4,7 %) и други акцизни стоки (0,7 %). Постъпленията от акциз към септември 2025 г. по основни стокови групи, са както следва:</w:t>
      </w:r>
    </w:p>
    <w:p w14:paraId="4A13ADB0" w14:textId="77777777" w:rsidR="00676777" w:rsidRPr="002E0FFD" w:rsidRDefault="00676777" w:rsidP="00676777">
      <w:pPr>
        <w:numPr>
          <w:ilvl w:val="0"/>
          <w:numId w:val="13"/>
        </w:numPr>
        <w:ind w:firstLine="66"/>
        <w:jc w:val="both"/>
        <w:rPr>
          <w:i/>
          <w:color w:val="0070C0"/>
        </w:rPr>
      </w:pPr>
      <w:r w:rsidRPr="002E0FFD">
        <w:rPr>
          <w:i/>
          <w:color w:val="000000" w:themeColor="text1"/>
        </w:rPr>
        <w:t xml:space="preserve">акцизи от тютюн и тютюневи изделия </w:t>
      </w:r>
      <w:r w:rsidRPr="002E0FFD">
        <w:rPr>
          <w:color w:val="000000" w:themeColor="text1"/>
        </w:rPr>
        <w:t>– 2 946,2 млн. лева</w:t>
      </w:r>
      <w:r w:rsidRPr="002E0FFD">
        <w:rPr>
          <w:i/>
          <w:color w:val="000000" w:themeColor="text1"/>
        </w:rPr>
        <w:t xml:space="preserve">; </w:t>
      </w:r>
    </w:p>
    <w:p w14:paraId="6FFB16F8" w14:textId="77777777" w:rsidR="00676777" w:rsidRPr="002E0FFD" w:rsidRDefault="00676777" w:rsidP="00676777">
      <w:pPr>
        <w:numPr>
          <w:ilvl w:val="0"/>
          <w:numId w:val="13"/>
        </w:numPr>
        <w:ind w:firstLine="66"/>
        <w:jc w:val="both"/>
        <w:rPr>
          <w:color w:val="000000" w:themeColor="text1"/>
        </w:rPr>
      </w:pPr>
      <w:r w:rsidRPr="002E0FFD">
        <w:rPr>
          <w:i/>
          <w:color w:val="000000" w:themeColor="text1"/>
        </w:rPr>
        <w:t>акцизи от горива</w:t>
      </w:r>
      <w:r w:rsidRPr="002E0FFD">
        <w:rPr>
          <w:color w:val="000000" w:themeColor="text1"/>
        </w:rPr>
        <w:t xml:space="preserve"> – 2 096,0 млн. лева; </w:t>
      </w:r>
    </w:p>
    <w:p w14:paraId="0EAD26BA" w14:textId="77777777" w:rsidR="00676777" w:rsidRPr="002E0FFD" w:rsidRDefault="00676777" w:rsidP="00676777">
      <w:pPr>
        <w:numPr>
          <w:ilvl w:val="0"/>
          <w:numId w:val="13"/>
        </w:numPr>
        <w:ind w:firstLine="66"/>
        <w:jc w:val="both"/>
        <w:rPr>
          <w:color w:val="000000" w:themeColor="text1"/>
        </w:rPr>
      </w:pPr>
      <w:r w:rsidRPr="002E0FFD">
        <w:rPr>
          <w:i/>
          <w:color w:val="000000" w:themeColor="text1"/>
        </w:rPr>
        <w:t xml:space="preserve">акцизи от алкохол и алкохолни напитки (вкл. бира) </w:t>
      </w:r>
      <w:r w:rsidRPr="002E0FFD">
        <w:rPr>
          <w:color w:val="000000" w:themeColor="text1"/>
        </w:rPr>
        <w:t xml:space="preserve">– 252,8 млн. лева; </w:t>
      </w:r>
    </w:p>
    <w:p w14:paraId="23B36026" w14:textId="77777777" w:rsidR="00676777" w:rsidRPr="002E0FFD" w:rsidRDefault="00676777" w:rsidP="00676777">
      <w:pPr>
        <w:numPr>
          <w:ilvl w:val="0"/>
          <w:numId w:val="13"/>
        </w:numPr>
        <w:ind w:firstLine="66"/>
        <w:jc w:val="both"/>
        <w:rPr>
          <w:color w:val="000000" w:themeColor="text1"/>
        </w:rPr>
      </w:pPr>
      <w:r w:rsidRPr="002E0FFD">
        <w:rPr>
          <w:i/>
          <w:color w:val="000000" w:themeColor="text1"/>
        </w:rPr>
        <w:t xml:space="preserve">приходи от ел. енергия и др. акцизни стоки </w:t>
      </w:r>
      <w:r w:rsidRPr="002E0FFD">
        <w:rPr>
          <w:color w:val="000000" w:themeColor="text1"/>
        </w:rPr>
        <w:t>– 36,3 млн. лева.</w:t>
      </w:r>
    </w:p>
    <w:p w14:paraId="337C5C96" w14:textId="77777777" w:rsidR="00676777" w:rsidRPr="005773D6" w:rsidRDefault="00676777" w:rsidP="00676777">
      <w:pPr>
        <w:ind w:left="360"/>
        <w:jc w:val="both"/>
        <w:rPr>
          <w:color w:val="0070C0"/>
          <w:sz w:val="8"/>
          <w:szCs w:val="8"/>
        </w:rPr>
      </w:pPr>
    </w:p>
    <w:p w14:paraId="44F8A49C" w14:textId="77777777" w:rsidR="00676777" w:rsidRPr="005773D6" w:rsidRDefault="00676777" w:rsidP="00676777">
      <w:pPr>
        <w:ind w:left="360"/>
        <w:jc w:val="both"/>
        <w:rPr>
          <w:color w:val="0070C0"/>
          <w:sz w:val="8"/>
          <w:szCs w:val="8"/>
        </w:rPr>
      </w:pPr>
    </w:p>
    <w:p w14:paraId="11CFBE68" w14:textId="77777777" w:rsidR="00676777" w:rsidRPr="002E0FFD" w:rsidRDefault="00676777" w:rsidP="00676777">
      <w:pPr>
        <w:spacing w:after="120"/>
        <w:jc w:val="both"/>
        <w:rPr>
          <w:color w:val="000000" w:themeColor="text1"/>
        </w:rPr>
      </w:pPr>
      <w:r w:rsidRPr="002E0FFD">
        <w:rPr>
          <w:b/>
          <w:color w:val="000000" w:themeColor="text1"/>
        </w:rPr>
        <w:t>Приходите от данък върху застрахователните премии</w:t>
      </w:r>
      <w:r w:rsidRPr="002E0FFD">
        <w:rPr>
          <w:color w:val="000000" w:themeColor="text1"/>
        </w:rPr>
        <w:t xml:space="preserve"> са в размер на </w:t>
      </w:r>
      <w:r w:rsidRPr="002E0FFD">
        <w:rPr>
          <w:b/>
          <w:color w:val="000000" w:themeColor="text1"/>
        </w:rPr>
        <w:t>56,6 млн. лв</w:t>
      </w:r>
      <w:r w:rsidRPr="002E0FFD">
        <w:rPr>
          <w:color w:val="000000" w:themeColor="text1"/>
        </w:rPr>
        <w:t xml:space="preserve">., при планирани за годината 74,6 млн. лв., и в сравнение със същия период на 2024 г. отчитат ръст от 5,8 млн. лева. </w:t>
      </w:r>
    </w:p>
    <w:p w14:paraId="69C84511" w14:textId="77777777" w:rsidR="00676777" w:rsidRPr="002E0FFD" w:rsidRDefault="00676777" w:rsidP="00676777">
      <w:pPr>
        <w:autoSpaceDE w:val="0"/>
        <w:autoSpaceDN w:val="0"/>
        <w:adjustRightInd w:val="0"/>
        <w:spacing w:after="120"/>
        <w:jc w:val="both"/>
        <w:rPr>
          <w:rFonts w:eastAsia="Batang"/>
          <w:bCs/>
          <w:color w:val="000000" w:themeColor="text1"/>
        </w:rPr>
      </w:pPr>
      <w:r w:rsidRPr="002E0FFD">
        <w:rPr>
          <w:b/>
          <w:color w:val="000000" w:themeColor="text1"/>
        </w:rPr>
        <w:t>Постъпленията от</w:t>
      </w:r>
      <w:r w:rsidRPr="002E0FFD">
        <w:rPr>
          <w:color w:val="000000" w:themeColor="text1"/>
        </w:rPr>
        <w:t xml:space="preserve"> </w:t>
      </w:r>
      <w:r w:rsidRPr="002E0FFD">
        <w:rPr>
          <w:b/>
          <w:bCs/>
          <w:color w:val="000000" w:themeColor="text1"/>
        </w:rPr>
        <w:t xml:space="preserve">мита </w:t>
      </w:r>
      <w:r w:rsidRPr="002E0FFD">
        <w:rPr>
          <w:color w:val="000000" w:themeColor="text1"/>
        </w:rPr>
        <w:t xml:space="preserve">възлизат на </w:t>
      </w:r>
      <w:r w:rsidRPr="002E0FFD">
        <w:rPr>
          <w:b/>
          <w:color w:val="000000" w:themeColor="text1"/>
        </w:rPr>
        <w:t>283,6 млн. лв</w:t>
      </w:r>
      <w:r w:rsidRPr="002E0FFD">
        <w:rPr>
          <w:color w:val="000000" w:themeColor="text1"/>
        </w:rPr>
        <w:t>. или 77,3 % от планираните със ЗДБРБ за 2025</w:t>
      </w:r>
      <w:r w:rsidRPr="002E0FFD">
        <w:rPr>
          <w:color w:val="000000" w:themeColor="text1"/>
          <w:lang w:val="en-US"/>
        </w:rPr>
        <w:t> </w:t>
      </w:r>
      <w:r w:rsidRPr="002E0FFD">
        <w:rPr>
          <w:color w:val="000000" w:themeColor="text1"/>
        </w:rPr>
        <w:t>г. като заемат 0,9 % относителен дял в общия размер на данъчните приходи по държавния бюджет. В сравнение със същия период на предходната година събраните мита са с 41,8 млн. лв. (17,</w:t>
      </w:r>
      <w:r w:rsidRPr="002E0FFD">
        <w:rPr>
          <w:color w:val="000000" w:themeColor="text1"/>
          <w:lang w:val="ru-RU"/>
        </w:rPr>
        <w:t>3</w:t>
      </w:r>
      <w:r w:rsidRPr="002E0FFD">
        <w:rPr>
          <w:color w:val="000000" w:themeColor="text1"/>
        </w:rPr>
        <w:t xml:space="preserve"> %) повече.</w:t>
      </w:r>
    </w:p>
    <w:p w14:paraId="430E7A3D" w14:textId="77777777" w:rsidR="00676777" w:rsidRPr="002E0FFD" w:rsidRDefault="00676777" w:rsidP="00676777">
      <w:pPr>
        <w:tabs>
          <w:tab w:val="right" w:pos="9072"/>
        </w:tabs>
        <w:spacing w:after="120"/>
        <w:jc w:val="both"/>
        <w:rPr>
          <w:color w:val="000000" w:themeColor="text1"/>
        </w:rPr>
      </w:pPr>
      <w:r>
        <w:rPr>
          <w:color w:val="000000" w:themeColor="text1"/>
        </w:rPr>
        <w:t xml:space="preserve">За деветте месеца на 2025 г., сравнени със същия период на предходната година, </w:t>
      </w:r>
      <w:r w:rsidRPr="002E0FFD">
        <w:rPr>
          <w:color w:val="000000" w:themeColor="text1"/>
        </w:rPr>
        <w:t>обобщените данни за декларираните стоки, обложени със ставка на митото, различна от нула показват ръст на количествата (28,7 %), спад на осреднената статистическа стойност за кг (5,2 %) и ръст от 0,7 % на осреднената ставка на митото, приложена за облагане на внесените от трети страни стоки.</w:t>
      </w:r>
    </w:p>
    <w:p w14:paraId="1D744091" w14:textId="77777777" w:rsidR="00676777" w:rsidRPr="002E0FFD" w:rsidRDefault="00676777" w:rsidP="00676777">
      <w:pPr>
        <w:numPr>
          <w:ilvl w:val="0"/>
          <w:numId w:val="4"/>
        </w:numPr>
        <w:tabs>
          <w:tab w:val="clear" w:pos="1440"/>
          <w:tab w:val="num" w:pos="540"/>
        </w:tabs>
        <w:spacing w:before="240"/>
        <w:ind w:left="0" w:firstLine="181"/>
        <w:jc w:val="both"/>
        <w:rPr>
          <w:b/>
          <w:bCs/>
          <w:color w:val="000000" w:themeColor="text1"/>
        </w:rPr>
      </w:pPr>
      <w:r w:rsidRPr="002E0FFD">
        <w:rPr>
          <w:b/>
          <w:bCs/>
          <w:color w:val="000000" w:themeColor="text1"/>
        </w:rPr>
        <w:t>Други данъци</w:t>
      </w:r>
    </w:p>
    <w:p w14:paraId="0FDDBC51" w14:textId="77777777" w:rsidR="00676777" w:rsidRPr="002E0FFD" w:rsidRDefault="00676777" w:rsidP="00676777">
      <w:pPr>
        <w:spacing w:before="120"/>
        <w:jc w:val="both"/>
        <w:rPr>
          <w:bCs/>
          <w:color w:val="000000" w:themeColor="text1"/>
        </w:rPr>
      </w:pPr>
      <w:r w:rsidRPr="002E0FFD">
        <w:rPr>
          <w:color w:val="000000" w:themeColor="text1"/>
        </w:rPr>
        <w:t xml:space="preserve">Постъпленията от </w:t>
      </w:r>
      <w:r w:rsidRPr="002E0FFD">
        <w:rPr>
          <w:b/>
          <w:color w:val="000000" w:themeColor="text1"/>
        </w:rPr>
        <w:t>други данъци</w:t>
      </w:r>
      <w:r w:rsidRPr="002E0FFD">
        <w:rPr>
          <w:color w:val="000000" w:themeColor="text1"/>
        </w:rPr>
        <w:t xml:space="preserve"> по държавния бюджет </w:t>
      </w:r>
      <w:r w:rsidRPr="002E0FFD">
        <w:rPr>
          <w:bCs/>
          <w:color w:val="000000" w:themeColor="text1"/>
        </w:rPr>
        <w:t>към края на септември 2025</w:t>
      </w:r>
      <w:r w:rsidRPr="002E0FFD">
        <w:rPr>
          <w:color w:val="000000" w:themeColor="text1"/>
        </w:rPr>
        <w:t xml:space="preserve"> г. са в размер на </w:t>
      </w:r>
      <w:r w:rsidRPr="002E0FFD">
        <w:rPr>
          <w:b/>
          <w:color w:val="000000" w:themeColor="text1"/>
        </w:rPr>
        <w:t>199,9 млн. лв.</w:t>
      </w:r>
      <w:r w:rsidRPr="002E0FFD">
        <w:rPr>
          <w:bCs/>
          <w:color w:val="000000" w:themeColor="text1"/>
        </w:rPr>
        <w:t xml:space="preserve"> или 31,9 % от планираните със ЗДБРБ за 2025 г. Съпоставени с данните към септември 2024 г. приходите от други данъци нарастват с 20,5 млн. лв. </w:t>
      </w:r>
      <w:r w:rsidRPr="002E0FFD">
        <w:rPr>
          <w:bCs/>
          <w:color w:val="000000" w:themeColor="text1"/>
          <w:lang w:val="en-US"/>
        </w:rPr>
        <w:t>(</w:t>
      </w:r>
      <w:r w:rsidRPr="002E0FFD">
        <w:rPr>
          <w:bCs/>
          <w:color w:val="000000" w:themeColor="text1"/>
        </w:rPr>
        <w:t>11,4 %</w:t>
      </w:r>
      <w:r w:rsidRPr="002E0FFD">
        <w:rPr>
          <w:bCs/>
          <w:color w:val="000000" w:themeColor="text1"/>
          <w:lang w:val="en-US"/>
        </w:rPr>
        <w:t>)</w:t>
      </w:r>
      <w:r w:rsidRPr="002E0FFD">
        <w:rPr>
          <w:bCs/>
          <w:color w:val="000000" w:themeColor="text1"/>
          <w:lang w:val="ru-RU"/>
        </w:rPr>
        <w:t>.</w:t>
      </w:r>
      <w:r w:rsidRPr="002E0FFD">
        <w:rPr>
          <w:bCs/>
          <w:color w:val="000000" w:themeColor="text1"/>
        </w:rPr>
        <w:t xml:space="preserve"> </w:t>
      </w:r>
    </w:p>
    <w:p w14:paraId="488E2766" w14:textId="77777777" w:rsidR="00676777" w:rsidRPr="002E0FFD" w:rsidRDefault="00676777" w:rsidP="00676777">
      <w:pPr>
        <w:numPr>
          <w:ilvl w:val="0"/>
          <w:numId w:val="3"/>
        </w:numPr>
        <w:tabs>
          <w:tab w:val="num" w:pos="720"/>
        </w:tabs>
        <w:spacing w:before="120"/>
        <w:ind w:left="0" w:firstLine="181"/>
        <w:jc w:val="both"/>
        <w:rPr>
          <w:color w:val="000000" w:themeColor="text1"/>
        </w:rPr>
      </w:pPr>
      <w:r w:rsidRPr="002E0FFD">
        <w:rPr>
          <w:b/>
          <w:bCs/>
          <w:color w:val="000000" w:themeColor="text1"/>
        </w:rPr>
        <w:t>Неданъчни приходи</w:t>
      </w:r>
    </w:p>
    <w:p w14:paraId="108A41D5" w14:textId="77777777" w:rsidR="00676777" w:rsidRDefault="00676777" w:rsidP="00676777">
      <w:pPr>
        <w:tabs>
          <w:tab w:val="left" w:pos="900"/>
        </w:tabs>
        <w:spacing w:before="120" w:after="120"/>
        <w:jc w:val="both"/>
        <w:rPr>
          <w:color w:val="000000" w:themeColor="text1"/>
          <w:lang w:val="ru-RU"/>
        </w:rPr>
      </w:pPr>
      <w:r w:rsidRPr="002E0FFD">
        <w:rPr>
          <w:b/>
          <w:color w:val="000000" w:themeColor="text1"/>
        </w:rPr>
        <w:t>Отчетените</w:t>
      </w:r>
      <w:r w:rsidRPr="002E0FFD">
        <w:rPr>
          <w:b/>
          <w:bCs/>
          <w:color w:val="000000" w:themeColor="text1"/>
        </w:rPr>
        <w:t xml:space="preserve"> неданъчни приходи</w:t>
      </w:r>
      <w:r w:rsidRPr="002E0FFD">
        <w:rPr>
          <w:b/>
          <w:color w:val="000000" w:themeColor="text1"/>
        </w:rPr>
        <w:t xml:space="preserve"> </w:t>
      </w:r>
      <w:r w:rsidRPr="002E0FFD">
        <w:rPr>
          <w:color w:val="000000" w:themeColor="text1"/>
        </w:rPr>
        <w:t xml:space="preserve">по държавния бюджет </w:t>
      </w:r>
      <w:r w:rsidRPr="002E0FFD">
        <w:rPr>
          <w:bCs/>
          <w:color w:val="000000" w:themeColor="text1"/>
        </w:rPr>
        <w:t>към септември 202</w:t>
      </w:r>
      <w:r w:rsidRPr="002E0FFD">
        <w:rPr>
          <w:bCs/>
          <w:color w:val="000000" w:themeColor="text1"/>
          <w:lang w:val="ru-RU"/>
        </w:rPr>
        <w:t>5</w:t>
      </w:r>
      <w:r w:rsidRPr="002E0FFD">
        <w:rPr>
          <w:bCs/>
          <w:color w:val="000000" w:themeColor="text1"/>
        </w:rPr>
        <w:t xml:space="preserve"> г.</w:t>
      </w:r>
      <w:r w:rsidRPr="002E0FFD">
        <w:rPr>
          <w:color w:val="000000" w:themeColor="text1"/>
        </w:rPr>
        <w:t xml:space="preserve"> са в размер на </w:t>
      </w:r>
      <w:r w:rsidRPr="002E0FFD">
        <w:rPr>
          <w:b/>
          <w:color w:val="000000" w:themeColor="text1"/>
          <w:lang w:val="ru-RU"/>
        </w:rPr>
        <w:t>5 227,6</w:t>
      </w:r>
      <w:r w:rsidRPr="002E0FFD">
        <w:rPr>
          <w:b/>
          <w:color w:val="000000" w:themeColor="text1"/>
        </w:rPr>
        <w:t> млн. лв</w:t>
      </w:r>
      <w:r w:rsidRPr="002E0FFD">
        <w:rPr>
          <w:color w:val="000000" w:themeColor="text1"/>
        </w:rPr>
        <w:t xml:space="preserve">. </w:t>
      </w:r>
      <w:r w:rsidRPr="002E0FFD">
        <w:rPr>
          <w:color w:val="000000" w:themeColor="text1"/>
          <w:lang w:val="ru-RU"/>
        </w:rPr>
        <w:t>(</w:t>
      </w:r>
      <w:r w:rsidRPr="002E0FFD">
        <w:rPr>
          <w:color w:val="000000" w:themeColor="text1"/>
        </w:rPr>
        <w:t>74,9</w:t>
      </w:r>
      <w:r w:rsidRPr="002E0FFD">
        <w:rPr>
          <w:color w:val="000000" w:themeColor="text1"/>
          <w:lang w:val="ru-RU"/>
        </w:rPr>
        <w:t xml:space="preserve"> % от планираните за 202</w:t>
      </w:r>
      <w:r w:rsidRPr="002E0FFD">
        <w:rPr>
          <w:color w:val="000000" w:themeColor="text1"/>
        </w:rPr>
        <w:t>5</w:t>
      </w:r>
      <w:r w:rsidRPr="002E0FFD">
        <w:rPr>
          <w:color w:val="000000" w:themeColor="text1"/>
          <w:lang w:val="ru-RU"/>
        </w:rPr>
        <w:t xml:space="preserve"> г.) </w:t>
      </w:r>
      <w:r w:rsidRPr="002E0FFD">
        <w:rPr>
          <w:color w:val="000000" w:themeColor="text1"/>
        </w:rPr>
        <w:t>и се формират основно от приходи от държавни такси, приходи и доходи от собственост, приходи от концесии и други неданъчни приходи</w:t>
      </w:r>
      <w:r w:rsidRPr="002E0FFD">
        <w:rPr>
          <w:color w:val="000000" w:themeColor="text1"/>
          <w:lang w:val="ru-RU"/>
        </w:rPr>
        <w:t xml:space="preserve">. </w:t>
      </w:r>
    </w:p>
    <w:p w14:paraId="230C50B0" w14:textId="77777777" w:rsidR="00676777" w:rsidRPr="003575BB" w:rsidRDefault="00676777" w:rsidP="00676777">
      <w:pPr>
        <w:numPr>
          <w:ilvl w:val="0"/>
          <w:numId w:val="3"/>
        </w:numPr>
        <w:tabs>
          <w:tab w:val="num" w:pos="720"/>
        </w:tabs>
        <w:ind w:left="0" w:firstLine="181"/>
        <w:jc w:val="both"/>
        <w:rPr>
          <w:b/>
          <w:bCs/>
          <w:color w:val="000000" w:themeColor="text1"/>
        </w:rPr>
      </w:pPr>
      <w:r w:rsidRPr="003575BB">
        <w:rPr>
          <w:b/>
          <w:bCs/>
          <w:color w:val="000000" w:themeColor="text1"/>
        </w:rPr>
        <w:t>Помощи и дарения</w:t>
      </w:r>
    </w:p>
    <w:p w14:paraId="2A802E48" w14:textId="77777777" w:rsidR="00676777" w:rsidRPr="003575BB" w:rsidRDefault="00676777" w:rsidP="00676777">
      <w:pPr>
        <w:spacing w:before="120" w:after="120"/>
        <w:jc w:val="both"/>
        <w:rPr>
          <w:color w:val="000000" w:themeColor="text1"/>
        </w:rPr>
      </w:pPr>
      <w:r w:rsidRPr="003575BB">
        <w:rPr>
          <w:b/>
          <w:color w:val="000000" w:themeColor="text1"/>
        </w:rPr>
        <w:t>Помощите</w:t>
      </w:r>
      <w:r w:rsidRPr="003575BB">
        <w:rPr>
          <w:color w:val="000000" w:themeColor="text1"/>
        </w:rPr>
        <w:t xml:space="preserve"> </w:t>
      </w:r>
      <w:r w:rsidRPr="003575BB">
        <w:rPr>
          <w:b/>
          <w:color w:val="000000" w:themeColor="text1"/>
        </w:rPr>
        <w:t>и даренията</w:t>
      </w:r>
      <w:r w:rsidRPr="003575BB">
        <w:rPr>
          <w:color w:val="000000" w:themeColor="text1"/>
        </w:rPr>
        <w:t xml:space="preserve"> по държавния бюджет към септември 2025 г. са в размер на </w:t>
      </w:r>
      <w:r w:rsidRPr="003575BB">
        <w:rPr>
          <w:b/>
          <w:color w:val="000000" w:themeColor="text1"/>
        </w:rPr>
        <w:t xml:space="preserve">355,6 млн. лв., </w:t>
      </w:r>
      <w:r w:rsidRPr="003575BB">
        <w:rPr>
          <w:color w:val="000000" w:themeColor="text1"/>
        </w:rPr>
        <w:t xml:space="preserve">в т. ч. 348,6 млн. лв. постъпили в края на месец януари еднократни приходи по споразумение между Министерството на отбраната на Република България и Министерството на отбраната на Кралство Дания за сътрудничество в областта на материалните ресурси за отбрана. </w:t>
      </w:r>
    </w:p>
    <w:p w14:paraId="02B0B1F8" w14:textId="77777777" w:rsidR="00581832" w:rsidRPr="00581832" w:rsidRDefault="00581832" w:rsidP="00581832">
      <w:pPr>
        <w:numPr>
          <w:ilvl w:val="0"/>
          <w:numId w:val="5"/>
        </w:numPr>
        <w:tabs>
          <w:tab w:val="clear" w:pos="7650"/>
          <w:tab w:val="num" w:pos="426"/>
          <w:tab w:val="num" w:pos="786"/>
        </w:tabs>
        <w:spacing w:before="240"/>
        <w:ind w:left="0" w:firstLine="0"/>
        <w:jc w:val="both"/>
        <w:rPr>
          <w:b/>
          <w:bCs/>
          <w:lang w:eastAsia="bg-BG"/>
        </w:rPr>
      </w:pPr>
      <w:r w:rsidRPr="00581832">
        <w:rPr>
          <w:b/>
          <w:bCs/>
          <w:lang w:eastAsia="bg-BG"/>
        </w:rPr>
        <w:t>Разходи по държавния бюджет</w:t>
      </w:r>
    </w:p>
    <w:p w14:paraId="4FA82313" w14:textId="77777777" w:rsidR="00581832" w:rsidRPr="00581832" w:rsidRDefault="00581832" w:rsidP="00581832">
      <w:pPr>
        <w:jc w:val="both"/>
        <w:rPr>
          <w:b/>
          <w:bCs/>
          <w:color w:val="0070C0"/>
          <w:sz w:val="4"/>
          <w:szCs w:val="4"/>
          <w:lang w:eastAsia="bg-BG"/>
        </w:rPr>
      </w:pPr>
    </w:p>
    <w:p w14:paraId="4C8ADAC6" w14:textId="77777777" w:rsidR="00586FF6" w:rsidRPr="005773D6" w:rsidRDefault="00586FF6" w:rsidP="00586FF6">
      <w:pPr>
        <w:pStyle w:val="BodyTextIndent"/>
        <w:spacing w:after="0"/>
        <w:ind w:left="0"/>
        <w:jc w:val="both"/>
        <w:rPr>
          <w:color w:val="0070C0"/>
        </w:rPr>
      </w:pPr>
      <w:r w:rsidRPr="003C4474">
        <w:t xml:space="preserve">Общият размер на </w:t>
      </w:r>
      <w:r w:rsidRPr="003C4474">
        <w:rPr>
          <w:b/>
        </w:rPr>
        <w:t>разходите по държавния бюджет</w:t>
      </w:r>
      <w:r w:rsidRPr="003C4474">
        <w:t xml:space="preserve"> </w:t>
      </w:r>
      <w:r w:rsidRPr="003C4474">
        <w:rPr>
          <w:lang w:val="ru-RU"/>
        </w:rPr>
        <w:t xml:space="preserve">(вкл. трансферите за др. бюджети и вноската </w:t>
      </w:r>
      <w:r w:rsidRPr="00E10EB3">
        <w:rPr>
          <w:lang w:val="ru-RU"/>
        </w:rPr>
        <w:t xml:space="preserve">в бюджета на ЕС) </w:t>
      </w:r>
      <w:r w:rsidRPr="00E10EB3">
        <w:rPr>
          <w:bCs/>
        </w:rPr>
        <w:t>към септември 2025 г.</w:t>
      </w:r>
      <w:r w:rsidRPr="00E10EB3">
        <w:t xml:space="preserve"> е </w:t>
      </w:r>
      <w:r w:rsidRPr="00E10EB3">
        <w:rPr>
          <w:b/>
        </w:rPr>
        <w:t>42 199,7 млн. лв</w:t>
      </w:r>
      <w:r w:rsidRPr="00E10EB3">
        <w:t xml:space="preserve">., 67,7 % от разчета. С оглед постигане на съпоставимост на графиката по-долу за 2024 г. е елиминирано влиянието на </w:t>
      </w:r>
      <w:r w:rsidRPr="00E10EB3">
        <w:lastRenderedPageBreak/>
        <w:t>трансакцията по</w:t>
      </w:r>
      <w:r w:rsidRPr="00E10EB3">
        <w:rPr>
          <w:rFonts w:eastAsia="Calibri"/>
          <w:lang w:val="ru-RU"/>
        </w:rPr>
        <w:t xml:space="preserve"> чл. 71, ал.1 от Постановление № 13 на Министерския съвет от 2024 г. </w:t>
      </w:r>
      <w:r w:rsidRPr="00E10EB3">
        <w:rPr>
          <w:rFonts w:eastAsia="Calibri"/>
        </w:rPr>
        <w:t xml:space="preserve">(възстановени разходи в размер на 1 200 млн. лв. </w:t>
      </w:r>
      <w:r w:rsidRPr="00E10EB3">
        <w:rPr>
          <w:rFonts w:eastAsia="Calibri"/>
          <w:lang w:val="ru-RU"/>
        </w:rPr>
        <w:t xml:space="preserve">от сметката за чужди средства по бюджета на Министерството на регионалното развитие </w:t>
      </w:r>
      <w:r w:rsidRPr="00E10EB3">
        <w:rPr>
          <w:rFonts w:eastAsia="Calibri"/>
        </w:rPr>
        <w:t>и благоустройството</w:t>
      </w:r>
      <w:r w:rsidRPr="00E10EB3">
        <w:rPr>
          <w:rFonts w:eastAsia="Calibri"/>
          <w:lang w:val="ru-RU"/>
        </w:rPr>
        <w:t>)</w:t>
      </w:r>
      <w:r w:rsidRPr="00E10EB3">
        <w:rPr>
          <w:rFonts w:eastAsia="Calibri"/>
        </w:rPr>
        <w:t>.</w:t>
      </w:r>
    </w:p>
    <w:p w14:paraId="05F7C0D7" w14:textId="77777777" w:rsidR="00586FF6" w:rsidRPr="005773D6" w:rsidRDefault="00586FF6" w:rsidP="00586FF6">
      <w:pPr>
        <w:pStyle w:val="BodyTextIndent"/>
        <w:spacing w:after="0"/>
        <w:ind w:left="0"/>
        <w:jc w:val="both"/>
        <w:rPr>
          <w:color w:val="0070C0"/>
          <w:sz w:val="4"/>
          <w:szCs w:val="4"/>
        </w:rPr>
      </w:pPr>
    </w:p>
    <w:p w14:paraId="0CADA298" w14:textId="77777777" w:rsidR="00586FF6" w:rsidRPr="005773D6" w:rsidRDefault="00586FF6" w:rsidP="00586FF6">
      <w:pPr>
        <w:pStyle w:val="BodyTextIndent"/>
        <w:spacing w:after="0"/>
        <w:ind w:left="0"/>
        <w:jc w:val="center"/>
        <w:rPr>
          <w:b/>
          <w:color w:val="0070C0"/>
          <w:sz w:val="4"/>
          <w:szCs w:val="4"/>
          <w:u w:val="single"/>
        </w:rPr>
      </w:pPr>
    </w:p>
    <w:p w14:paraId="7C435451" w14:textId="77777777" w:rsidR="00586FF6" w:rsidRPr="006F402B" w:rsidRDefault="00586FF6" w:rsidP="00586FF6">
      <w:pPr>
        <w:pStyle w:val="BodyTextIndent"/>
        <w:spacing w:after="0"/>
        <w:ind w:left="0"/>
        <w:jc w:val="center"/>
        <w:rPr>
          <w:b/>
          <w:color w:val="0070C0"/>
          <w:sz w:val="4"/>
          <w:szCs w:val="4"/>
          <w:u w:val="single"/>
        </w:rPr>
      </w:pPr>
    </w:p>
    <w:p w14:paraId="3E06A2FC" w14:textId="77777777" w:rsidR="00586FF6" w:rsidRPr="00E10EB3" w:rsidRDefault="00586FF6" w:rsidP="00586FF6">
      <w:pPr>
        <w:pStyle w:val="BodyTextIndent"/>
        <w:spacing w:after="0"/>
        <w:ind w:left="0"/>
        <w:jc w:val="center"/>
        <w:rPr>
          <w:b/>
          <w:u w:val="single"/>
        </w:rPr>
      </w:pPr>
      <w:r w:rsidRPr="00E10EB3">
        <w:rPr>
          <w:b/>
          <w:u w:val="single"/>
        </w:rPr>
        <w:t xml:space="preserve">Разходи, трансфери за други бюджети и вноска в бюджета на ЕС </w:t>
      </w:r>
    </w:p>
    <w:p w14:paraId="1FA76541" w14:textId="77777777" w:rsidR="00586FF6" w:rsidRPr="00E10EB3" w:rsidRDefault="00586FF6" w:rsidP="00586FF6">
      <w:pPr>
        <w:pStyle w:val="BodyTextIndent"/>
        <w:spacing w:after="0"/>
        <w:ind w:left="0"/>
        <w:jc w:val="center"/>
        <w:rPr>
          <w:b/>
          <w:u w:val="single"/>
        </w:rPr>
      </w:pPr>
      <w:r w:rsidRPr="00E10EB3">
        <w:rPr>
          <w:b/>
          <w:u w:val="single"/>
        </w:rPr>
        <w:t>към септември 2024 г. и 2025 г.</w:t>
      </w:r>
    </w:p>
    <w:p w14:paraId="73E441EE" w14:textId="4E4309DE" w:rsidR="00586FF6" w:rsidRPr="00E10EB3" w:rsidRDefault="00586FF6" w:rsidP="00586FF6">
      <w:pPr>
        <w:pStyle w:val="BodyTextIndent"/>
        <w:spacing w:after="0"/>
        <w:ind w:left="0"/>
        <w:jc w:val="center"/>
        <w:rPr>
          <w:b/>
          <w:lang w:val="ru-RU"/>
        </w:rPr>
      </w:pPr>
      <w:r w:rsidRPr="00E10EB3">
        <w:rPr>
          <w:b/>
          <w:lang w:val="ru-RU"/>
        </w:rPr>
        <w:t>(</w:t>
      </w:r>
      <w:r w:rsidRPr="00E10EB3">
        <w:rPr>
          <w:b/>
        </w:rPr>
        <w:t>данните за кап</w:t>
      </w:r>
      <w:r w:rsidR="001A1B2F">
        <w:rPr>
          <w:b/>
        </w:rPr>
        <w:t>италовите</w:t>
      </w:r>
      <w:r w:rsidRPr="00E10EB3">
        <w:rPr>
          <w:b/>
        </w:rPr>
        <w:t xml:space="preserve"> разходи за 2024 г. са на съпоставима база</w:t>
      </w:r>
      <w:r w:rsidRPr="00E10EB3">
        <w:rPr>
          <w:b/>
          <w:lang w:val="ru-RU"/>
        </w:rPr>
        <w:t>)</w:t>
      </w:r>
    </w:p>
    <w:p w14:paraId="16C24711" w14:textId="77777777" w:rsidR="00586FF6" w:rsidRPr="005773D6" w:rsidRDefault="00586FF6" w:rsidP="00586FF6">
      <w:pPr>
        <w:pStyle w:val="BodyTextIndent"/>
        <w:spacing w:after="0"/>
        <w:ind w:left="0"/>
        <w:jc w:val="center"/>
        <w:rPr>
          <w:b/>
          <w:color w:val="0070C0"/>
          <w:u w:val="single"/>
          <w:lang w:val="ru-RU"/>
        </w:rPr>
      </w:pPr>
    </w:p>
    <w:p w14:paraId="4522C65D" w14:textId="15CE4250" w:rsidR="00355EBB" w:rsidRPr="005773D6" w:rsidRDefault="00355EBB" w:rsidP="00586FF6">
      <w:pPr>
        <w:pStyle w:val="BodyTextIndent"/>
        <w:spacing w:after="0"/>
        <w:ind w:left="0"/>
        <w:jc w:val="center"/>
        <w:rPr>
          <w:b/>
          <w:color w:val="0070C0"/>
          <w:u w:val="single"/>
        </w:rPr>
      </w:pPr>
      <w:r>
        <w:rPr>
          <w:b/>
          <w:noProof/>
          <w:color w:val="0070C0"/>
          <w:u w:val="single"/>
          <w:lang w:eastAsia="bg-BG"/>
        </w:rPr>
        <w:drawing>
          <wp:inline distT="0" distB="0" distL="0" distR="0" wp14:anchorId="0CDDA449" wp14:editId="7044ADD9">
            <wp:extent cx="5584190" cy="2329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4190" cy="2329180"/>
                    </a:xfrm>
                    <a:prstGeom prst="rect">
                      <a:avLst/>
                    </a:prstGeom>
                    <a:noFill/>
                  </pic:spPr>
                </pic:pic>
              </a:graphicData>
            </a:graphic>
          </wp:inline>
        </w:drawing>
      </w:r>
    </w:p>
    <w:p w14:paraId="7AECE418" w14:textId="77777777" w:rsidR="00586FF6" w:rsidRPr="005773D6" w:rsidRDefault="00586FF6" w:rsidP="00586FF6">
      <w:pPr>
        <w:pStyle w:val="BodyTextIndent"/>
        <w:spacing w:after="0"/>
        <w:ind w:left="0"/>
        <w:jc w:val="center"/>
        <w:rPr>
          <w:b/>
          <w:color w:val="0070C0"/>
          <w:sz w:val="8"/>
          <w:szCs w:val="8"/>
          <w:u w:val="single"/>
        </w:rPr>
      </w:pPr>
    </w:p>
    <w:p w14:paraId="6CF75A30" w14:textId="77777777" w:rsidR="00586FF6" w:rsidRPr="00E10EB3" w:rsidRDefault="00586FF6" w:rsidP="00586FF6">
      <w:pPr>
        <w:ind w:firstLine="360"/>
        <w:rPr>
          <w:sz w:val="18"/>
          <w:szCs w:val="18"/>
        </w:rPr>
      </w:pPr>
      <w:bookmarkStart w:id="55" w:name="_MON_1562146415"/>
      <w:bookmarkStart w:id="56" w:name="_MON_1562146493"/>
      <w:bookmarkStart w:id="57" w:name="_MON_1562146700"/>
      <w:bookmarkStart w:id="58" w:name="_MON_1562146782"/>
      <w:bookmarkStart w:id="59" w:name="_MON_1562146967"/>
      <w:bookmarkStart w:id="60" w:name="_MON_1562147372"/>
      <w:bookmarkStart w:id="61" w:name="_MON_1562147473"/>
      <w:bookmarkStart w:id="62" w:name="_MON_1562147677"/>
      <w:bookmarkStart w:id="63" w:name="_MON_1562147743"/>
      <w:bookmarkStart w:id="64" w:name="_MON_1562147867"/>
      <w:bookmarkStart w:id="65" w:name="_MON_1562147934"/>
      <w:bookmarkStart w:id="66" w:name="_MON_1562148056"/>
      <w:bookmarkStart w:id="67" w:name="_MON_1562148171"/>
      <w:bookmarkStart w:id="68" w:name="_MON_1562148229"/>
      <w:bookmarkStart w:id="69" w:name="_MON_1562148307"/>
      <w:bookmarkStart w:id="70" w:name="_MON_1562148447"/>
      <w:bookmarkStart w:id="71" w:name="_MON_1562148558"/>
      <w:bookmarkStart w:id="72" w:name="_MON_1562152805"/>
      <w:bookmarkStart w:id="73" w:name="_MON_1562152984"/>
      <w:bookmarkStart w:id="74" w:name="_MON_1562153459"/>
      <w:bookmarkStart w:id="75" w:name="_MON_1562153503"/>
      <w:bookmarkStart w:id="76" w:name="_MON_1562153559"/>
      <w:bookmarkStart w:id="77" w:name="_MON_1562153646"/>
      <w:bookmarkStart w:id="78" w:name="_MON_1562153939"/>
      <w:bookmarkStart w:id="79" w:name="_MON_1562154053"/>
      <w:bookmarkStart w:id="80" w:name="_MON_1562154282"/>
      <w:bookmarkStart w:id="81" w:name="_MON_1562146286"/>
      <w:bookmarkStart w:id="82" w:name="_MON_1562154881"/>
      <w:bookmarkStart w:id="83" w:name="_MON_1562154973"/>
      <w:bookmarkStart w:id="84" w:name="_MON_1562155194"/>
      <w:bookmarkStart w:id="85" w:name="_MON_1562155231"/>
      <w:bookmarkStart w:id="86" w:name="_MON_1562155321"/>
      <w:bookmarkStart w:id="87" w:name="_MON_156215539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10EB3">
        <w:rPr>
          <w:sz w:val="18"/>
          <w:szCs w:val="18"/>
        </w:rPr>
        <w:t>*</w:t>
      </w:r>
      <w:r w:rsidRPr="00E10EB3">
        <w:t xml:space="preserve"> </w:t>
      </w:r>
      <w:r w:rsidRPr="00E10EB3">
        <w:rPr>
          <w:sz w:val="18"/>
          <w:szCs w:val="18"/>
        </w:rPr>
        <w:t>Вкл. нетния прираст на държавния резерв</w:t>
      </w:r>
    </w:p>
    <w:p w14:paraId="684BCBCF" w14:textId="77777777" w:rsidR="00586FF6" w:rsidRPr="005773D6" w:rsidRDefault="00586FF6" w:rsidP="00586FF6">
      <w:pPr>
        <w:ind w:firstLine="360"/>
        <w:rPr>
          <w:color w:val="0070C0"/>
          <w:sz w:val="18"/>
          <w:szCs w:val="18"/>
        </w:rPr>
      </w:pPr>
    </w:p>
    <w:p w14:paraId="3ED6C573" w14:textId="77777777" w:rsidR="00586FF6" w:rsidRPr="005E2587" w:rsidRDefault="00586FF6" w:rsidP="00586FF6">
      <w:pPr>
        <w:pStyle w:val="BodyTextIndent"/>
        <w:numPr>
          <w:ilvl w:val="0"/>
          <w:numId w:val="14"/>
        </w:numPr>
        <w:spacing w:before="120" w:after="0"/>
        <w:jc w:val="both"/>
        <w:rPr>
          <w:b/>
          <w:bCs/>
        </w:rPr>
      </w:pPr>
      <w:r w:rsidRPr="005E2587">
        <w:rPr>
          <w:b/>
          <w:bCs/>
        </w:rPr>
        <w:t>Нелихвени разходи</w:t>
      </w:r>
    </w:p>
    <w:p w14:paraId="5061B347" w14:textId="33BD92FA" w:rsidR="00586FF6" w:rsidRPr="00DC4C28" w:rsidRDefault="00586FF6" w:rsidP="00586FF6">
      <w:pPr>
        <w:spacing w:before="120"/>
        <w:jc w:val="both"/>
        <w:rPr>
          <w:bCs/>
        </w:rPr>
      </w:pPr>
      <w:r w:rsidRPr="00B90B6E">
        <w:rPr>
          <w:b/>
          <w:bCs/>
        </w:rPr>
        <w:t>Нелихвените разходи</w:t>
      </w:r>
      <w:r w:rsidRPr="00B90B6E">
        <w:rPr>
          <w:bCs/>
        </w:rPr>
        <w:t xml:space="preserve"> по държавния бюджет към септември 202</w:t>
      </w:r>
      <w:r w:rsidRPr="00B90B6E">
        <w:rPr>
          <w:bCs/>
          <w:lang w:val="ru-RU"/>
        </w:rPr>
        <w:t>5</w:t>
      </w:r>
      <w:r w:rsidRPr="00B90B6E">
        <w:rPr>
          <w:bCs/>
        </w:rPr>
        <w:t xml:space="preserve"> г.</w:t>
      </w:r>
      <w:r w:rsidRPr="00B90B6E">
        <w:t xml:space="preserve"> </w:t>
      </w:r>
      <w:r w:rsidRPr="00B90B6E">
        <w:rPr>
          <w:bCs/>
        </w:rPr>
        <w:t xml:space="preserve">са в размер на </w:t>
      </w:r>
      <w:r w:rsidRPr="00B90B6E">
        <w:rPr>
          <w:b/>
          <w:bCs/>
        </w:rPr>
        <w:t>16 885,0 млн. лв</w:t>
      </w:r>
      <w:r w:rsidRPr="00B90B6E">
        <w:rPr>
          <w:bCs/>
        </w:rPr>
        <w:t>.</w:t>
      </w:r>
      <w:r w:rsidRPr="00B90B6E">
        <w:rPr>
          <w:bCs/>
          <w:lang w:val="ru-RU"/>
        </w:rPr>
        <w:t xml:space="preserve"> </w:t>
      </w:r>
      <w:r w:rsidRPr="00B90B6E">
        <w:rPr>
          <w:bCs/>
        </w:rPr>
        <w:t xml:space="preserve">На съпоставима база </w:t>
      </w:r>
      <w:r w:rsidR="00EC654A">
        <w:rPr>
          <w:bCs/>
          <w:lang w:val="en-US"/>
        </w:rPr>
        <w:t>(</w:t>
      </w:r>
      <w:r w:rsidR="00EC654A" w:rsidRPr="000F45F3">
        <w:rPr>
          <w:bCs/>
        </w:rPr>
        <w:t xml:space="preserve">след елиминиране на трансакцията по чл. 71, ал.1 от </w:t>
      </w:r>
      <w:r w:rsidR="00EC654A" w:rsidRPr="00DC4C28">
        <w:rPr>
          <w:bCs/>
        </w:rPr>
        <w:t>Постановление № 13 на Министерския съвет от 2024 г.</w:t>
      </w:r>
      <w:r w:rsidR="00EC654A">
        <w:rPr>
          <w:bCs/>
          <w:lang w:val="en-US"/>
        </w:rPr>
        <w:t xml:space="preserve">) </w:t>
      </w:r>
      <w:r w:rsidRPr="00B90B6E">
        <w:rPr>
          <w:bCs/>
        </w:rPr>
        <w:t xml:space="preserve">нелихвените разходи по държавния бюджет към края на </w:t>
      </w:r>
      <w:r w:rsidRPr="000F45F3">
        <w:rPr>
          <w:bCs/>
        </w:rPr>
        <w:t>септември 2024 г. са в размер на 14 395,1 млн. лв., като разходите към септември 2025 г. нарастват номинално с</w:t>
      </w:r>
      <w:r w:rsidR="00EC654A">
        <w:rPr>
          <w:bCs/>
        </w:rPr>
        <w:t xml:space="preserve"> 2 489,9 млн. лв. (17,3 на сто).</w:t>
      </w:r>
      <w:r w:rsidRPr="000F45F3">
        <w:rPr>
          <w:bCs/>
        </w:rPr>
        <w:t xml:space="preserve"> </w:t>
      </w:r>
    </w:p>
    <w:p w14:paraId="4F279737" w14:textId="1B23E29E" w:rsidR="00586FF6" w:rsidRPr="005773D6" w:rsidRDefault="00586FF6" w:rsidP="00586FF6">
      <w:pPr>
        <w:jc w:val="both"/>
        <w:rPr>
          <w:bCs/>
          <w:color w:val="0070C0"/>
        </w:rPr>
      </w:pPr>
      <w:r w:rsidRPr="00DC4C28">
        <w:rPr>
          <w:bCs/>
        </w:rPr>
        <w:t xml:space="preserve">Разходите за персонал (заплати и възнаграждения, други възнаграждения и плащания за персонала и осигурителни вноски) са в общ размер на 9 016,2 млн. лв. или 70,8 % от планираните за 2025 г. и ръст от 1 857,8 млн. лв. </w:t>
      </w:r>
      <w:r w:rsidRPr="00DC4C28">
        <w:rPr>
          <w:bCs/>
          <w:lang w:val="ru-RU"/>
        </w:rPr>
        <w:t>(</w:t>
      </w:r>
      <w:r w:rsidRPr="00DC4C28">
        <w:rPr>
          <w:bCs/>
        </w:rPr>
        <w:t xml:space="preserve">26,0 %) спрямо същия период на предходната година. </w:t>
      </w:r>
      <w:r w:rsidRPr="00F8332E">
        <w:rPr>
          <w:bCs/>
        </w:rPr>
        <w:t>Разходите за издръжка (вкл. разходи за членски внос и участие в нетърговски организации и дейности и платени данъци, такси и административни санкции) са в размер на 2</w:t>
      </w:r>
      <w:r w:rsidR="00DD389D">
        <w:rPr>
          <w:bCs/>
        </w:rPr>
        <w:t> </w:t>
      </w:r>
      <w:r w:rsidRPr="00F8332E">
        <w:rPr>
          <w:bCs/>
        </w:rPr>
        <w:t xml:space="preserve">422,4 млн. лв. или 44,6 % от планираните за годината. Социалните разходи (вкл. разходите за стипендии) са в размер на 1 455,4 млн. лв. или 43,0 % от предвидените </w:t>
      </w:r>
      <w:r w:rsidRPr="00F8332E">
        <w:t>за годината</w:t>
      </w:r>
      <w:r w:rsidRPr="00F8332E">
        <w:rPr>
          <w:bCs/>
        </w:rPr>
        <w:t xml:space="preserve"> като нарастват със 184,5 млн. лв. (14,5 %) спрямо същия период на предходната </w:t>
      </w:r>
      <w:r w:rsidRPr="00512BED">
        <w:rPr>
          <w:bCs/>
        </w:rPr>
        <w:t>година.</w:t>
      </w:r>
      <w:r w:rsidRPr="00512BED">
        <w:rPr>
          <w:bCs/>
          <w:lang w:val="ru-RU"/>
        </w:rPr>
        <w:t xml:space="preserve"> </w:t>
      </w:r>
      <w:r w:rsidRPr="00512BED">
        <w:t>Част от планираните социални разходи по държавния бюджет се предоставят като трансфери за общинските бюджети.</w:t>
      </w:r>
      <w:r w:rsidRPr="00512BED">
        <w:rPr>
          <w:bCs/>
        </w:rPr>
        <w:t xml:space="preserve"> Разходите за субсидии са в размер на 1 367,8 млн. лв. или 63,9 % от планираните за годината</w:t>
      </w:r>
      <w:r w:rsidRPr="00512BED">
        <w:rPr>
          <w:bCs/>
          <w:lang w:val="ru-RU"/>
        </w:rPr>
        <w:t xml:space="preserve">. </w:t>
      </w:r>
      <w:r w:rsidRPr="00512BED">
        <w:rPr>
          <w:bCs/>
        </w:rPr>
        <w:t xml:space="preserve">Към септември </w:t>
      </w:r>
      <w:r w:rsidRPr="003F59F0">
        <w:rPr>
          <w:bCs/>
        </w:rPr>
        <w:t xml:space="preserve">2025 г. субсидиите за „БДЖ – Пътнически превози” ЕООД са в размер на </w:t>
      </w:r>
      <w:r>
        <w:rPr>
          <w:bCs/>
          <w:lang w:val="ru-RU"/>
        </w:rPr>
        <w:t>169,8</w:t>
      </w:r>
      <w:r w:rsidRPr="003F59F0">
        <w:rPr>
          <w:bCs/>
        </w:rPr>
        <w:t xml:space="preserve"> млн. лв., </w:t>
      </w:r>
      <w:r w:rsidRPr="00122763">
        <w:rPr>
          <w:bCs/>
        </w:rPr>
        <w:t>субсидиите за Национална компания „Железопътна инфраструктура” са 296,8 млн. лв. и 68,2 млн. лв. са за „Български пощи” ЕАД, в т. ч. 22,0 млн. лв. за извършване на универсална пощенска услуга, 22,2 млн. лв. за разпространение на периодични печатни издания - вестници и списания, 14,0 млн. лв. за предоставяне на административни услуги</w:t>
      </w:r>
      <w:r>
        <w:rPr>
          <w:bCs/>
        </w:rPr>
        <w:t>,</w:t>
      </w:r>
      <w:r w:rsidRPr="00122763">
        <w:rPr>
          <w:bCs/>
        </w:rPr>
        <w:t xml:space="preserve"> 9,5 млн. лв. за обмяна на левове в евро </w:t>
      </w:r>
      <w:r w:rsidRPr="00122763">
        <w:rPr>
          <w:bCs/>
          <w:lang w:val="ru-RU"/>
        </w:rPr>
        <w:t>(</w:t>
      </w:r>
      <w:r w:rsidRPr="00122763">
        <w:rPr>
          <w:bCs/>
        </w:rPr>
        <w:t>ПМС 66/22.05.2025 г.</w:t>
      </w:r>
      <w:r w:rsidRPr="00122763">
        <w:rPr>
          <w:bCs/>
          <w:lang w:val="ru-RU"/>
        </w:rPr>
        <w:t>)</w:t>
      </w:r>
      <w:r>
        <w:rPr>
          <w:bCs/>
          <w:lang w:val="ru-RU"/>
        </w:rPr>
        <w:t xml:space="preserve"> </w:t>
      </w:r>
      <w:r w:rsidRPr="00E125D1">
        <w:rPr>
          <w:bCs/>
          <w:lang w:val="ru-RU"/>
        </w:rPr>
        <w:t>и 0,4</w:t>
      </w:r>
      <w:r w:rsidR="00932FB8">
        <w:rPr>
          <w:bCs/>
          <w:lang w:val="ru-RU"/>
        </w:rPr>
        <w:t> </w:t>
      </w:r>
      <w:r w:rsidRPr="00E125D1">
        <w:rPr>
          <w:bCs/>
          <w:lang w:val="ru-RU"/>
        </w:rPr>
        <w:t xml:space="preserve">млн. лв. за дейности, предвидени в Комуникационната стратегия за информация и публичност на присъединяването на България към еврозоната, чрез мрежата от </w:t>
      </w:r>
      <w:r w:rsidRPr="00A82AAE">
        <w:rPr>
          <w:bCs/>
          <w:lang w:val="ru-RU"/>
        </w:rPr>
        <w:t>пощенските станции на територията на страната (</w:t>
      </w:r>
      <w:r w:rsidRPr="00A82AAE">
        <w:rPr>
          <w:bCs/>
        </w:rPr>
        <w:t xml:space="preserve">ПМС 480/21.12.2022 г.). За отчетния период субсидиите за „България Хели Мед Сървиз“ </w:t>
      </w:r>
      <w:r w:rsidRPr="00A82AAE">
        <w:rPr>
          <w:bCs/>
          <w:lang w:val="ru-RU"/>
        </w:rPr>
        <w:t>(</w:t>
      </w:r>
      <w:r w:rsidRPr="00A82AAE">
        <w:rPr>
          <w:bCs/>
        </w:rPr>
        <w:t>център за спешна медицинска помощ по въздуха</w:t>
      </w:r>
      <w:r w:rsidRPr="00A82AAE">
        <w:rPr>
          <w:bCs/>
          <w:lang w:val="ru-RU"/>
        </w:rPr>
        <w:t xml:space="preserve">) </w:t>
      </w:r>
      <w:r w:rsidRPr="00A82AAE">
        <w:rPr>
          <w:bCs/>
        </w:rPr>
        <w:t xml:space="preserve">са в </w:t>
      </w:r>
      <w:r w:rsidRPr="005E2587">
        <w:rPr>
          <w:bCs/>
        </w:rPr>
        <w:t xml:space="preserve">размер на 7,1 млн. лв. Към месец септември 2025 г. ДФ „Земеделие“ e изплатил субсидии в общ размер на </w:t>
      </w:r>
      <w:r w:rsidRPr="00B026F2">
        <w:rPr>
          <w:bCs/>
          <w:lang w:val="ru-RU"/>
        </w:rPr>
        <w:t>233</w:t>
      </w:r>
      <w:r w:rsidRPr="005E2587">
        <w:rPr>
          <w:bCs/>
        </w:rPr>
        <w:t xml:space="preserve">,8 млн. лв., от които 153,9 млн. лв. държавна помощ; 70,7 млн. лв. преходна национална помощ за тютюн и 7,7 млн. лв. средства за ДДС по схеми „Училищен плод“ и „Училищно мляко“. </w:t>
      </w:r>
    </w:p>
    <w:p w14:paraId="3CE0EC73" w14:textId="648387E2" w:rsidR="00586FF6" w:rsidRDefault="00586FF6" w:rsidP="00586FF6">
      <w:pPr>
        <w:spacing w:before="120" w:after="120"/>
        <w:jc w:val="both"/>
        <w:rPr>
          <w:bCs/>
        </w:rPr>
      </w:pPr>
      <w:r w:rsidRPr="001B582D">
        <w:rPr>
          <w:bCs/>
        </w:rPr>
        <w:lastRenderedPageBreak/>
        <w:t>Капиталовите разходи</w:t>
      </w:r>
      <w:r w:rsidRPr="00667F4D">
        <w:rPr>
          <w:bCs/>
        </w:rPr>
        <w:t xml:space="preserve"> (вкл. нетния прираст на държавния резерв) по държавния бюджет възлизат на 2 608,0 млн. лева.</w:t>
      </w:r>
    </w:p>
    <w:p w14:paraId="1BDBDEF5" w14:textId="77777777" w:rsidR="00586FF6" w:rsidRPr="00FB0016" w:rsidRDefault="00586FF6" w:rsidP="00586FF6">
      <w:pPr>
        <w:numPr>
          <w:ilvl w:val="0"/>
          <w:numId w:val="6"/>
        </w:numPr>
        <w:spacing w:after="120"/>
        <w:ind w:left="0" w:firstLine="360"/>
        <w:jc w:val="both"/>
        <w:rPr>
          <w:b/>
        </w:rPr>
      </w:pPr>
      <w:r w:rsidRPr="00FB0016">
        <w:rPr>
          <w:b/>
        </w:rPr>
        <w:t xml:space="preserve">Разходи за лихви </w:t>
      </w:r>
    </w:p>
    <w:p w14:paraId="5D05150C" w14:textId="77777777" w:rsidR="00586FF6" w:rsidRPr="00841969" w:rsidRDefault="00586FF6" w:rsidP="00586FF6">
      <w:pPr>
        <w:spacing w:after="60"/>
        <w:jc w:val="both"/>
      </w:pPr>
      <w:r w:rsidRPr="00841969">
        <w:rPr>
          <w:b/>
        </w:rPr>
        <w:t xml:space="preserve">Лихвените плащания </w:t>
      </w:r>
      <w:r w:rsidRPr="00841969">
        <w:t xml:space="preserve">по държавния бюджет към 30.09.2025 г. са в общ размер на </w:t>
      </w:r>
      <w:r w:rsidRPr="00B026F2">
        <w:rPr>
          <w:b/>
          <w:lang w:val="ru-RU"/>
        </w:rPr>
        <w:t xml:space="preserve">1 296,5 </w:t>
      </w:r>
      <w:r w:rsidRPr="00841969">
        <w:rPr>
          <w:b/>
        </w:rPr>
        <w:t>млн. лв</w:t>
      </w:r>
      <w:r w:rsidRPr="00841969">
        <w:t xml:space="preserve">. или </w:t>
      </w:r>
      <w:r w:rsidRPr="00B026F2">
        <w:rPr>
          <w:lang w:val="ru-RU"/>
        </w:rPr>
        <w:t>82</w:t>
      </w:r>
      <w:r w:rsidRPr="00841969">
        <w:t>,</w:t>
      </w:r>
      <w:r w:rsidRPr="00B026F2">
        <w:rPr>
          <w:lang w:val="ru-RU"/>
        </w:rPr>
        <w:t>7</w:t>
      </w:r>
      <w:r w:rsidRPr="00841969">
        <w:t> % от предвидените в годишните разчети.</w:t>
      </w:r>
    </w:p>
    <w:p w14:paraId="27056878" w14:textId="77777777" w:rsidR="00586FF6" w:rsidRPr="005773D6" w:rsidRDefault="00586FF6" w:rsidP="00586FF6">
      <w:pPr>
        <w:spacing w:after="120"/>
        <w:jc w:val="both"/>
        <w:rPr>
          <w:color w:val="0070C0"/>
        </w:rPr>
      </w:pPr>
      <w:r w:rsidRPr="00671410">
        <w:t xml:space="preserve">Разходите за </w:t>
      </w:r>
      <w:r w:rsidRPr="00671410">
        <w:rPr>
          <w:b/>
        </w:rPr>
        <w:t>лихви по външни заеми</w:t>
      </w:r>
      <w:r w:rsidRPr="00671410">
        <w:t xml:space="preserve"> са в размер на </w:t>
      </w:r>
      <w:r w:rsidRPr="00671410">
        <w:rPr>
          <w:lang w:val="ru-RU"/>
        </w:rPr>
        <w:t xml:space="preserve">1 116,0 </w:t>
      </w:r>
      <w:r w:rsidRPr="00671410">
        <w:t>млн. лв., в т.</w:t>
      </w:r>
      <w:r>
        <w:t xml:space="preserve"> </w:t>
      </w:r>
      <w:r w:rsidRPr="00671410">
        <w:t xml:space="preserve">ч. 1 104,1 млн. лв. по </w:t>
      </w:r>
      <w:r w:rsidRPr="00AE747C">
        <w:t>централния бюджет. По ДИЗ, управлявани от министерства и ведомства са изплатени 12,0 млн. лв. (от тях 0,4 млн. лв. са лихвите по заемите с краен бенефициент - търговско дружество).</w:t>
      </w:r>
    </w:p>
    <w:p w14:paraId="158587C8" w14:textId="77777777" w:rsidR="00586FF6" w:rsidRPr="008554C6" w:rsidRDefault="00586FF6" w:rsidP="00586FF6">
      <w:pPr>
        <w:spacing w:after="120"/>
        <w:jc w:val="both"/>
        <w:rPr>
          <w:b/>
        </w:rPr>
      </w:pPr>
      <w:r w:rsidRPr="008554C6">
        <w:t>През отчетния период не са използвани средства за покриване на риска от активиране на държавни гаранции.</w:t>
      </w:r>
      <w:r w:rsidRPr="008554C6">
        <w:rPr>
          <w:b/>
        </w:rPr>
        <w:t xml:space="preserve"> </w:t>
      </w:r>
    </w:p>
    <w:p w14:paraId="3EB6C25F" w14:textId="77777777" w:rsidR="00586FF6" w:rsidRPr="005773D6" w:rsidRDefault="00586FF6" w:rsidP="00586FF6">
      <w:pPr>
        <w:spacing w:after="60"/>
        <w:jc w:val="both"/>
        <w:rPr>
          <w:color w:val="0070C0"/>
        </w:rPr>
      </w:pPr>
      <w:r w:rsidRPr="00FC32D0">
        <w:rPr>
          <w:b/>
        </w:rPr>
        <w:t>Лихвите по вътрешни заеми</w:t>
      </w:r>
      <w:r w:rsidRPr="00FC32D0">
        <w:t xml:space="preserve"> по държавния бюджет </w:t>
      </w:r>
      <w:r w:rsidRPr="00FC32D0">
        <w:rPr>
          <w:bCs/>
        </w:rPr>
        <w:t>към септември 2025 г.</w:t>
      </w:r>
      <w:r w:rsidRPr="00FC32D0">
        <w:t xml:space="preserve"> са в размер на </w:t>
      </w:r>
      <w:r w:rsidRPr="00FC32D0">
        <w:rPr>
          <w:b/>
        </w:rPr>
        <w:t>180,</w:t>
      </w:r>
      <w:r w:rsidRPr="00683F32">
        <w:rPr>
          <w:b/>
        </w:rPr>
        <w:t>5 млн. лв.</w:t>
      </w:r>
      <w:r w:rsidRPr="00683F32">
        <w:t xml:space="preserve"> Платените лихви по ДЦК са в размер на 121,5 млн. лв., 65,8 млн. лв. са платените отстъпки, а реализираните при аукционите премии над номинала от емисии на ДЦК (отчетени в намаление на разходите за лихви по вътрешния дълг) възлизат на (-6,9) млн. лв. Изплатените лихви, отстъпки и реализираните премии над номинала  на аукциона за ДЦК през септември възлизат общо на 43,1 млн. л</w:t>
      </w:r>
      <w:r>
        <w:t>е</w:t>
      </w:r>
      <w:r w:rsidRPr="00683F32">
        <w:t>в</w:t>
      </w:r>
      <w:r>
        <w:t>а</w:t>
      </w:r>
      <w:r w:rsidRPr="00683F32">
        <w:t>.</w:t>
      </w:r>
    </w:p>
    <w:p w14:paraId="044B91A1" w14:textId="77777777" w:rsidR="00586FF6" w:rsidRPr="00586FF6" w:rsidRDefault="00586FF6" w:rsidP="00586FF6">
      <w:pPr>
        <w:pStyle w:val="ListParagraph"/>
        <w:numPr>
          <w:ilvl w:val="0"/>
          <w:numId w:val="22"/>
        </w:numPr>
        <w:tabs>
          <w:tab w:val="left" w:pos="426"/>
        </w:tabs>
        <w:spacing w:before="120" w:after="60" w:line="240" w:lineRule="auto"/>
        <w:ind w:left="0" w:firstLine="0"/>
        <w:contextualSpacing w:val="0"/>
        <w:rPr>
          <w:rFonts w:ascii="Times New Roman" w:hAnsi="Times New Roman"/>
          <w:b/>
          <w:bCs/>
        </w:rPr>
      </w:pPr>
      <w:r w:rsidRPr="00586FF6">
        <w:rPr>
          <w:rFonts w:ascii="Times New Roman" w:hAnsi="Times New Roman"/>
          <w:b/>
          <w:bCs/>
        </w:rPr>
        <w:t>Нетният размер на трансферите по държавния бюджет</w:t>
      </w:r>
      <w:r w:rsidRPr="00586FF6">
        <w:rPr>
          <w:rFonts w:ascii="Times New Roman" w:hAnsi="Times New Roman"/>
          <w:bCs/>
        </w:rPr>
        <w:t xml:space="preserve">  към септември 2025 г. е</w:t>
      </w:r>
      <w:r w:rsidRPr="00586FF6">
        <w:rPr>
          <w:rFonts w:ascii="Times New Roman" w:hAnsi="Times New Roman"/>
          <w:b/>
          <w:bCs/>
        </w:rPr>
        <w:t xml:space="preserve"> 22 546,8</w:t>
      </w:r>
      <w:r w:rsidRPr="00586FF6">
        <w:rPr>
          <w:rFonts w:ascii="Times New Roman" w:eastAsia="Calibri" w:hAnsi="Times New Roman"/>
          <w:b/>
        </w:rPr>
        <w:t> </w:t>
      </w:r>
      <w:r w:rsidRPr="00586FF6">
        <w:rPr>
          <w:rFonts w:ascii="Times New Roman" w:hAnsi="Times New Roman"/>
          <w:b/>
          <w:bCs/>
        </w:rPr>
        <w:t xml:space="preserve">млн. лв.,  </w:t>
      </w:r>
      <w:r w:rsidRPr="00586FF6">
        <w:rPr>
          <w:rFonts w:ascii="Times New Roman" w:hAnsi="Times New Roman"/>
          <w:bCs/>
        </w:rPr>
        <w:t>в т.ч.:</w:t>
      </w:r>
      <w:r w:rsidRPr="00586FF6">
        <w:rPr>
          <w:rFonts w:ascii="Times New Roman" w:hAnsi="Times New Roman"/>
          <w:b/>
          <w:bCs/>
        </w:rPr>
        <w:t xml:space="preserve"> </w:t>
      </w:r>
    </w:p>
    <w:p w14:paraId="621E7C2B" w14:textId="77777777" w:rsidR="00586FF6" w:rsidRPr="005773D6" w:rsidRDefault="00586FF6" w:rsidP="00586FF6">
      <w:pPr>
        <w:numPr>
          <w:ilvl w:val="0"/>
          <w:numId w:val="15"/>
        </w:numPr>
        <w:tabs>
          <w:tab w:val="clear" w:pos="700"/>
          <w:tab w:val="left" w:pos="180"/>
          <w:tab w:val="num" w:pos="540"/>
          <w:tab w:val="num" w:pos="1495"/>
          <w:tab w:val="num" w:pos="9858"/>
        </w:tabs>
        <w:ind w:left="538" w:hanging="357"/>
        <w:jc w:val="both"/>
        <w:rPr>
          <w:color w:val="0070C0"/>
        </w:rPr>
      </w:pPr>
      <w:r w:rsidRPr="00A64D6F">
        <w:t xml:space="preserve">бюджетните  взаимоотношения  с  общините  включват  нето трансфери  и временни </w:t>
      </w:r>
      <w:r w:rsidRPr="00F05041">
        <w:t xml:space="preserve">безлихвени заеми в  размер  на </w:t>
      </w:r>
      <w:r w:rsidRPr="00F05041">
        <w:rPr>
          <w:lang w:val="ru-RU"/>
        </w:rPr>
        <w:t>8 658,6</w:t>
      </w:r>
      <w:r w:rsidRPr="00F05041">
        <w:t xml:space="preserve"> млн. лв.,</w:t>
      </w:r>
      <w:r w:rsidRPr="00F05041">
        <w:rPr>
          <w:lang w:val="ru-RU"/>
        </w:rPr>
        <w:t xml:space="preserve"> </w:t>
      </w:r>
      <w:r w:rsidRPr="00F05041">
        <w:t>от които субсидии от централния бюджет в размер на 6 580,0 млн. лв., други целеви трансфери от централния бюджет в размер на 504,4 млн. лв., нетни трансфери от/за други бюджети в размер на 1 615,0 млн. лв. и възстановени трансфери от предходни години в централния бюджет – 40,8 млн. лева;</w:t>
      </w:r>
    </w:p>
    <w:p w14:paraId="468E5DAE" w14:textId="77777777" w:rsidR="00586FF6" w:rsidRPr="00FB448F" w:rsidRDefault="00586FF6" w:rsidP="00586FF6">
      <w:pPr>
        <w:numPr>
          <w:ilvl w:val="0"/>
          <w:numId w:val="15"/>
        </w:numPr>
        <w:tabs>
          <w:tab w:val="clear" w:pos="700"/>
          <w:tab w:val="left" w:pos="180"/>
          <w:tab w:val="num" w:pos="540"/>
          <w:tab w:val="num" w:pos="1495"/>
          <w:tab w:val="num" w:pos="9858"/>
        </w:tabs>
        <w:ind w:left="538" w:hanging="357"/>
        <w:jc w:val="both"/>
      </w:pPr>
      <w:r w:rsidRPr="00FB448F">
        <w:t xml:space="preserve">на социалноосигурителните фондове (нето) – </w:t>
      </w:r>
      <w:r w:rsidRPr="00FB448F">
        <w:rPr>
          <w:lang w:val="ru-RU"/>
        </w:rPr>
        <w:t>11 575,7</w:t>
      </w:r>
      <w:r w:rsidRPr="00FB448F">
        <w:t xml:space="preserve"> млн. лв.;</w:t>
      </w:r>
    </w:p>
    <w:p w14:paraId="5EACB0CE" w14:textId="77777777" w:rsidR="00586FF6" w:rsidRPr="00B15DB4" w:rsidRDefault="00586FF6" w:rsidP="00586FF6">
      <w:pPr>
        <w:numPr>
          <w:ilvl w:val="0"/>
          <w:numId w:val="15"/>
        </w:numPr>
        <w:tabs>
          <w:tab w:val="clear" w:pos="700"/>
          <w:tab w:val="left" w:pos="180"/>
          <w:tab w:val="num" w:pos="540"/>
          <w:tab w:val="num" w:pos="1495"/>
          <w:tab w:val="num" w:pos="9858"/>
        </w:tabs>
        <w:ind w:left="538" w:hanging="357"/>
        <w:jc w:val="both"/>
      </w:pPr>
      <w:r w:rsidRPr="00B15DB4">
        <w:t xml:space="preserve">на други автономни бюджети (ДВУ, БАН, ССА, БНТ, БНР и БТА) – </w:t>
      </w:r>
      <w:r w:rsidRPr="00B15DB4">
        <w:rPr>
          <w:lang w:val="ru-RU"/>
        </w:rPr>
        <w:t>1 437,7</w:t>
      </w:r>
      <w:r w:rsidRPr="00B15DB4">
        <w:t xml:space="preserve"> млн. лв.; </w:t>
      </w:r>
    </w:p>
    <w:p w14:paraId="2207AB73" w14:textId="77777777" w:rsidR="00586FF6" w:rsidRPr="00B15DB4" w:rsidRDefault="00586FF6" w:rsidP="00586FF6">
      <w:pPr>
        <w:numPr>
          <w:ilvl w:val="0"/>
          <w:numId w:val="15"/>
        </w:numPr>
        <w:tabs>
          <w:tab w:val="clear" w:pos="700"/>
          <w:tab w:val="left" w:pos="180"/>
          <w:tab w:val="num" w:pos="540"/>
          <w:tab w:val="num" w:pos="1495"/>
          <w:tab w:val="num" w:pos="9858"/>
        </w:tabs>
        <w:ind w:left="538" w:hanging="357"/>
        <w:jc w:val="both"/>
      </w:pPr>
      <w:r w:rsidRPr="00B15DB4">
        <w:t>на Фонд „Сигурност на електроенергийната система“ и сметки за средства от ЕС – 827,4 млн.</w:t>
      </w:r>
      <w:r>
        <w:t> </w:t>
      </w:r>
      <w:r w:rsidRPr="00B15DB4">
        <w:t>лева.</w:t>
      </w:r>
    </w:p>
    <w:p w14:paraId="1B4921BD" w14:textId="77777777" w:rsidR="00586FF6" w:rsidRPr="000F1B74" w:rsidRDefault="00586FF6" w:rsidP="00586FF6">
      <w:pPr>
        <w:numPr>
          <w:ilvl w:val="0"/>
          <w:numId w:val="5"/>
        </w:numPr>
        <w:tabs>
          <w:tab w:val="clear" w:pos="7650"/>
          <w:tab w:val="left" w:pos="426"/>
        </w:tabs>
        <w:spacing w:before="120"/>
        <w:ind w:left="0" w:firstLine="0"/>
        <w:jc w:val="both"/>
        <w:rPr>
          <w:bCs/>
        </w:rPr>
      </w:pPr>
      <w:r w:rsidRPr="000F1B74">
        <w:t>Частта от</w:t>
      </w:r>
      <w:r w:rsidRPr="000F1B74">
        <w:rPr>
          <w:b/>
        </w:rPr>
        <w:t xml:space="preserve"> вноската на Република България в общия бюджет на ЕС, </w:t>
      </w:r>
      <w:r w:rsidRPr="000F1B74">
        <w:t>изплатена към 30.09.2025 г. от централния бюджет, възлиза на</w:t>
      </w:r>
      <w:r w:rsidRPr="000F1B74">
        <w:rPr>
          <w:b/>
        </w:rPr>
        <w:t xml:space="preserve"> 1 </w:t>
      </w:r>
      <w:r w:rsidRPr="000F1B74">
        <w:rPr>
          <w:b/>
          <w:lang w:val="ru-RU"/>
        </w:rPr>
        <w:t>471,4</w:t>
      </w:r>
      <w:r w:rsidRPr="000F1B74">
        <w:rPr>
          <w:b/>
        </w:rPr>
        <w:t xml:space="preserve"> млн. лева.</w:t>
      </w:r>
      <w:r w:rsidRPr="000F1B74">
        <w:t xml:space="preserve"> </w:t>
      </w:r>
    </w:p>
    <w:p w14:paraId="5FA003A9" w14:textId="77777777" w:rsidR="00586FF6" w:rsidRPr="00482A9A" w:rsidRDefault="00586FF6" w:rsidP="00586FF6">
      <w:pPr>
        <w:numPr>
          <w:ilvl w:val="0"/>
          <w:numId w:val="5"/>
        </w:numPr>
        <w:tabs>
          <w:tab w:val="clear" w:pos="7650"/>
          <w:tab w:val="num" w:pos="426"/>
        </w:tabs>
        <w:spacing w:before="240" w:after="240"/>
        <w:ind w:left="0" w:firstLine="0"/>
        <w:jc w:val="both"/>
        <w:rPr>
          <w:sz w:val="16"/>
          <w:szCs w:val="16"/>
        </w:rPr>
      </w:pPr>
      <w:r w:rsidRPr="00482A9A">
        <w:rPr>
          <w:b/>
        </w:rPr>
        <w:t>Бюджетното салдо по държавния бюджет</w:t>
      </w:r>
      <w:r w:rsidRPr="00482A9A">
        <w:t xml:space="preserve"> към 30.09.2025 г. </w:t>
      </w:r>
      <w:r w:rsidRPr="00482A9A">
        <w:rPr>
          <w:b/>
        </w:rPr>
        <w:t>е отрицателно</w:t>
      </w:r>
      <w:r w:rsidRPr="00482A9A">
        <w:t xml:space="preserve"> в размер на </w:t>
      </w:r>
      <w:r w:rsidRPr="00482A9A">
        <w:rPr>
          <w:b/>
        </w:rPr>
        <w:t>5 210,5 млн. лева</w:t>
      </w:r>
      <w:r w:rsidRPr="00482A9A">
        <w:t xml:space="preserve">. </w:t>
      </w:r>
    </w:p>
    <w:p w14:paraId="18B9467C" w14:textId="77777777" w:rsidR="00586FF6" w:rsidRPr="00184F43" w:rsidRDefault="00586FF6" w:rsidP="00586FF6">
      <w:pPr>
        <w:numPr>
          <w:ilvl w:val="0"/>
          <w:numId w:val="5"/>
        </w:numPr>
        <w:tabs>
          <w:tab w:val="clear" w:pos="7650"/>
          <w:tab w:val="num" w:pos="426"/>
        </w:tabs>
        <w:spacing w:before="120" w:after="120"/>
        <w:ind w:left="0" w:firstLine="0"/>
        <w:jc w:val="both"/>
        <w:rPr>
          <w:b/>
        </w:rPr>
      </w:pPr>
      <w:r w:rsidRPr="00184F43">
        <w:rPr>
          <w:b/>
        </w:rPr>
        <w:t>Финансиране на бюджета чрез операции по дълга</w:t>
      </w:r>
    </w:p>
    <w:p w14:paraId="16D1BF97" w14:textId="77777777" w:rsidR="00586FF6" w:rsidRPr="005773D6" w:rsidRDefault="00586FF6" w:rsidP="00586FF6">
      <w:pPr>
        <w:tabs>
          <w:tab w:val="left" w:pos="567"/>
        </w:tabs>
        <w:jc w:val="both"/>
        <w:rPr>
          <w:color w:val="0070C0"/>
        </w:rPr>
      </w:pPr>
      <w:r w:rsidRPr="00184F43">
        <w:t xml:space="preserve">Към 30.09.2025 г. е реализирано </w:t>
      </w:r>
      <w:r w:rsidRPr="00E2216E">
        <w:rPr>
          <w:b/>
        </w:rPr>
        <w:t>положително нетно дългово финансиране на държавния бюджет</w:t>
      </w:r>
      <w:r w:rsidRPr="00184F43">
        <w:t xml:space="preserve"> </w:t>
      </w:r>
      <w:r w:rsidRPr="00163ED2">
        <w:t xml:space="preserve">в размер на </w:t>
      </w:r>
      <w:r w:rsidRPr="00C7089D">
        <w:t>13</w:t>
      </w:r>
      <w:r>
        <w:t xml:space="preserve"> 488</w:t>
      </w:r>
      <w:r w:rsidRPr="00C7089D">
        <w:t>,</w:t>
      </w:r>
      <w:r>
        <w:t xml:space="preserve">8 </w:t>
      </w:r>
      <w:r w:rsidRPr="00163ED2">
        <w:t>млн. лв., като общият размер на постъпленията от емисии на ДЦК на вътрешния пазар и на МКП</w:t>
      </w:r>
      <w:r w:rsidRPr="00843B7F">
        <w:t xml:space="preserve"> </w:t>
      </w:r>
      <w:r>
        <w:t xml:space="preserve">и </w:t>
      </w:r>
      <w:r w:rsidRPr="00A60BA8">
        <w:t>от усвояванията на средства по държавен заем от ЕИБ възлиза на 1</w:t>
      </w:r>
      <w:r>
        <w:t>6</w:t>
      </w:r>
      <w:r w:rsidRPr="00A60BA8">
        <w:t> </w:t>
      </w:r>
      <w:r>
        <w:t>972</w:t>
      </w:r>
      <w:r w:rsidRPr="00A60BA8">
        <w:t>,</w:t>
      </w:r>
      <w:r>
        <w:t>0</w:t>
      </w:r>
      <w:r w:rsidRPr="00A60BA8">
        <w:t xml:space="preserve"> млн. лв., а извършените погашения по държавния дълг са в размер на </w:t>
      </w:r>
      <w:r>
        <w:t>3</w:t>
      </w:r>
      <w:r w:rsidRPr="00A60BA8">
        <w:t> </w:t>
      </w:r>
      <w:r>
        <w:t>483</w:t>
      </w:r>
      <w:r w:rsidRPr="00A60BA8">
        <w:t>,</w:t>
      </w:r>
      <w:r>
        <w:t>2</w:t>
      </w:r>
      <w:r w:rsidRPr="00A60BA8">
        <w:t xml:space="preserve"> млн. лв</w:t>
      </w:r>
      <w:r w:rsidRPr="005773D6">
        <w:rPr>
          <w:color w:val="0070C0"/>
        </w:rPr>
        <w:t>.</w:t>
      </w:r>
    </w:p>
    <w:p w14:paraId="07AFD4B5" w14:textId="77777777" w:rsidR="00586FF6" w:rsidRPr="00E2216E" w:rsidRDefault="00586FF6" w:rsidP="00586FF6">
      <w:pPr>
        <w:tabs>
          <w:tab w:val="left" w:pos="567"/>
        </w:tabs>
        <w:spacing w:before="120"/>
        <w:jc w:val="both"/>
      </w:pPr>
      <w:r w:rsidRPr="00E2216E">
        <w:t xml:space="preserve">Към 30.09.2025 г. е отчетено отрицателно нетно </w:t>
      </w:r>
      <w:r w:rsidRPr="00E2216E">
        <w:rPr>
          <w:b/>
          <w:i/>
        </w:rPr>
        <w:t>вътрешно финансиране на държавния бюджет с ДЦК</w:t>
      </w:r>
      <w:r w:rsidRPr="00E2216E">
        <w:t xml:space="preserve"> в размер на (- 638,7) млн. лв. Общият размер </w:t>
      </w:r>
      <w:r w:rsidRPr="001327BC">
        <w:rPr>
          <w:b/>
          <w:i/>
        </w:rPr>
        <w:t>на постъпленията</w:t>
      </w:r>
      <w:r w:rsidRPr="001327BC">
        <w:rPr>
          <w:i/>
        </w:rPr>
        <w:t xml:space="preserve"> </w:t>
      </w:r>
      <w:r w:rsidRPr="00E2216E">
        <w:t xml:space="preserve">от емисии на ДЦК на вътрешния пазар възлиза на 2 688,4 млн. лв. или са емитирани ДЦК на обща номинална стойност 2 700 млн. лв., разпределени в две нови емисии от месец януари, като същите са </w:t>
      </w:r>
      <w:proofErr w:type="spellStart"/>
      <w:r w:rsidRPr="00E2216E">
        <w:t>преотворени</w:t>
      </w:r>
      <w:proofErr w:type="spellEnd"/>
      <w:r w:rsidRPr="00E2216E">
        <w:t xml:space="preserve"> във февруари, март, април, юни, август и септември, както следва:</w:t>
      </w:r>
    </w:p>
    <w:p w14:paraId="7F7FD6DA" w14:textId="77777777" w:rsidR="00586FF6" w:rsidRPr="00E2216E" w:rsidRDefault="00586FF6" w:rsidP="00586FF6">
      <w:pPr>
        <w:numPr>
          <w:ilvl w:val="0"/>
          <w:numId w:val="24"/>
        </w:numPr>
        <w:tabs>
          <w:tab w:val="left" w:pos="567"/>
          <w:tab w:val="left" w:pos="1134"/>
        </w:tabs>
        <w:ind w:left="0" w:firstLine="851"/>
        <w:jc w:val="both"/>
      </w:pPr>
      <w:r w:rsidRPr="00E2216E">
        <w:rPr>
          <w:b/>
          <w:i/>
        </w:rPr>
        <w:t>3-годишни ДЦК</w:t>
      </w:r>
      <w:r w:rsidRPr="00E2216E">
        <w:t xml:space="preserve"> (емисията е пусната в обращение на 22.01.2025 г., деноминирана е в лева, с падеж 22.01.2028 г. и годишен лихвен купон от 2</w:t>
      </w:r>
      <w:r>
        <w:t>,</w:t>
      </w:r>
      <w:r w:rsidRPr="00E2216E">
        <w:t>75</w:t>
      </w:r>
      <w:r>
        <w:t xml:space="preserve"> </w:t>
      </w:r>
      <w:r w:rsidRPr="00E2216E">
        <w:t>%) с общ пласиран обем от 1,3 млрд. лв., в т.ч. през януари 300 млн. лв., през февруари 100 млн. лв., през март 100 млн. лв., през април 500 млн. лв. и през август 300 млн. лв.</w:t>
      </w:r>
    </w:p>
    <w:p w14:paraId="666264C0" w14:textId="77777777" w:rsidR="00586FF6" w:rsidRPr="00E2216E" w:rsidRDefault="00586FF6" w:rsidP="00586FF6">
      <w:pPr>
        <w:numPr>
          <w:ilvl w:val="0"/>
          <w:numId w:val="24"/>
        </w:numPr>
        <w:tabs>
          <w:tab w:val="left" w:pos="567"/>
          <w:tab w:val="left" w:pos="1134"/>
        </w:tabs>
        <w:ind w:left="0" w:firstLine="851"/>
        <w:jc w:val="both"/>
      </w:pPr>
      <w:r w:rsidRPr="00E2216E">
        <w:rPr>
          <w:b/>
          <w:i/>
        </w:rPr>
        <w:t>7-годишни ДЦК</w:t>
      </w:r>
      <w:r w:rsidRPr="00E2216E">
        <w:t xml:space="preserve"> (емисията е пусната в обращение на 29.01.2025 г., деноминирана в лева, с падеж 29.01.2032 г. и годишен лихвен купон от 3</w:t>
      </w:r>
      <w:r>
        <w:t>,</w:t>
      </w:r>
      <w:r w:rsidRPr="00E2216E">
        <w:t>25</w:t>
      </w:r>
      <w:r>
        <w:t xml:space="preserve"> </w:t>
      </w:r>
      <w:r w:rsidRPr="00E2216E">
        <w:t xml:space="preserve">%) с общ пласиран обем от 1,4 млрд. </w:t>
      </w:r>
      <w:r w:rsidRPr="00E2216E">
        <w:lastRenderedPageBreak/>
        <w:t>лв., в т.ч. през януари 300 млн. лв., през февруари 100 млн. лв., през март 100 млн. лв., през април 300 млн. лв., през юни 300 млн. лв. и през септември 300 млн. лв.</w:t>
      </w:r>
    </w:p>
    <w:p w14:paraId="67C007D1" w14:textId="77777777" w:rsidR="00586FF6" w:rsidRDefault="00586FF6" w:rsidP="00586FF6">
      <w:pPr>
        <w:tabs>
          <w:tab w:val="left" w:pos="567"/>
        </w:tabs>
        <w:jc w:val="both"/>
      </w:pPr>
      <w:r w:rsidRPr="00E2216E">
        <w:t xml:space="preserve">Отчетените </w:t>
      </w:r>
      <w:r w:rsidRPr="001327BC">
        <w:rPr>
          <w:b/>
          <w:i/>
        </w:rPr>
        <w:t>погашения</w:t>
      </w:r>
      <w:r w:rsidRPr="00E2216E">
        <w:t xml:space="preserve"> в края на септември 2025 г. са в размер на 3 327,1 млн. лв. като през месец януари Министерството на финансите погаси емисия 5-годишни ДЦК от 2020 г. в обем от 600,0 млн. лв. номинална стойност, през месец март емисия 8-годишни ДЦК от 2017 г. в обем от 250 млн. лв., през април емисия 10-годишни ДЦК от 2015 г. в обем от 235 млн. лв., през май емисия 5-годишни ДЦК от 2021 г. в обем от 1 800 млн. лв., през юли емисия 10-годишни ДЦК от 2015 г. в обем от 50 млн. лв. и през септември емисия 15-годишни ДЦК от 2010 г., деноминирани в евро, в обем от  234,1 млн. евро (431 млн. лв.).</w:t>
      </w:r>
    </w:p>
    <w:p w14:paraId="4CF8D69C" w14:textId="77777777" w:rsidR="00586FF6" w:rsidRPr="00A60BA8" w:rsidRDefault="00586FF6" w:rsidP="00586FF6">
      <w:pPr>
        <w:spacing w:before="120" w:after="240"/>
        <w:jc w:val="both"/>
      </w:pPr>
      <w:r w:rsidRPr="00A60BA8">
        <w:t>Към 3</w:t>
      </w:r>
      <w:r w:rsidRPr="006D5C68">
        <w:t>0</w:t>
      </w:r>
      <w:r w:rsidRPr="00A60BA8">
        <w:t>.0</w:t>
      </w:r>
      <w:r w:rsidRPr="006D5C68">
        <w:t>9</w:t>
      </w:r>
      <w:r w:rsidRPr="00A60BA8">
        <w:t xml:space="preserve">.2025 г. е отчетено положително нетно </w:t>
      </w:r>
      <w:r w:rsidRPr="001B582D">
        <w:rPr>
          <w:b/>
          <w:i/>
        </w:rPr>
        <w:t>външно финансиране</w:t>
      </w:r>
      <w:r w:rsidRPr="00A60BA8">
        <w:t xml:space="preserve"> в размер на </w:t>
      </w:r>
      <w:r w:rsidRPr="001B582D">
        <w:rPr>
          <w:b/>
          <w:i/>
        </w:rPr>
        <w:t>14 127,5 млн. лв</w:t>
      </w:r>
      <w:r w:rsidRPr="001B582D">
        <w:rPr>
          <w:i/>
        </w:rPr>
        <w:t xml:space="preserve">. </w:t>
      </w:r>
      <w:r w:rsidRPr="001B582D">
        <w:rPr>
          <w:b/>
          <w:i/>
        </w:rPr>
        <w:t>по държавния бюджет</w:t>
      </w:r>
      <w:r w:rsidRPr="00A60BA8">
        <w:t xml:space="preserve">, което се дължи на постъпленията в общ размер </w:t>
      </w:r>
      <w:r>
        <w:rPr>
          <w:lang w:val="en-US"/>
        </w:rPr>
        <w:t> </w:t>
      </w:r>
      <w:r w:rsidRPr="00A60BA8">
        <w:t xml:space="preserve">на </w:t>
      </w:r>
      <w:r>
        <w:rPr>
          <w:lang w:val="en-US"/>
        </w:rPr>
        <w:t> </w:t>
      </w:r>
      <w:r>
        <w:t>14</w:t>
      </w:r>
      <w:r>
        <w:rPr>
          <w:lang w:val="en-US"/>
        </w:rPr>
        <w:t> </w:t>
      </w:r>
      <w:r>
        <w:t>283</w:t>
      </w:r>
      <w:r w:rsidRPr="00A60BA8">
        <w:t>,</w:t>
      </w:r>
      <w:r>
        <w:t>6</w:t>
      </w:r>
      <w:r w:rsidRPr="00A60BA8">
        <w:t xml:space="preserve"> млн. лв. от емитираните през май</w:t>
      </w:r>
      <w:r>
        <w:t xml:space="preserve"> и юли</w:t>
      </w:r>
      <w:r w:rsidRPr="00A60BA8">
        <w:t xml:space="preserve"> на МКП </w:t>
      </w:r>
      <w:r>
        <w:t xml:space="preserve">четири транша </w:t>
      </w:r>
      <w:r w:rsidRPr="00A60BA8">
        <w:t>облигации, деноминирани в евро</w:t>
      </w:r>
      <w:r>
        <w:t xml:space="preserve"> </w:t>
      </w:r>
      <w:r w:rsidRPr="00A60BA8">
        <w:t>и от усвоените средства по държавен заем от ЕИБ и извършените погашения към външни кредитори от държавния бюджет общо в размер на 1</w:t>
      </w:r>
      <w:r w:rsidRPr="006D5C68">
        <w:t>56</w:t>
      </w:r>
      <w:r w:rsidRPr="00A60BA8">
        <w:t>,</w:t>
      </w:r>
      <w:r w:rsidRPr="006D5C68">
        <w:t>2</w:t>
      </w:r>
      <w:r w:rsidRPr="00A60BA8">
        <w:t xml:space="preserve"> млн. л</w:t>
      </w:r>
      <w:r w:rsidRPr="00B026F2">
        <w:rPr>
          <w:lang w:val="ru-RU"/>
        </w:rPr>
        <w:t>е</w:t>
      </w:r>
      <w:r w:rsidRPr="00A60BA8">
        <w:t>в</w:t>
      </w:r>
      <w:r>
        <w:t>а</w:t>
      </w:r>
      <w:r w:rsidRPr="00A60BA8">
        <w:t>.</w:t>
      </w:r>
    </w:p>
    <w:p w14:paraId="014DF7EA" w14:textId="77777777" w:rsidR="00586FF6" w:rsidRPr="005770D1" w:rsidRDefault="00586FF6" w:rsidP="00586FF6">
      <w:pPr>
        <w:spacing w:before="120" w:after="120"/>
        <w:jc w:val="both"/>
      </w:pPr>
      <w:r w:rsidRPr="005770D1">
        <w:rPr>
          <w:b/>
          <w:i/>
        </w:rPr>
        <w:t>Постъпленията по централния бюджет</w:t>
      </w:r>
      <w:r w:rsidRPr="005770D1">
        <w:rPr>
          <w:i/>
        </w:rPr>
        <w:t xml:space="preserve"> </w:t>
      </w:r>
      <w:r w:rsidRPr="005770D1">
        <w:t>възлизат на</w:t>
      </w:r>
      <w:r w:rsidRPr="005770D1">
        <w:rPr>
          <w:i/>
        </w:rPr>
        <w:t xml:space="preserve"> </w:t>
      </w:r>
      <w:r w:rsidRPr="005770D1">
        <w:rPr>
          <w:b/>
        </w:rPr>
        <w:t>14 2</w:t>
      </w:r>
      <w:r w:rsidRPr="005770D1">
        <w:rPr>
          <w:b/>
          <w:lang w:val="ru-RU"/>
        </w:rPr>
        <w:t>83</w:t>
      </w:r>
      <w:r w:rsidRPr="005770D1">
        <w:rPr>
          <w:b/>
        </w:rPr>
        <w:t>,</w:t>
      </w:r>
      <w:r w:rsidRPr="005770D1">
        <w:rPr>
          <w:b/>
          <w:lang w:val="ru-RU"/>
        </w:rPr>
        <w:t>6</w:t>
      </w:r>
      <w:r w:rsidRPr="005770D1">
        <w:rPr>
          <w:b/>
        </w:rPr>
        <w:t xml:space="preserve"> млн. лв</w:t>
      </w:r>
      <w:r w:rsidRPr="005770D1">
        <w:t>., в т.</w:t>
      </w:r>
      <w:r>
        <w:t xml:space="preserve"> </w:t>
      </w:r>
      <w:r w:rsidRPr="005770D1">
        <w:t>ч. от:</w:t>
      </w:r>
    </w:p>
    <w:p w14:paraId="272C8C4C" w14:textId="77777777" w:rsidR="00586FF6" w:rsidRPr="00F01310" w:rsidRDefault="00586FF6" w:rsidP="00DD1728">
      <w:pPr>
        <w:numPr>
          <w:ilvl w:val="0"/>
          <w:numId w:val="27"/>
        </w:numPr>
        <w:tabs>
          <w:tab w:val="left" w:pos="1134"/>
        </w:tabs>
        <w:ind w:left="0" w:firstLine="851"/>
        <w:jc w:val="both"/>
      </w:pPr>
      <w:r w:rsidRPr="00F01310">
        <w:t>емисии на облигации, деноминирани в евро, на МКП на 7.05.2025 г. в размер на 7 693,9 млн. лв.  като са емитирани облигации в общ размер на 4 000,0 млн. евро номинална стойност, разпределени в два транша: първият транш е със срочност 9 г., обем от 2 250 млн. евро и лихвен купон от 3,5 %, като вторият транш е със срочност 13 г., обем от 1 750 млн. евро и лихвен купон в размер на 4,125 %.;</w:t>
      </w:r>
    </w:p>
    <w:p w14:paraId="730F139A" w14:textId="77777777" w:rsidR="00586FF6" w:rsidRPr="002F601C" w:rsidRDefault="00586FF6" w:rsidP="00DD1728">
      <w:pPr>
        <w:numPr>
          <w:ilvl w:val="0"/>
          <w:numId w:val="27"/>
        </w:numPr>
        <w:tabs>
          <w:tab w:val="left" w:pos="1134"/>
        </w:tabs>
        <w:ind w:left="0" w:firstLine="851"/>
        <w:jc w:val="both"/>
      </w:pPr>
      <w:r w:rsidRPr="00D34E4A">
        <w:t xml:space="preserve">емисии на облигации, деноминирани в евро, на МКП на 18.07.2025 г. в размер на </w:t>
      </w:r>
      <w:r w:rsidRPr="00D34E4A">
        <w:rPr>
          <w:lang w:val="ru-RU"/>
        </w:rPr>
        <w:t>6</w:t>
      </w:r>
      <w:r w:rsidRPr="00D34E4A">
        <w:t> 100,8 млн. лв</w:t>
      </w:r>
      <w:r w:rsidRPr="00D34E4A">
        <w:rPr>
          <w:b/>
        </w:rPr>
        <w:t>.</w:t>
      </w:r>
      <w:r w:rsidRPr="00D34E4A">
        <w:t xml:space="preserve"> </w:t>
      </w:r>
      <w:r w:rsidRPr="00D34E4A">
        <w:rPr>
          <w:b/>
        </w:rPr>
        <w:t xml:space="preserve"> </w:t>
      </w:r>
      <w:r w:rsidRPr="00D34E4A">
        <w:t xml:space="preserve">като са емитирани облигации в общ размер на 3 200,0 млн. евро номинална стойност, разпределени в два транша: първият транш е със срочност 10 г., обем от 2 000 млн. евро и лихвен купон от 3, </w:t>
      </w:r>
      <w:r w:rsidRPr="00D34E4A">
        <w:rPr>
          <w:lang w:val="ru-RU"/>
        </w:rPr>
        <w:t xml:space="preserve">375 </w:t>
      </w:r>
      <w:r w:rsidRPr="00D34E4A">
        <w:t xml:space="preserve">%, като вторият транш е със срочност 20 г., обем от 1 200 млн. евро и </w:t>
      </w:r>
      <w:r w:rsidRPr="002F601C">
        <w:t xml:space="preserve">лихвен купон в размер на 4,125 %;  </w:t>
      </w:r>
    </w:p>
    <w:p w14:paraId="246FF80A" w14:textId="77777777" w:rsidR="00586FF6" w:rsidRPr="002F601C" w:rsidRDefault="00586FF6" w:rsidP="00DD1728">
      <w:pPr>
        <w:numPr>
          <w:ilvl w:val="0"/>
          <w:numId w:val="27"/>
        </w:numPr>
        <w:tabs>
          <w:tab w:val="left" w:pos="1134"/>
        </w:tabs>
        <w:ind w:left="0" w:right="-1" w:firstLine="851"/>
        <w:jc w:val="both"/>
      </w:pPr>
      <w:r w:rsidRPr="002F601C">
        <w:t>усвоени средства на 30.06.2025 г. в размер на 489,0 млн. лв</w:t>
      </w:r>
      <w:r w:rsidRPr="002F601C">
        <w:rPr>
          <w:b/>
        </w:rPr>
        <w:t>.</w:t>
      </w:r>
      <w:r w:rsidRPr="002F601C">
        <w:t xml:space="preserve"> (250,0 млн. евро) по Финансов договор между Република България и Европейската инвестиционна банка за финансиране на проект "България</w:t>
      </w:r>
      <w:r w:rsidRPr="00B026F2">
        <w:rPr>
          <w:lang w:val="ru-RU"/>
        </w:rPr>
        <w:t xml:space="preserve"> </w:t>
      </w:r>
      <w:r w:rsidRPr="002F601C">
        <w:t>–</w:t>
      </w:r>
      <w:r w:rsidRPr="00B026F2">
        <w:rPr>
          <w:lang w:val="ru-RU"/>
        </w:rPr>
        <w:t xml:space="preserve"> </w:t>
      </w:r>
      <w:r w:rsidRPr="002F601C">
        <w:t>съфинансиране по фондовете на Европейския съюз 2021 –</w:t>
      </w:r>
      <w:r w:rsidRPr="00B026F2">
        <w:rPr>
          <w:lang w:val="ru-RU"/>
        </w:rPr>
        <w:t xml:space="preserve"> </w:t>
      </w:r>
      <w:r w:rsidRPr="002F601C">
        <w:t>2027 (СПЗ)".</w:t>
      </w:r>
    </w:p>
    <w:p w14:paraId="768B67E1" w14:textId="77777777" w:rsidR="00586FF6" w:rsidRPr="00753748" w:rsidRDefault="00586FF6" w:rsidP="00586FF6">
      <w:pPr>
        <w:tabs>
          <w:tab w:val="left" w:pos="567"/>
        </w:tabs>
        <w:spacing w:before="120"/>
        <w:jc w:val="both"/>
      </w:pPr>
      <w:r w:rsidRPr="00753748">
        <w:t xml:space="preserve">Извършените </w:t>
      </w:r>
      <w:r w:rsidRPr="00753748">
        <w:rPr>
          <w:b/>
          <w:i/>
        </w:rPr>
        <w:t>погашения от централен бюджет</w:t>
      </w:r>
      <w:r w:rsidRPr="00753748">
        <w:t xml:space="preserve"> възлизат на 102,1 млн. лв. по външни държавни заеми към международни финансови институции, в съответствие с договорените погасителни планове, в т. ч. 20,5 млн. лв. към Международната банка за възстановяване и развитие, 62,0 млн. лв. към Европейска инвестиционна банка и 19,6 млн. лв. към Банка за развитие на Съвета на Европа. През септември не са извършвани погашения.</w:t>
      </w:r>
    </w:p>
    <w:p w14:paraId="5D1D112E" w14:textId="77777777" w:rsidR="00586FF6" w:rsidRPr="00D80F4A" w:rsidRDefault="00586FF6" w:rsidP="00586FF6">
      <w:pPr>
        <w:spacing w:before="120"/>
        <w:jc w:val="both"/>
      </w:pPr>
      <w:r w:rsidRPr="00D80F4A">
        <w:rPr>
          <w:b/>
          <w:i/>
        </w:rPr>
        <w:t>Погашенията по ДИЗ, управлявани от министерства</w:t>
      </w:r>
      <w:r w:rsidRPr="00D80F4A">
        <w:t xml:space="preserve"> </w:t>
      </w:r>
      <w:r w:rsidRPr="00D80F4A">
        <w:rPr>
          <w:b/>
          <w:i/>
        </w:rPr>
        <w:t>и ведомства</w:t>
      </w:r>
      <w:r w:rsidRPr="00D80F4A">
        <w:t xml:space="preserve"> в края на септември са в размер на 49,5 млн. лв. </w:t>
      </w:r>
      <w:r w:rsidRPr="00D80F4A">
        <w:rPr>
          <w:b/>
          <w:i/>
        </w:rPr>
        <w:t>По заемите с краен бенефициент търговско дружество</w:t>
      </w:r>
      <w:r w:rsidRPr="00D80F4A">
        <w:t xml:space="preserve"> извършените погашения са в размер на </w:t>
      </w:r>
      <w:r w:rsidRPr="00D80F4A">
        <w:rPr>
          <w:lang w:val="ru-RU"/>
        </w:rPr>
        <w:t>4,6</w:t>
      </w:r>
      <w:r w:rsidRPr="00D80F4A">
        <w:t xml:space="preserve"> млн. лева.</w:t>
      </w:r>
    </w:p>
    <w:p w14:paraId="3F290806" w14:textId="77777777" w:rsidR="00586FF6" w:rsidRPr="00DB6505" w:rsidRDefault="00586FF6" w:rsidP="00586FF6">
      <w:pPr>
        <w:tabs>
          <w:tab w:val="left" w:pos="567"/>
        </w:tabs>
        <w:spacing w:before="120" w:after="240"/>
        <w:jc w:val="both"/>
      </w:pPr>
      <w:r w:rsidRPr="005520B9">
        <w:t xml:space="preserve">През отчетния период не са използвани средствата, предвидени в ЗДБРБ за 2025 г., за покриване </w:t>
      </w:r>
      <w:r w:rsidRPr="00DB6505">
        <w:t>на риска от активиране на държавни гаранции.</w:t>
      </w:r>
    </w:p>
    <w:p w14:paraId="03FDBA09" w14:textId="77777777" w:rsidR="008969AB" w:rsidRPr="00826E50" w:rsidRDefault="008969AB" w:rsidP="0006057F">
      <w:pPr>
        <w:pStyle w:val="BodyTextIndent"/>
        <w:numPr>
          <w:ilvl w:val="1"/>
          <w:numId w:val="8"/>
        </w:numPr>
        <w:tabs>
          <w:tab w:val="num" w:pos="900"/>
        </w:tabs>
        <w:spacing w:before="360" w:after="0"/>
        <w:ind w:left="714" w:hanging="357"/>
        <w:jc w:val="both"/>
        <w:rPr>
          <w:b/>
          <w:bCs/>
          <w:color w:val="000000" w:themeColor="text1"/>
        </w:rPr>
      </w:pPr>
      <w:r w:rsidRPr="00826E50">
        <w:rPr>
          <w:b/>
          <w:bCs/>
          <w:color w:val="000000" w:themeColor="text1"/>
        </w:rPr>
        <w:t>Разходи по централн</w:t>
      </w:r>
      <w:r w:rsidRPr="00826E50">
        <w:rPr>
          <w:b/>
          <w:bCs/>
          <w:color w:val="000000" w:themeColor="text1"/>
          <w:szCs w:val="26"/>
        </w:rPr>
        <w:t xml:space="preserve">ия бюджет </w:t>
      </w:r>
      <w:r w:rsidRPr="00826E50">
        <w:rPr>
          <w:b/>
          <w:bCs/>
          <w:color w:val="000000" w:themeColor="text1"/>
        </w:rPr>
        <w:t>за субсидии, капиталови трансфери</w:t>
      </w:r>
      <w:r w:rsidRPr="00826E50">
        <w:rPr>
          <w:bCs/>
          <w:color w:val="000000" w:themeColor="text1"/>
        </w:rPr>
        <w:t xml:space="preserve"> </w:t>
      </w:r>
      <w:r w:rsidRPr="00826E50">
        <w:rPr>
          <w:b/>
          <w:bCs/>
          <w:color w:val="000000" w:themeColor="text1"/>
        </w:rPr>
        <w:t xml:space="preserve">и други разходи, свързани с дейността на реалния сектор </w:t>
      </w:r>
    </w:p>
    <w:p w14:paraId="37D69442" w14:textId="77777777" w:rsidR="008969AB" w:rsidRPr="00826E50" w:rsidRDefault="008969AB" w:rsidP="008969AB">
      <w:pPr>
        <w:pStyle w:val="Header"/>
        <w:jc w:val="both"/>
        <w:rPr>
          <w:color w:val="000000" w:themeColor="text1"/>
          <w:sz w:val="8"/>
          <w:szCs w:val="8"/>
        </w:rPr>
      </w:pPr>
    </w:p>
    <w:p w14:paraId="3E02692A" w14:textId="77777777" w:rsidR="008969AB" w:rsidRPr="00826E50" w:rsidRDefault="008969AB" w:rsidP="008969AB">
      <w:pPr>
        <w:pStyle w:val="Header"/>
        <w:jc w:val="both"/>
        <w:rPr>
          <w:color w:val="000000" w:themeColor="text1"/>
          <w:sz w:val="4"/>
          <w:szCs w:val="4"/>
        </w:rPr>
      </w:pPr>
    </w:p>
    <w:p w14:paraId="7D894B24" w14:textId="77777777" w:rsidR="008969AB" w:rsidRPr="00826E50" w:rsidRDefault="008969AB" w:rsidP="0006057F">
      <w:pPr>
        <w:pStyle w:val="BodyText2"/>
        <w:spacing w:after="0" w:line="240" w:lineRule="auto"/>
        <w:jc w:val="both"/>
        <w:rPr>
          <w:color w:val="000000" w:themeColor="text1"/>
        </w:rPr>
      </w:pPr>
      <w:r w:rsidRPr="00826E50">
        <w:rPr>
          <w:color w:val="000000" w:themeColor="text1"/>
        </w:rPr>
        <w:t xml:space="preserve">Средствата за </w:t>
      </w:r>
      <w:r w:rsidRPr="00826E50">
        <w:rPr>
          <w:bCs/>
          <w:color w:val="000000" w:themeColor="text1"/>
        </w:rPr>
        <w:t>субсидии</w:t>
      </w:r>
      <w:r w:rsidRPr="00826E50">
        <w:rPr>
          <w:color w:val="000000" w:themeColor="text1"/>
        </w:rPr>
        <w:t xml:space="preserve"> са предназначени за търговски дружества, осъществяващи превоза на пътниците по нерентабилни автобусни линии във вътрешноградския транспорт и транспорта в планински и други райони. По своя характер те са обществени превозни услуги от общ икономически интерес и имат предимно социална насоченост – масови превози до и от работните места в рамките на града и превози до малки отдалечени селища, осигуряващи връзка с общинския център.</w:t>
      </w:r>
    </w:p>
    <w:p w14:paraId="1714B0F2" w14:textId="6755BD88" w:rsidR="006E34A1" w:rsidRPr="00841CA2" w:rsidRDefault="00841F1E" w:rsidP="004F663C">
      <w:pPr>
        <w:pStyle w:val="BodyText2"/>
        <w:spacing w:after="0" w:line="240" w:lineRule="auto"/>
        <w:jc w:val="both"/>
        <w:rPr>
          <w:color w:val="000000" w:themeColor="text1"/>
        </w:rPr>
      </w:pPr>
      <w:r w:rsidRPr="00841CA2">
        <w:rPr>
          <w:color w:val="000000" w:themeColor="text1"/>
        </w:rPr>
        <w:t>Към 30.0</w:t>
      </w:r>
      <w:r w:rsidR="00841CA2" w:rsidRPr="00841CA2">
        <w:rPr>
          <w:color w:val="000000" w:themeColor="text1"/>
        </w:rPr>
        <w:t>9</w:t>
      </w:r>
      <w:r w:rsidRPr="00841CA2">
        <w:rPr>
          <w:color w:val="000000" w:themeColor="text1"/>
        </w:rPr>
        <w:t>.2025 г. предоставените за тази цел средства са в размер на 1</w:t>
      </w:r>
      <w:r w:rsidR="00841CA2" w:rsidRPr="00841CA2">
        <w:rPr>
          <w:color w:val="000000" w:themeColor="text1"/>
        </w:rPr>
        <w:t>55,4</w:t>
      </w:r>
      <w:r w:rsidRPr="00841CA2">
        <w:rPr>
          <w:color w:val="000000" w:themeColor="text1"/>
        </w:rPr>
        <w:t xml:space="preserve"> млн. лв., в т.</w:t>
      </w:r>
      <w:r w:rsidR="00C47272">
        <w:rPr>
          <w:color w:val="000000" w:themeColor="text1"/>
        </w:rPr>
        <w:t xml:space="preserve"> </w:t>
      </w:r>
      <w:r w:rsidRPr="00841CA2">
        <w:rPr>
          <w:color w:val="000000" w:themeColor="text1"/>
        </w:rPr>
        <w:t xml:space="preserve">ч. за Столична община – в размер на </w:t>
      </w:r>
      <w:r w:rsidR="00841CA2" w:rsidRPr="00841CA2">
        <w:rPr>
          <w:color w:val="000000" w:themeColor="text1"/>
        </w:rPr>
        <w:t>79,5</w:t>
      </w:r>
      <w:r w:rsidRPr="00841CA2">
        <w:rPr>
          <w:color w:val="000000" w:themeColor="text1"/>
        </w:rPr>
        <w:t xml:space="preserve"> млн. лв. Средствата се разпределят по общини по </w:t>
      </w:r>
      <w:r w:rsidRPr="00841CA2">
        <w:rPr>
          <w:color w:val="000000" w:themeColor="text1"/>
        </w:rPr>
        <w:lastRenderedPageBreak/>
        <w:t>предложение на Министерството на транспорта и съобщенията, с изключение на тези за Столична община</w:t>
      </w:r>
      <w:r w:rsidR="006E34A1" w:rsidRPr="00841CA2">
        <w:rPr>
          <w:color w:val="000000" w:themeColor="text1"/>
        </w:rPr>
        <w:t xml:space="preserve">. </w:t>
      </w:r>
    </w:p>
    <w:p w14:paraId="0FD4F9FA" w14:textId="4A4720F4" w:rsidR="008969AB" w:rsidRPr="006759E0" w:rsidRDefault="006759E0" w:rsidP="004F663C">
      <w:pPr>
        <w:spacing w:before="120"/>
        <w:jc w:val="both"/>
        <w:rPr>
          <w:color w:val="000000" w:themeColor="text1"/>
        </w:rPr>
      </w:pPr>
      <w:r w:rsidRPr="006759E0">
        <w:rPr>
          <w:color w:val="000000" w:themeColor="text1"/>
        </w:rPr>
        <w:t>За отчетния период м. януари – м. септември 2025 г.</w:t>
      </w:r>
      <w:r w:rsidR="003B43D8" w:rsidRPr="006759E0">
        <w:rPr>
          <w:color w:val="000000" w:themeColor="text1"/>
        </w:rPr>
        <w:t xml:space="preserve"> са извърше</w:t>
      </w:r>
      <w:r w:rsidR="009E2A8F" w:rsidRPr="006759E0">
        <w:rPr>
          <w:color w:val="000000" w:themeColor="text1"/>
        </w:rPr>
        <w:t>ни капит</w:t>
      </w:r>
      <w:r w:rsidR="003B43D8" w:rsidRPr="006759E0">
        <w:rPr>
          <w:color w:val="000000" w:themeColor="text1"/>
        </w:rPr>
        <w:t>алови разходи за изпълнение на П</w:t>
      </w:r>
      <w:r w:rsidR="009E2A8F" w:rsidRPr="006759E0">
        <w:rPr>
          <w:color w:val="000000" w:themeColor="text1"/>
        </w:rPr>
        <w:t>рограмата за отстраняване на нанесените щети върху околната среда, настъпили от минали действия или бездействия</w:t>
      </w:r>
      <w:r w:rsidR="005D1767" w:rsidRPr="006759E0">
        <w:rPr>
          <w:color w:val="000000" w:themeColor="text1"/>
        </w:rPr>
        <w:t xml:space="preserve"> в размер на 1 000 лв. Средствата са предоставени във връзка с</w:t>
      </w:r>
      <w:r w:rsidR="009E2A8F" w:rsidRPr="006759E0">
        <w:rPr>
          <w:color w:val="000000" w:themeColor="text1"/>
        </w:rPr>
        <w:t xml:space="preserve"> приватизация на „Агрополихим“ АД – гр. Девня за изпълнени дейности по изготвяне на доклад за оценка на по</w:t>
      </w:r>
      <w:r w:rsidR="0001768F" w:rsidRPr="006759E0">
        <w:rPr>
          <w:color w:val="000000" w:themeColor="text1"/>
        </w:rPr>
        <w:t>землен имот в горска територия</w:t>
      </w:r>
      <w:r w:rsidR="009E2A8F" w:rsidRPr="006759E0">
        <w:rPr>
          <w:color w:val="000000" w:themeColor="text1"/>
        </w:rPr>
        <w:t>, като изпълнителят не е регистриран по ЗДДС.</w:t>
      </w:r>
    </w:p>
    <w:p w14:paraId="0EF9FF88" w14:textId="77777777" w:rsidR="00FF267E" w:rsidRPr="006759E0" w:rsidRDefault="00FF267E" w:rsidP="004F663C">
      <w:pPr>
        <w:spacing w:before="120"/>
        <w:jc w:val="both"/>
        <w:rPr>
          <w:color w:val="000000" w:themeColor="text1"/>
        </w:rPr>
      </w:pPr>
      <w:r w:rsidRPr="006759E0">
        <w:rPr>
          <w:bCs/>
          <w:color w:val="000000" w:themeColor="text1"/>
        </w:rPr>
        <w:t xml:space="preserve">По централния бюджет са предвидени и </w:t>
      </w:r>
      <w:r w:rsidRPr="006759E0">
        <w:rPr>
          <w:b/>
          <w:bCs/>
          <w:color w:val="000000" w:themeColor="text1"/>
        </w:rPr>
        <w:t>други разходи</w:t>
      </w:r>
      <w:r w:rsidRPr="006759E0">
        <w:rPr>
          <w:bCs/>
          <w:color w:val="000000" w:themeColor="text1"/>
        </w:rPr>
        <w:t>, свързани с к</w:t>
      </w:r>
      <w:r w:rsidRPr="006759E0">
        <w:rPr>
          <w:color w:val="000000" w:themeColor="text1"/>
        </w:rPr>
        <w:t xml:space="preserve">омпенсиране със средства от държавния бюджет на </w:t>
      </w:r>
      <w:r w:rsidRPr="006759E0">
        <w:rPr>
          <w:bCs/>
          <w:color w:val="000000" w:themeColor="text1"/>
        </w:rPr>
        <w:t>намалените приходи от прилагането на цени за пътуване, предвидени в нормативни актове за определени категории пътници</w:t>
      </w:r>
      <w:r w:rsidRPr="006759E0">
        <w:rPr>
          <w:color w:val="000000" w:themeColor="text1"/>
        </w:rPr>
        <w:t xml:space="preserve"> по железопътния и автомобилния транспорт. Средствата </w:t>
      </w:r>
      <w:r w:rsidRPr="006759E0">
        <w:rPr>
          <w:bCs/>
          <w:color w:val="000000" w:themeColor="text1"/>
        </w:rPr>
        <w:t xml:space="preserve">се предоставят на „БДЖ-Пътнически превози“ ЕООД за компенсации за пътувания с железопътния транспорт и под формата на целеви трансфер на общините - </w:t>
      </w:r>
      <w:r w:rsidRPr="006759E0">
        <w:rPr>
          <w:color w:val="000000" w:themeColor="text1"/>
        </w:rPr>
        <w:t xml:space="preserve">за автомобилния транспорт. </w:t>
      </w:r>
    </w:p>
    <w:p w14:paraId="27CCAD8B" w14:textId="70D0DC8F" w:rsidR="00FF267E" w:rsidRPr="00A35521" w:rsidRDefault="00FF267E" w:rsidP="004F663C">
      <w:pPr>
        <w:tabs>
          <w:tab w:val="left" w:pos="851"/>
        </w:tabs>
        <w:jc w:val="both"/>
        <w:rPr>
          <w:sz w:val="8"/>
          <w:szCs w:val="8"/>
        </w:rPr>
      </w:pPr>
      <w:r w:rsidRPr="00A35521">
        <w:t xml:space="preserve">Предоставените средства </w:t>
      </w:r>
      <w:r w:rsidR="00841CA2" w:rsidRPr="00A35521">
        <w:t>към 30.09.</w:t>
      </w:r>
      <w:r w:rsidRPr="00A35521">
        <w:t>202</w:t>
      </w:r>
      <w:r w:rsidR="00F15515" w:rsidRPr="00A35521">
        <w:t>5</w:t>
      </w:r>
      <w:r w:rsidRPr="00A35521">
        <w:t xml:space="preserve"> г. са общо в размер на </w:t>
      </w:r>
      <w:r w:rsidR="00A35521" w:rsidRPr="00D94DB2">
        <w:rPr>
          <w:lang w:val="ru-RU"/>
        </w:rPr>
        <w:t>196</w:t>
      </w:r>
      <w:r w:rsidR="00A35521" w:rsidRPr="00A35521">
        <w:t>,</w:t>
      </w:r>
      <w:r w:rsidR="00A35521" w:rsidRPr="00D94DB2">
        <w:rPr>
          <w:lang w:val="ru-RU"/>
        </w:rPr>
        <w:t>5</w:t>
      </w:r>
      <w:r w:rsidRPr="00A35521">
        <w:t xml:space="preserve"> млн. лв., в т.</w:t>
      </w:r>
      <w:r w:rsidR="00512653" w:rsidRPr="00D94DB2">
        <w:rPr>
          <w:lang w:val="ru-RU"/>
        </w:rPr>
        <w:t xml:space="preserve"> </w:t>
      </w:r>
      <w:r w:rsidRPr="00A35521">
        <w:t xml:space="preserve">ч. за вътрешноградския транспорт, междуселищния автомобилен транспорт и железопътния транспорт. </w:t>
      </w:r>
    </w:p>
    <w:p w14:paraId="722A7C9E" w14:textId="346BA3A9" w:rsidR="00FF267E" w:rsidRPr="000164C8" w:rsidRDefault="00FF267E" w:rsidP="004F663C">
      <w:pPr>
        <w:tabs>
          <w:tab w:val="left" w:pos="851"/>
        </w:tabs>
        <w:jc w:val="both"/>
        <w:rPr>
          <w:color w:val="000000" w:themeColor="text1"/>
        </w:rPr>
      </w:pPr>
      <w:r w:rsidRPr="000164C8">
        <w:rPr>
          <w:color w:val="000000" w:themeColor="text1"/>
        </w:rPr>
        <w:t xml:space="preserve">Предоставените средства към </w:t>
      </w:r>
      <w:r w:rsidR="00B21884" w:rsidRPr="000164C8">
        <w:rPr>
          <w:color w:val="000000" w:themeColor="text1"/>
        </w:rPr>
        <w:t>30.0</w:t>
      </w:r>
      <w:r w:rsidR="000164C8" w:rsidRPr="000164C8">
        <w:rPr>
          <w:color w:val="000000" w:themeColor="text1"/>
        </w:rPr>
        <w:t>9</w:t>
      </w:r>
      <w:r w:rsidR="00B21884" w:rsidRPr="000164C8">
        <w:rPr>
          <w:color w:val="000000" w:themeColor="text1"/>
        </w:rPr>
        <w:t xml:space="preserve">.2025 </w:t>
      </w:r>
      <w:r w:rsidRPr="000164C8">
        <w:rPr>
          <w:color w:val="000000" w:themeColor="text1"/>
        </w:rPr>
        <w:t xml:space="preserve">г. за компенсиране на намалените приходи от прилагането на цени за пътуване, предвидени в нормативни актове за определени категории пътници /компенсации/, структурирани според вида ползван транспорт – </w:t>
      </w:r>
      <w:r w:rsidRPr="000164C8">
        <w:rPr>
          <w:noProof/>
          <w:color w:val="000000" w:themeColor="text1"/>
        </w:rPr>
        <w:t xml:space="preserve">вътрешноградски транспорт и междуселищен </w:t>
      </w:r>
      <w:r w:rsidRPr="000164C8">
        <w:rPr>
          <w:color w:val="000000" w:themeColor="text1"/>
        </w:rPr>
        <w:t>автомобилен транспорт или железопътен транспорт са както следва:</w:t>
      </w:r>
    </w:p>
    <w:p w14:paraId="62FBB268" w14:textId="344E69FA" w:rsidR="00FF267E" w:rsidRPr="000164C8" w:rsidRDefault="00FF267E" w:rsidP="00B85129">
      <w:pPr>
        <w:ind w:firstLine="567"/>
        <w:jc w:val="both"/>
        <w:rPr>
          <w:color w:val="000000" w:themeColor="text1"/>
        </w:rPr>
      </w:pPr>
      <w:r w:rsidRPr="000164C8">
        <w:rPr>
          <w:color w:val="000000" w:themeColor="text1"/>
        </w:rPr>
        <w:t xml:space="preserve">- компенсации за пътувания с железопътния транспорт в размер на </w:t>
      </w:r>
      <w:r w:rsidR="000164C8" w:rsidRPr="000164C8">
        <w:rPr>
          <w:color w:val="000000" w:themeColor="text1"/>
        </w:rPr>
        <w:t>6,6</w:t>
      </w:r>
      <w:r w:rsidRPr="000164C8">
        <w:rPr>
          <w:color w:val="000000" w:themeColor="text1"/>
        </w:rPr>
        <w:t xml:space="preserve"> млн. лв.; </w:t>
      </w:r>
    </w:p>
    <w:p w14:paraId="6CF8271B" w14:textId="211B38EC" w:rsidR="00FF267E" w:rsidRPr="002807FE" w:rsidRDefault="00FF267E" w:rsidP="00FF267E">
      <w:pPr>
        <w:tabs>
          <w:tab w:val="left" w:pos="709"/>
          <w:tab w:val="left" w:pos="993"/>
        </w:tabs>
        <w:ind w:left="709" w:hanging="142"/>
        <w:jc w:val="both"/>
        <w:rPr>
          <w:noProof/>
          <w:color w:val="0070C0"/>
        </w:rPr>
      </w:pPr>
      <w:r w:rsidRPr="002807FE">
        <w:rPr>
          <w:noProof/>
          <w:color w:val="0070C0"/>
        </w:rPr>
        <w:t>- </w:t>
      </w:r>
      <w:r w:rsidRPr="001A2023">
        <w:rPr>
          <w:noProof/>
        </w:rPr>
        <w:t xml:space="preserve">компенсации за пътувания с вътрешноградски транспорт и междуселищния автомобилен транспорт в страната – </w:t>
      </w:r>
      <w:r w:rsidR="001A2023" w:rsidRPr="001A2023">
        <w:rPr>
          <w:noProof/>
        </w:rPr>
        <w:t>189,9</w:t>
      </w:r>
      <w:r w:rsidRPr="001A2023">
        <w:rPr>
          <w:noProof/>
        </w:rPr>
        <w:t xml:space="preserve"> млн. лв. </w:t>
      </w:r>
    </w:p>
    <w:p w14:paraId="07012329" w14:textId="6DCB5474" w:rsidR="00FF267E" w:rsidRPr="00841CA2" w:rsidRDefault="00FF267E" w:rsidP="00FF267E">
      <w:pPr>
        <w:spacing w:before="120"/>
        <w:jc w:val="both"/>
        <w:rPr>
          <w:noProof/>
          <w:color w:val="000000" w:themeColor="text1"/>
        </w:rPr>
      </w:pPr>
      <w:r w:rsidRPr="00841CA2">
        <w:rPr>
          <w:noProof/>
          <w:color w:val="000000" w:themeColor="text1"/>
        </w:rPr>
        <w:t xml:space="preserve">Предоставените средства за </w:t>
      </w:r>
      <w:r w:rsidRPr="00841CA2">
        <w:rPr>
          <w:color w:val="000000" w:themeColor="text1"/>
        </w:rPr>
        <w:t>компенсиране на намалените приходи от прилагането на цени за пътуване, предвидени в нормативни актове за определени категории пътници,</w:t>
      </w:r>
      <w:r w:rsidRPr="00841CA2">
        <w:rPr>
          <w:noProof/>
          <w:color w:val="000000" w:themeColor="text1"/>
        </w:rPr>
        <w:t xml:space="preserve"> по вътрешноградския транспорт и междуселищния автомобилен транспорт </w:t>
      </w:r>
      <w:r w:rsidR="00841CA2" w:rsidRPr="00841CA2">
        <w:rPr>
          <w:noProof/>
          <w:color w:val="000000" w:themeColor="text1"/>
        </w:rPr>
        <w:t xml:space="preserve">към </w:t>
      </w:r>
      <w:r w:rsidR="00490EE9" w:rsidRPr="00841CA2">
        <w:rPr>
          <w:noProof/>
          <w:color w:val="000000" w:themeColor="text1"/>
        </w:rPr>
        <w:t>30.0</w:t>
      </w:r>
      <w:r w:rsidR="00841CA2" w:rsidRPr="00841CA2">
        <w:rPr>
          <w:noProof/>
          <w:color w:val="000000" w:themeColor="text1"/>
        </w:rPr>
        <w:t>9</w:t>
      </w:r>
      <w:r w:rsidR="00490EE9" w:rsidRPr="00841CA2">
        <w:rPr>
          <w:noProof/>
          <w:color w:val="000000" w:themeColor="text1"/>
        </w:rPr>
        <w:t xml:space="preserve">.2025 </w:t>
      </w:r>
      <w:r w:rsidRPr="00841CA2">
        <w:rPr>
          <w:noProof/>
          <w:color w:val="000000" w:themeColor="text1"/>
        </w:rPr>
        <w:t>г., диференцирани по групи правоимащи лица и размер на намалението спрямо редовната цена, са както следва:</w:t>
      </w:r>
    </w:p>
    <w:p w14:paraId="21898BF7" w14:textId="77777777" w:rsidR="005E0F9B" w:rsidRPr="00841CA2" w:rsidRDefault="005E0F9B" w:rsidP="005E0F9B">
      <w:pPr>
        <w:widowControl w:val="0"/>
        <w:ind w:firstLine="567"/>
        <w:jc w:val="both"/>
        <w:rPr>
          <w:noProof/>
          <w:color w:val="000000" w:themeColor="text1"/>
        </w:rPr>
      </w:pPr>
      <w:r w:rsidRPr="00841CA2">
        <w:rPr>
          <w:noProof/>
          <w:color w:val="000000" w:themeColor="text1"/>
        </w:rPr>
        <w:t xml:space="preserve">- 47,2 млн. лв. за транспорт на деца и ученици; </w:t>
      </w:r>
    </w:p>
    <w:p w14:paraId="34CB3502" w14:textId="368D41E8" w:rsidR="005E0F9B" w:rsidRPr="00841CA2" w:rsidRDefault="005E0F9B" w:rsidP="005E0F9B">
      <w:pPr>
        <w:widowControl w:val="0"/>
        <w:ind w:firstLine="567"/>
        <w:jc w:val="both"/>
        <w:rPr>
          <w:noProof/>
          <w:color w:val="000000" w:themeColor="text1"/>
        </w:rPr>
      </w:pPr>
      <w:r w:rsidRPr="00841CA2">
        <w:rPr>
          <w:noProof/>
          <w:color w:val="000000" w:themeColor="text1"/>
        </w:rPr>
        <w:t xml:space="preserve">- </w:t>
      </w:r>
      <w:r w:rsidR="00841CA2" w:rsidRPr="00841CA2">
        <w:rPr>
          <w:noProof/>
          <w:color w:val="000000" w:themeColor="text1"/>
        </w:rPr>
        <w:t>142,7</w:t>
      </w:r>
      <w:r w:rsidRPr="00841CA2">
        <w:rPr>
          <w:noProof/>
          <w:color w:val="000000" w:themeColor="text1"/>
        </w:rPr>
        <w:t xml:space="preserve"> млн. лв. за безплатни и по намалени цени пътувания по общини, в това число:</w:t>
      </w:r>
    </w:p>
    <w:p w14:paraId="57B1112D" w14:textId="649824A0" w:rsidR="00C23E1C" w:rsidRPr="00841CA2" w:rsidRDefault="00841CA2" w:rsidP="002E0A5C">
      <w:pPr>
        <w:numPr>
          <w:ilvl w:val="0"/>
          <w:numId w:val="30"/>
        </w:numPr>
        <w:tabs>
          <w:tab w:val="left" w:pos="1134"/>
        </w:tabs>
        <w:ind w:firstLine="131"/>
        <w:jc w:val="both"/>
        <w:rPr>
          <w:noProof/>
          <w:color w:val="000000" w:themeColor="text1"/>
        </w:rPr>
      </w:pPr>
      <w:r w:rsidRPr="00841CA2">
        <w:rPr>
          <w:noProof/>
          <w:color w:val="000000" w:themeColor="text1"/>
        </w:rPr>
        <w:t>129,9</w:t>
      </w:r>
      <w:r w:rsidR="00C23E1C" w:rsidRPr="00841CA2">
        <w:rPr>
          <w:noProof/>
          <w:color w:val="000000" w:themeColor="text1"/>
        </w:rPr>
        <w:t xml:space="preserve"> млн. лв. за безплатни пътувания на деца до седемгодишна възраст, ветерани от войните, военноинвалиди и военнопострадали, както и пътувания по намалени цени на деца от 7 до 14 навършени години, учащи се и лица, получаващи пенсия, лица с намалена работоспособност над 70,99 на 100 с вътрешноградския транспорт и междуселищния автомобилен транспорт; </w:t>
      </w:r>
    </w:p>
    <w:p w14:paraId="3EECC76F" w14:textId="7070C05B" w:rsidR="00C23E1C" w:rsidRPr="00841CA2" w:rsidRDefault="00841CA2" w:rsidP="002E0A5C">
      <w:pPr>
        <w:numPr>
          <w:ilvl w:val="0"/>
          <w:numId w:val="30"/>
        </w:numPr>
        <w:tabs>
          <w:tab w:val="left" w:pos="1134"/>
        </w:tabs>
        <w:ind w:firstLine="131"/>
        <w:jc w:val="both"/>
        <w:rPr>
          <w:noProof/>
          <w:color w:val="000000" w:themeColor="text1"/>
        </w:rPr>
      </w:pPr>
      <w:r w:rsidRPr="00841CA2">
        <w:rPr>
          <w:noProof/>
          <w:color w:val="000000" w:themeColor="text1"/>
        </w:rPr>
        <w:t>12,8</w:t>
      </w:r>
      <w:r w:rsidR="00C23E1C" w:rsidRPr="00841CA2">
        <w:rPr>
          <w:noProof/>
          <w:color w:val="000000" w:themeColor="text1"/>
        </w:rPr>
        <w:t xml:space="preserve"> млн. лв. за превоз на служители, ползващи право на безплатно пътуване при изпълне</w:t>
      </w:r>
      <w:r w:rsidR="001A5E96" w:rsidRPr="00841CA2">
        <w:rPr>
          <w:noProof/>
          <w:color w:val="000000" w:themeColor="text1"/>
        </w:rPr>
        <w:t>ние на служебните си задължения.</w:t>
      </w:r>
    </w:p>
    <w:p w14:paraId="185CD9FE" w14:textId="28CDD302" w:rsidR="00FF267E" w:rsidRPr="0006611E" w:rsidRDefault="00FF267E" w:rsidP="00FF267E">
      <w:pPr>
        <w:jc w:val="both"/>
        <w:rPr>
          <w:color w:val="000000" w:themeColor="text1"/>
        </w:rPr>
      </w:pPr>
      <w:r w:rsidRPr="0006611E">
        <w:rPr>
          <w:color w:val="000000" w:themeColor="text1"/>
        </w:rPr>
        <w:t>Средствата се разпределят по общини по предложение на Министерството на транспорта и съобщенията, Министерството на образованието и науката и на министерствата и ведомствата, чиито служители ползват право на безплатно пътуване за изпълнение на служебните си задължения в изпълнение на законови разпоредби</w:t>
      </w:r>
      <w:r w:rsidR="00723E35" w:rsidRPr="0006611E">
        <w:rPr>
          <w:color w:val="000000" w:themeColor="text1"/>
        </w:rPr>
        <w:t>.</w:t>
      </w:r>
    </w:p>
    <w:p w14:paraId="788698ED" w14:textId="77777777" w:rsidR="008969AB" w:rsidRPr="002807FE" w:rsidRDefault="008969AB" w:rsidP="008969AB">
      <w:pPr>
        <w:spacing w:after="120"/>
        <w:jc w:val="both"/>
        <w:rPr>
          <w:color w:val="0070C0"/>
          <w:sz w:val="8"/>
        </w:rPr>
      </w:pPr>
    </w:p>
    <w:p w14:paraId="5EA5A346" w14:textId="77777777" w:rsidR="008969AB" w:rsidRPr="008714DD" w:rsidRDefault="008969AB" w:rsidP="001F52E5">
      <w:pPr>
        <w:pStyle w:val="BodyTextIndent"/>
        <w:numPr>
          <w:ilvl w:val="1"/>
          <w:numId w:val="8"/>
        </w:numPr>
        <w:tabs>
          <w:tab w:val="num" w:pos="900"/>
        </w:tabs>
        <w:spacing w:before="120" w:after="0"/>
        <w:ind w:left="714" w:hanging="357"/>
        <w:jc w:val="both"/>
        <w:rPr>
          <w:b/>
          <w:bCs/>
          <w:color w:val="000000" w:themeColor="text1"/>
        </w:rPr>
      </w:pPr>
      <w:r w:rsidRPr="008714DD">
        <w:rPr>
          <w:b/>
          <w:bCs/>
          <w:color w:val="000000" w:themeColor="text1"/>
        </w:rPr>
        <w:t>Бюджет на съдебната власт</w:t>
      </w:r>
    </w:p>
    <w:p w14:paraId="58635C37" w14:textId="5BE40720" w:rsidR="00437233" w:rsidRPr="00EC7551" w:rsidRDefault="00437233" w:rsidP="00437233">
      <w:pPr>
        <w:spacing w:before="120"/>
        <w:jc w:val="both"/>
        <w:rPr>
          <w:color w:val="000000" w:themeColor="text1"/>
        </w:rPr>
      </w:pPr>
      <w:r w:rsidRPr="00EC7551">
        <w:rPr>
          <w:color w:val="000000" w:themeColor="text1"/>
        </w:rPr>
        <w:t xml:space="preserve">За </w:t>
      </w:r>
      <w:r w:rsidR="00EC7551" w:rsidRPr="00EC7551">
        <w:rPr>
          <w:color w:val="000000" w:themeColor="text1"/>
        </w:rPr>
        <w:t>деветмесечието</w:t>
      </w:r>
      <w:r w:rsidRPr="00EC7551">
        <w:rPr>
          <w:color w:val="000000" w:themeColor="text1"/>
        </w:rPr>
        <w:t xml:space="preserve"> на 202</w:t>
      </w:r>
      <w:r w:rsidRPr="00EC7551">
        <w:rPr>
          <w:color w:val="000000" w:themeColor="text1"/>
          <w:lang w:val="ru-RU"/>
        </w:rPr>
        <w:t>5</w:t>
      </w:r>
      <w:r w:rsidRPr="00EC7551">
        <w:rPr>
          <w:color w:val="000000" w:themeColor="text1"/>
        </w:rPr>
        <w:t xml:space="preserve"> г. по бюджета на съдебната власт са отчетени </w:t>
      </w:r>
      <w:r w:rsidRPr="00EC7551">
        <w:rPr>
          <w:b/>
          <w:color w:val="000000" w:themeColor="text1"/>
        </w:rPr>
        <w:t>приходи</w:t>
      </w:r>
      <w:r w:rsidRPr="00EC7551">
        <w:rPr>
          <w:color w:val="000000" w:themeColor="text1"/>
        </w:rPr>
        <w:t xml:space="preserve"> в размер на </w:t>
      </w:r>
      <w:r w:rsidR="00EC7551" w:rsidRPr="00EC7551">
        <w:rPr>
          <w:color w:val="000000" w:themeColor="text1"/>
        </w:rPr>
        <w:t>92</w:t>
      </w:r>
      <w:r w:rsidRPr="00EC7551">
        <w:rPr>
          <w:color w:val="000000" w:themeColor="text1"/>
          <w:lang w:val="ru-RU"/>
        </w:rPr>
        <w:t>,4</w:t>
      </w:r>
      <w:r w:rsidRPr="00EC7551">
        <w:rPr>
          <w:color w:val="000000" w:themeColor="text1"/>
        </w:rPr>
        <w:t xml:space="preserve"> млн. лв., от които </w:t>
      </w:r>
      <w:r w:rsidR="00EC7551" w:rsidRPr="00EC7551">
        <w:rPr>
          <w:color w:val="000000" w:themeColor="text1"/>
        </w:rPr>
        <w:t>72,4</w:t>
      </w:r>
      <w:r w:rsidRPr="00EC7551">
        <w:rPr>
          <w:color w:val="000000" w:themeColor="text1"/>
        </w:rPr>
        <w:t> млн. лв. - приходи от съдебни такси. За сравнение, към 30.0</w:t>
      </w:r>
      <w:r w:rsidR="00EC7551" w:rsidRPr="00EC7551">
        <w:rPr>
          <w:color w:val="000000" w:themeColor="text1"/>
        </w:rPr>
        <w:t>9</w:t>
      </w:r>
      <w:r w:rsidRPr="00EC7551">
        <w:rPr>
          <w:color w:val="000000" w:themeColor="text1"/>
        </w:rPr>
        <w:t xml:space="preserve">.2024 г. са отчетени общо приходи в размер на </w:t>
      </w:r>
      <w:r w:rsidR="00EC7551" w:rsidRPr="00EC7551">
        <w:rPr>
          <w:color w:val="000000" w:themeColor="text1"/>
        </w:rPr>
        <w:t>86,1</w:t>
      </w:r>
      <w:r w:rsidRPr="00EC7551">
        <w:rPr>
          <w:color w:val="000000" w:themeColor="text1"/>
        </w:rPr>
        <w:t xml:space="preserve"> млн. лв., от които </w:t>
      </w:r>
      <w:r w:rsidR="00EC7551" w:rsidRPr="00EC7551">
        <w:rPr>
          <w:color w:val="000000" w:themeColor="text1"/>
        </w:rPr>
        <w:t>70,2</w:t>
      </w:r>
      <w:r w:rsidRPr="00EC7551">
        <w:rPr>
          <w:color w:val="000000" w:themeColor="text1"/>
        </w:rPr>
        <w:t xml:space="preserve"> млн. лв. - приходи от съдебни такси.</w:t>
      </w:r>
    </w:p>
    <w:p w14:paraId="76D581B8" w14:textId="2FA86136" w:rsidR="00437233" w:rsidRPr="00EC7551" w:rsidRDefault="00437233" w:rsidP="00E554DE">
      <w:pPr>
        <w:tabs>
          <w:tab w:val="left" w:pos="90"/>
        </w:tabs>
        <w:jc w:val="both"/>
        <w:rPr>
          <w:color w:val="000000" w:themeColor="text1"/>
        </w:rPr>
      </w:pPr>
      <w:r w:rsidRPr="00EC7551">
        <w:rPr>
          <w:b/>
          <w:color w:val="000000" w:themeColor="text1"/>
        </w:rPr>
        <w:t xml:space="preserve">Разходите </w:t>
      </w:r>
      <w:r w:rsidRPr="00EC7551">
        <w:rPr>
          <w:color w:val="000000" w:themeColor="text1"/>
        </w:rPr>
        <w:t>по бюджета на съдебната власт</w:t>
      </w:r>
      <w:r w:rsidRPr="00EC7551">
        <w:rPr>
          <w:b/>
          <w:color w:val="000000" w:themeColor="text1"/>
        </w:rPr>
        <w:t xml:space="preserve"> </w:t>
      </w:r>
      <w:r w:rsidRPr="00EC7551">
        <w:rPr>
          <w:color w:val="000000" w:themeColor="text1"/>
        </w:rPr>
        <w:t>към 30.0</w:t>
      </w:r>
      <w:r w:rsidR="00EC7551" w:rsidRPr="00EC7551">
        <w:rPr>
          <w:color w:val="000000" w:themeColor="text1"/>
        </w:rPr>
        <w:t>9</w:t>
      </w:r>
      <w:r w:rsidRPr="00EC7551">
        <w:rPr>
          <w:color w:val="000000" w:themeColor="text1"/>
        </w:rPr>
        <w:t>.2025 г.</w:t>
      </w:r>
      <w:r w:rsidRPr="00EC7551">
        <w:rPr>
          <w:b/>
          <w:color w:val="000000" w:themeColor="text1"/>
        </w:rPr>
        <w:t xml:space="preserve"> </w:t>
      </w:r>
      <w:r w:rsidRPr="00EC7551">
        <w:rPr>
          <w:color w:val="000000" w:themeColor="text1"/>
        </w:rPr>
        <w:t xml:space="preserve">са в размер на </w:t>
      </w:r>
      <w:r w:rsidR="00EC7551" w:rsidRPr="00EC7551">
        <w:rPr>
          <w:color w:val="000000" w:themeColor="text1"/>
        </w:rPr>
        <w:t xml:space="preserve">969,3 </w:t>
      </w:r>
      <w:r w:rsidRPr="00EC7551">
        <w:rPr>
          <w:color w:val="000000" w:themeColor="text1"/>
        </w:rPr>
        <w:t>млн. лв., като с най-голям относителен дял от отчетените разходи са тези за персонал – 9</w:t>
      </w:r>
      <w:r w:rsidR="00EC7551" w:rsidRPr="00EC7551">
        <w:rPr>
          <w:color w:val="000000" w:themeColor="text1"/>
        </w:rPr>
        <w:t>2,4</w:t>
      </w:r>
      <w:r w:rsidRPr="00EC7551">
        <w:rPr>
          <w:color w:val="000000" w:themeColor="text1"/>
        </w:rPr>
        <w:t xml:space="preserve"> % (</w:t>
      </w:r>
      <w:r w:rsidR="00EC7551" w:rsidRPr="00EC7551">
        <w:rPr>
          <w:color w:val="000000" w:themeColor="text1"/>
        </w:rPr>
        <w:t>895,6</w:t>
      </w:r>
      <w:r w:rsidRPr="00EC7551">
        <w:rPr>
          <w:color w:val="000000" w:themeColor="text1"/>
        </w:rPr>
        <w:t xml:space="preserve"> млн. лв.). За сравнение, през същия период на 2024 г. са отчетени общо разходи в размер </w:t>
      </w:r>
      <w:r w:rsidR="00EC7551" w:rsidRPr="00EC7551">
        <w:rPr>
          <w:color w:val="000000" w:themeColor="text1"/>
        </w:rPr>
        <w:t>850,7</w:t>
      </w:r>
      <w:r w:rsidRPr="00EC7551">
        <w:rPr>
          <w:color w:val="000000" w:themeColor="text1"/>
        </w:rPr>
        <w:t xml:space="preserve"> млн. лева.</w:t>
      </w:r>
    </w:p>
    <w:p w14:paraId="77DE6494" w14:textId="77777777" w:rsidR="00437233" w:rsidRPr="0036645D" w:rsidRDefault="00437233" w:rsidP="008A2293">
      <w:pPr>
        <w:keepNext/>
        <w:numPr>
          <w:ilvl w:val="0"/>
          <w:numId w:val="8"/>
        </w:numPr>
        <w:spacing w:before="360"/>
        <w:ind w:left="533" w:right="-108" w:hanging="391"/>
        <w:jc w:val="both"/>
        <w:outlineLvl w:val="0"/>
        <w:rPr>
          <w:b/>
          <w:bCs/>
        </w:rPr>
      </w:pPr>
      <w:r w:rsidRPr="0036645D">
        <w:rPr>
          <w:b/>
          <w:bCs/>
        </w:rPr>
        <w:lastRenderedPageBreak/>
        <w:t>Просрочени задължения</w:t>
      </w:r>
    </w:p>
    <w:p w14:paraId="29C581F8" w14:textId="647EEF92" w:rsidR="00437233" w:rsidRPr="0036645D" w:rsidRDefault="00437233" w:rsidP="00437233">
      <w:pPr>
        <w:spacing w:before="120" w:after="120"/>
        <w:jc w:val="both"/>
      </w:pPr>
      <w:r w:rsidRPr="0036645D">
        <w:t>Към 30.0</w:t>
      </w:r>
      <w:r w:rsidR="00E93001" w:rsidRPr="0036645D">
        <w:t>9</w:t>
      </w:r>
      <w:r w:rsidRPr="0036645D">
        <w:t xml:space="preserve">.2025 г. просрочените задължения на централно и местно правителство са в размер на </w:t>
      </w:r>
      <w:r w:rsidRPr="0036645D">
        <w:rPr>
          <w:b/>
        </w:rPr>
        <w:t>3</w:t>
      </w:r>
      <w:r w:rsidR="0036645D" w:rsidRPr="0036645D">
        <w:rPr>
          <w:b/>
        </w:rPr>
        <w:t>28,5</w:t>
      </w:r>
      <w:r w:rsidRPr="0036645D">
        <w:rPr>
          <w:b/>
        </w:rPr>
        <w:t xml:space="preserve"> млн. лева.</w:t>
      </w:r>
      <w:r w:rsidRPr="0036645D">
        <w:t xml:space="preserve"> </w:t>
      </w:r>
    </w:p>
    <w:p w14:paraId="1917D8D8" w14:textId="0A37B09F" w:rsidR="00437233" w:rsidRPr="00F41386" w:rsidRDefault="00437233" w:rsidP="00437233">
      <w:pPr>
        <w:spacing w:before="120"/>
        <w:jc w:val="both"/>
        <w:rPr>
          <w:noProof/>
        </w:rPr>
      </w:pPr>
      <w:r w:rsidRPr="0036645D">
        <w:t xml:space="preserve">Размерът на просрочените задължения на </w:t>
      </w:r>
      <w:r w:rsidRPr="0036645D">
        <w:rPr>
          <w:b/>
        </w:rPr>
        <w:t>централното правителство</w:t>
      </w:r>
      <w:r w:rsidRPr="0036645D">
        <w:t xml:space="preserve"> (министерства, ведомства и разпоредителите с бюджет по чл. 13, ал. 3 и ал. 4 на ЗПФ) е</w:t>
      </w:r>
      <w:r w:rsidRPr="0036645D">
        <w:rPr>
          <w:b/>
        </w:rPr>
        <w:t xml:space="preserve"> 1</w:t>
      </w:r>
      <w:r w:rsidR="0036645D" w:rsidRPr="0036645D">
        <w:rPr>
          <w:b/>
        </w:rPr>
        <w:t>81,1</w:t>
      </w:r>
      <w:r w:rsidRPr="0036645D">
        <w:rPr>
          <w:b/>
        </w:rPr>
        <w:t xml:space="preserve"> млн. лева. </w:t>
      </w:r>
      <w:r w:rsidRPr="0036645D">
        <w:t>Спрямо отчетените в края на 2024 г. те на</w:t>
      </w:r>
      <w:r w:rsidR="0036645D" w:rsidRPr="0036645D">
        <w:t>маля</w:t>
      </w:r>
      <w:r w:rsidRPr="0036645D">
        <w:t xml:space="preserve">ват с </w:t>
      </w:r>
      <w:r w:rsidR="0036645D" w:rsidRPr="0036645D">
        <w:t>4,6</w:t>
      </w:r>
      <w:r w:rsidRPr="0036645D">
        <w:t xml:space="preserve"> млн. лв. </w:t>
      </w:r>
      <w:r w:rsidR="001D6684" w:rsidRPr="001D6684">
        <w:t>В обхвата на държавния бюджет просрочените задължения са основно към доставчици</w:t>
      </w:r>
      <w:r w:rsidR="001D6684">
        <w:t>.</w:t>
      </w:r>
    </w:p>
    <w:p w14:paraId="42E69077" w14:textId="29ACC544" w:rsidR="00437233" w:rsidRPr="00367362" w:rsidRDefault="00437233" w:rsidP="00437233">
      <w:pPr>
        <w:spacing w:before="120" w:after="120"/>
        <w:jc w:val="both"/>
        <w:rPr>
          <w:noProof/>
        </w:rPr>
      </w:pPr>
      <w:r w:rsidRPr="00F41386">
        <w:rPr>
          <w:noProof/>
        </w:rPr>
        <w:t xml:space="preserve">Просрочените задължения по </w:t>
      </w:r>
      <w:r w:rsidRPr="00F41386">
        <w:rPr>
          <w:b/>
          <w:noProof/>
        </w:rPr>
        <w:t>бюджетите на общините</w:t>
      </w:r>
      <w:r w:rsidRPr="00F41386">
        <w:rPr>
          <w:noProof/>
        </w:rPr>
        <w:t xml:space="preserve"> към 3</w:t>
      </w:r>
      <w:r w:rsidRPr="00F41386">
        <w:rPr>
          <w:noProof/>
          <w:lang w:val="ru-RU"/>
        </w:rPr>
        <w:t>0</w:t>
      </w:r>
      <w:r w:rsidRPr="00F41386">
        <w:rPr>
          <w:noProof/>
        </w:rPr>
        <w:t>.0</w:t>
      </w:r>
      <w:r w:rsidR="00F41386" w:rsidRPr="00F41386">
        <w:rPr>
          <w:noProof/>
        </w:rPr>
        <w:t>9</w:t>
      </w:r>
      <w:r w:rsidRPr="00F41386">
        <w:rPr>
          <w:noProof/>
        </w:rPr>
        <w:t xml:space="preserve">.2025 г. са в размер на </w:t>
      </w:r>
      <w:r w:rsidRPr="00F41386">
        <w:rPr>
          <w:b/>
          <w:noProof/>
          <w:lang w:val="ru-RU"/>
        </w:rPr>
        <w:t>1</w:t>
      </w:r>
      <w:r w:rsidR="00F41386" w:rsidRPr="00F41386">
        <w:rPr>
          <w:b/>
          <w:noProof/>
          <w:lang w:val="ru-RU"/>
        </w:rPr>
        <w:t>47,</w:t>
      </w:r>
      <w:r w:rsidR="004D0E83">
        <w:rPr>
          <w:b/>
          <w:noProof/>
          <w:lang w:val="ru-RU"/>
        </w:rPr>
        <w:t>4</w:t>
      </w:r>
      <w:r w:rsidRPr="00F41386">
        <w:rPr>
          <w:b/>
          <w:noProof/>
        </w:rPr>
        <w:t> млн. лв.,</w:t>
      </w:r>
      <w:r w:rsidRPr="00F41386">
        <w:rPr>
          <w:noProof/>
        </w:rPr>
        <w:t xml:space="preserve"> като спрямо </w:t>
      </w:r>
      <w:r w:rsidRPr="00F41386">
        <w:t xml:space="preserve">края на 2024 г. </w:t>
      </w:r>
      <w:r w:rsidRPr="00F41386">
        <w:rPr>
          <w:noProof/>
        </w:rPr>
        <w:t xml:space="preserve">се отчита увеличение с </w:t>
      </w:r>
      <w:r w:rsidR="00F41386" w:rsidRPr="00F41386">
        <w:rPr>
          <w:noProof/>
        </w:rPr>
        <w:t>4,4</w:t>
      </w:r>
      <w:r w:rsidRPr="00F41386">
        <w:rPr>
          <w:noProof/>
        </w:rPr>
        <w:t xml:space="preserve"> млн. лева. С най-голям относителен дял в просрочените задължения по бюджетите на общините към края на месец </w:t>
      </w:r>
      <w:r w:rsidR="00F41386" w:rsidRPr="00F41386">
        <w:rPr>
          <w:noProof/>
        </w:rPr>
        <w:t>септември</w:t>
      </w:r>
      <w:r w:rsidRPr="00F41386">
        <w:rPr>
          <w:noProof/>
        </w:rPr>
        <w:t xml:space="preserve"> 2025 г. са просрочените задължения към доставчици, които са в размер на 139,3 млн. </w:t>
      </w:r>
      <w:r w:rsidRPr="00367362">
        <w:rPr>
          <w:noProof/>
        </w:rPr>
        <w:t>лева. В делегираните от държавата дейности просрочените задължения са в размер на 4,</w:t>
      </w:r>
      <w:r w:rsidR="00F41386" w:rsidRPr="00367362">
        <w:rPr>
          <w:noProof/>
        </w:rPr>
        <w:t>2</w:t>
      </w:r>
      <w:r w:rsidR="00FD55E2">
        <w:rPr>
          <w:noProof/>
        </w:rPr>
        <w:t> </w:t>
      </w:r>
      <w:r w:rsidRPr="00367362">
        <w:rPr>
          <w:noProof/>
        </w:rPr>
        <w:t>млн.</w:t>
      </w:r>
      <w:r w:rsidR="00F41386" w:rsidRPr="00367362">
        <w:rPr>
          <w:noProof/>
        </w:rPr>
        <w:t> </w:t>
      </w:r>
      <w:r w:rsidRPr="00367362">
        <w:rPr>
          <w:noProof/>
        </w:rPr>
        <w:t>лева.</w:t>
      </w:r>
    </w:p>
    <w:p w14:paraId="4FA49915" w14:textId="7183A76E" w:rsidR="00CD4DB7" w:rsidRPr="002807FE" w:rsidRDefault="00437233" w:rsidP="00CD4DB7">
      <w:pPr>
        <w:spacing w:after="120"/>
        <w:jc w:val="both"/>
        <w:rPr>
          <w:noProof/>
          <w:color w:val="0070C0"/>
          <w:sz w:val="2"/>
          <w:szCs w:val="12"/>
          <w:lang w:val="en-US"/>
        </w:rPr>
      </w:pPr>
      <w:r w:rsidRPr="008A2E1E">
        <w:rPr>
          <w:noProof/>
        </w:rPr>
        <w:t xml:space="preserve">Извън обхвата на консолидираната фискална програма, продължава да има проблем с </w:t>
      </w:r>
      <w:r w:rsidRPr="00A02F1E">
        <w:rPr>
          <w:noProof/>
        </w:rPr>
        <w:t>просрочията на лечебните заведения за болнична помощ (държавни и общински болници – търговски дружества). Към 30.0</w:t>
      </w:r>
      <w:r w:rsidR="00367362" w:rsidRPr="00A02F1E">
        <w:rPr>
          <w:noProof/>
        </w:rPr>
        <w:t>9</w:t>
      </w:r>
      <w:r w:rsidRPr="00A02F1E">
        <w:rPr>
          <w:noProof/>
        </w:rPr>
        <w:t xml:space="preserve">.2025 г. размерът на просрочените задължения е </w:t>
      </w:r>
      <w:r w:rsidR="00A02F1E" w:rsidRPr="00A02F1E">
        <w:rPr>
          <w:noProof/>
          <w:lang w:val="ru-RU"/>
        </w:rPr>
        <w:t>44,6 млн. лв., от които 32,1 млн. лв. са на държавните болници и 12,5 млн. лв. са на общинските болници. Спрямо отчетените просрочени задължения към 31.12.2024 г. се отчита увеличение с 3,1 млн. лв. (със 7,5 на сто)</w:t>
      </w:r>
      <w:r w:rsidR="00CD4DB7" w:rsidRPr="00A02F1E">
        <w:t>.</w:t>
      </w:r>
    </w:p>
    <w:p w14:paraId="1282FD28" w14:textId="34F2549B" w:rsidR="00F521AA" w:rsidRPr="00F41BD1" w:rsidRDefault="00F521AA" w:rsidP="003E54F0">
      <w:pPr>
        <w:keepNext/>
        <w:numPr>
          <w:ilvl w:val="0"/>
          <w:numId w:val="8"/>
        </w:numPr>
        <w:spacing w:before="360"/>
        <w:ind w:left="533" w:right="-108" w:hanging="391"/>
        <w:jc w:val="both"/>
        <w:outlineLvl w:val="0"/>
        <w:rPr>
          <w:b/>
          <w:bCs/>
        </w:rPr>
      </w:pPr>
      <w:r w:rsidRPr="00F41BD1">
        <w:rPr>
          <w:b/>
          <w:bCs/>
        </w:rPr>
        <w:t xml:space="preserve">Сметки за средства от ЕС на Разплащателната агенция към ДФ „Земеделие“ и на Националния фонд към Министерството на финансите </w:t>
      </w:r>
    </w:p>
    <w:p w14:paraId="1A24EAD2" w14:textId="77777777" w:rsidR="006C54A6" w:rsidRPr="00F41BD1" w:rsidRDefault="006C54A6" w:rsidP="003E54F0">
      <w:pPr>
        <w:pStyle w:val="Heading1"/>
        <w:numPr>
          <w:ilvl w:val="1"/>
          <w:numId w:val="8"/>
        </w:numPr>
        <w:tabs>
          <w:tab w:val="left" w:pos="90"/>
          <w:tab w:val="left" w:pos="993"/>
        </w:tabs>
        <w:spacing w:before="240" w:after="120"/>
        <w:ind w:left="0" w:right="-108" w:firstLine="567"/>
        <w:jc w:val="both"/>
        <w:rPr>
          <w:sz w:val="24"/>
        </w:rPr>
      </w:pPr>
      <w:r w:rsidRPr="00F41BD1">
        <w:rPr>
          <w:sz w:val="24"/>
        </w:rPr>
        <w:t xml:space="preserve">Сметка за Европейски средства на Разплащателна агенция ДФ „Земеделие“  </w:t>
      </w:r>
    </w:p>
    <w:p w14:paraId="41EF3D36" w14:textId="77777777" w:rsidR="003C48A1" w:rsidRPr="00F41BD1" w:rsidRDefault="003C48A1" w:rsidP="00667C1A">
      <w:pPr>
        <w:numPr>
          <w:ilvl w:val="0"/>
          <w:numId w:val="17"/>
        </w:numPr>
        <w:spacing w:before="120" w:line="276" w:lineRule="auto"/>
        <w:ind w:left="777" w:hanging="357"/>
        <w:jc w:val="both"/>
        <w:rPr>
          <w:b/>
          <w:lang w:eastAsia="bg-BG"/>
        </w:rPr>
      </w:pPr>
      <w:r w:rsidRPr="00F41BD1">
        <w:rPr>
          <w:b/>
          <w:lang w:eastAsia="bg-BG"/>
        </w:rPr>
        <w:t>Приходи</w:t>
      </w:r>
    </w:p>
    <w:p w14:paraId="120C0FF8" w14:textId="01D6E778" w:rsidR="003C48A1" w:rsidRPr="00F41BD1" w:rsidRDefault="003C48A1" w:rsidP="003C48A1">
      <w:pPr>
        <w:ind w:firstLine="567"/>
        <w:jc w:val="both"/>
      </w:pPr>
      <w:r w:rsidRPr="00F41BD1">
        <w:t>За 2025 г. планираните приходи по утвърдените годишни разчети на сметката за средства от Европейския съюз на Разплащателната агенция към ДФ „Земеделие” са в размер на 921,6</w:t>
      </w:r>
      <w:r w:rsidR="00D74FD2">
        <w:t> </w:t>
      </w:r>
      <w:r w:rsidRPr="00F41BD1">
        <w:t>млн. лева. Към 30.0</w:t>
      </w:r>
      <w:r w:rsidR="00F41BD1" w:rsidRPr="00F41BD1">
        <w:t>9</w:t>
      </w:r>
      <w:r w:rsidRPr="00F41BD1">
        <w:t xml:space="preserve">.2025 г. постъпленията са в размер на </w:t>
      </w:r>
      <w:r w:rsidR="00F41BD1" w:rsidRPr="00F41BD1">
        <w:t>400,3</w:t>
      </w:r>
      <w:r w:rsidRPr="00F41BD1">
        <w:t xml:space="preserve"> млн. лв., което представлява </w:t>
      </w:r>
      <w:r w:rsidR="00F41BD1" w:rsidRPr="00F41BD1">
        <w:t>4</w:t>
      </w:r>
      <w:r w:rsidRPr="00F41BD1">
        <w:t>3,</w:t>
      </w:r>
      <w:r w:rsidR="00F41BD1" w:rsidRPr="00F41BD1">
        <w:t>4</w:t>
      </w:r>
      <w:r w:rsidRPr="00F41BD1">
        <w:t> % от годишния план. За същия период на миналата година отчетената сума в частта „Приходи“ е била 4</w:t>
      </w:r>
      <w:r w:rsidR="00F41BD1" w:rsidRPr="00F41BD1">
        <w:t>38,1</w:t>
      </w:r>
      <w:r w:rsidRPr="00F41BD1">
        <w:t xml:space="preserve"> млн. лева.</w:t>
      </w:r>
    </w:p>
    <w:p w14:paraId="73CD5E47" w14:textId="77777777" w:rsidR="003C48A1" w:rsidRPr="00F41BD1" w:rsidRDefault="003C48A1" w:rsidP="003C48A1">
      <w:pPr>
        <w:tabs>
          <w:tab w:val="left" w:pos="709"/>
        </w:tabs>
        <w:spacing w:before="120"/>
        <w:ind w:firstLine="562"/>
        <w:jc w:val="both"/>
      </w:pPr>
      <w:r w:rsidRPr="00F41BD1">
        <w:t>Приходната част е формирана от приходи от наказателни лихви, помощи и дарения от чужбина и коректив на касови постъпления, както следва:</w:t>
      </w:r>
    </w:p>
    <w:p w14:paraId="28A6CB0C" w14:textId="77777777" w:rsidR="003C48A1" w:rsidRPr="00F41BD1" w:rsidRDefault="003C48A1" w:rsidP="00A6525E">
      <w:pPr>
        <w:numPr>
          <w:ilvl w:val="0"/>
          <w:numId w:val="16"/>
        </w:numPr>
        <w:tabs>
          <w:tab w:val="left" w:pos="993"/>
        </w:tabs>
        <w:spacing w:before="120" w:after="120"/>
        <w:ind w:left="1321" w:hanging="612"/>
        <w:jc w:val="both"/>
        <w:rPr>
          <w:b/>
          <w:i/>
        </w:rPr>
      </w:pPr>
      <w:r w:rsidRPr="00F41BD1">
        <w:rPr>
          <w:b/>
          <w:i/>
        </w:rPr>
        <w:t>Приходи от наказателни лихви</w:t>
      </w:r>
    </w:p>
    <w:p w14:paraId="21C84B93" w14:textId="52645D72" w:rsidR="003C48A1" w:rsidRPr="00F41BD1" w:rsidRDefault="003C48A1" w:rsidP="003C48A1">
      <w:pPr>
        <w:ind w:firstLine="567"/>
        <w:jc w:val="both"/>
      </w:pPr>
      <w:r w:rsidRPr="00F41BD1">
        <w:t xml:space="preserve">Към края на </w:t>
      </w:r>
      <w:r w:rsidR="00F41BD1" w:rsidRPr="00F41BD1">
        <w:t xml:space="preserve">деветмесечието </w:t>
      </w:r>
      <w:r w:rsidRPr="00F41BD1">
        <w:t>на 2025</w:t>
      </w:r>
      <w:r w:rsidRPr="00F41BD1">
        <w:rPr>
          <w:lang w:val="ru-RU"/>
        </w:rPr>
        <w:t xml:space="preserve"> </w:t>
      </w:r>
      <w:r w:rsidRPr="00F41BD1">
        <w:t xml:space="preserve">г. са отчетени приходи от получени наказателни лихви, свързани с вземания за възстановяване на средства от ЕК в размер на </w:t>
      </w:r>
      <w:r w:rsidR="00F41BD1" w:rsidRPr="00F41BD1">
        <w:t>1,2</w:t>
      </w:r>
      <w:r w:rsidRPr="00F41BD1">
        <w:t xml:space="preserve"> млн. лева.</w:t>
      </w:r>
    </w:p>
    <w:p w14:paraId="1C08136E" w14:textId="77777777" w:rsidR="003C48A1" w:rsidRPr="00F41BD1" w:rsidRDefault="003C48A1" w:rsidP="00A6525E">
      <w:pPr>
        <w:numPr>
          <w:ilvl w:val="0"/>
          <w:numId w:val="16"/>
        </w:numPr>
        <w:tabs>
          <w:tab w:val="left" w:pos="993"/>
        </w:tabs>
        <w:spacing w:before="120" w:after="120"/>
        <w:ind w:left="1321" w:hanging="612"/>
        <w:jc w:val="both"/>
        <w:rPr>
          <w:b/>
          <w:i/>
        </w:rPr>
      </w:pPr>
      <w:r w:rsidRPr="00F41BD1">
        <w:rPr>
          <w:b/>
          <w:i/>
        </w:rPr>
        <w:t>Текущи помощи и дарения от Европейския съюз</w:t>
      </w:r>
    </w:p>
    <w:p w14:paraId="7CDE324E" w14:textId="1E80E0C9" w:rsidR="003C48A1" w:rsidRPr="00F41BD1" w:rsidRDefault="003C48A1" w:rsidP="003C48A1">
      <w:pPr>
        <w:ind w:firstLine="567"/>
        <w:jc w:val="both"/>
      </w:pPr>
      <w:r w:rsidRPr="00F41BD1">
        <w:t>Общият размер на получените приходи, отчетени в „Текущи помощи и дарения от Европейския съюз“, към 30.0</w:t>
      </w:r>
      <w:r w:rsidR="00F41BD1" w:rsidRPr="00F41BD1">
        <w:t>9</w:t>
      </w:r>
      <w:r w:rsidRPr="00F41BD1">
        <w:t>.2025</w:t>
      </w:r>
      <w:r w:rsidRPr="00F41BD1">
        <w:rPr>
          <w:lang w:val="ru-RU"/>
        </w:rPr>
        <w:t xml:space="preserve"> </w:t>
      </w:r>
      <w:r w:rsidR="00CF0731" w:rsidRPr="00F41BD1">
        <w:t xml:space="preserve">г. е </w:t>
      </w:r>
      <w:r w:rsidR="00F41BD1" w:rsidRPr="00F41BD1">
        <w:t>31,1</w:t>
      </w:r>
      <w:r w:rsidRPr="00F41BD1">
        <w:t xml:space="preserve"> млн. лв., при планирани за годината средства в размер на 131,0 млн. лева.</w:t>
      </w:r>
    </w:p>
    <w:p w14:paraId="733CE83F" w14:textId="03EB1B1A" w:rsidR="003C48A1" w:rsidRPr="00F41BD1" w:rsidRDefault="003C48A1" w:rsidP="003C48A1">
      <w:pPr>
        <w:ind w:firstLine="567"/>
        <w:jc w:val="both"/>
      </w:pPr>
      <w:r w:rsidRPr="00F41BD1">
        <w:t>Получените текущи приходи от възстановяване на средства от Европейски земеделски фонд за развитие на селските райони (ЕЗФРСР) по линия на Програмата за развитие на селските райони (ПРСР) без директни плащания към 30.0</w:t>
      </w:r>
      <w:r w:rsidR="00F41BD1" w:rsidRPr="00F41BD1">
        <w:t>9</w:t>
      </w:r>
      <w:r w:rsidRPr="00F41BD1">
        <w:t>.2025</w:t>
      </w:r>
      <w:r w:rsidRPr="00F41BD1">
        <w:rPr>
          <w:lang w:val="ru-RU"/>
        </w:rPr>
        <w:t xml:space="preserve"> </w:t>
      </w:r>
      <w:r w:rsidRPr="00F41BD1">
        <w:t>г. възлизат на 2</w:t>
      </w:r>
      <w:r w:rsidR="00F41BD1" w:rsidRPr="00F41BD1">
        <w:t>3,7</w:t>
      </w:r>
      <w:r w:rsidRPr="00F41BD1">
        <w:rPr>
          <w:lang w:val="ru-RU"/>
        </w:rPr>
        <w:t xml:space="preserve"> </w:t>
      </w:r>
      <w:r w:rsidRPr="00F41BD1">
        <w:t>млн. л</w:t>
      </w:r>
      <w:r w:rsidR="00CA72D2">
        <w:t>е</w:t>
      </w:r>
      <w:r w:rsidRPr="00F41BD1">
        <w:t>в</w:t>
      </w:r>
      <w:r w:rsidR="00CA72D2">
        <w:t>а.</w:t>
      </w:r>
      <w:r w:rsidR="00CA72D2" w:rsidRPr="00CA72D2">
        <w:t xml:space="preserve"> Получените текущи приходи за ПРСР по линия на Стратегическия план по ОСП (2023-2027) са 1,1 млн.</w:t>
      </w:r>
      <w:r w:rsidR="00CA72D2">
        <w:t xml:space="preserve"> </w:t>
      </w:r>
      <w:r w:rsidR="00CA72D2" w:rsidRPr="00CA72D2">
        <w:t>л</w:t>
      </w:r>
      <w:r w:rsidR="00CA72D2">
        <w:t>е</w:t>
      </w:r>
      <w:r w:rsidR="00CA72D2" w:rsidRPr="00CA72D2">
        <w:t>в</w:t>
      </w:r>
      <w:r w:rsidR="00CA72D2">
        <w:t>а</w:t>
      </w:r>
      <w:r w:rsidR="00CA72D2" w:rsidRPr="00CA72D2">
        <w:t>. Общо получените текущи приходи по ПРСР представляват 23,2</w:t>
      </w:r>
      <w:r w:rsidR="00CA72D2">
        <w:t xml:space="preserve"> </w:t>
      </w:r>
      <w:r w:rsidR="00CA72D2" w:rsidRPr="00CA72D2">
        <w:t>% от планираните за годината 10</w:t>
      </w:r>
      <w:r w:rsidR="00CA72D2">
        <w:t>7,0</w:t>
      </w:r>
      <w:r w:rsidR="00CA72D2" w:rsidRPr="00CA72D2">
        <w:t xml:space="preserve"> млн.</w:t>
      </w:r>
      <w:r w:rsidR="00CA72D2">
        <w:t xml:space="preserve"> </w:t>
      </w:r>
      <w:r w:rsidR="00CA72D2" w:rsidRPr="00CA72D2">
        <w:t>л</w:t>
      </w:r>
      <w:r w:rsidR="00CA72D2">
        <w:t>е</w:t>
      </w:r>
      <w:r w:rsidR="00CA72D2" w:rsidRPr="00CA72D2">
        <w:t>в</w:t>
      </w:r>
      <w:r w:rsidR="00CA72D2">
        <w:t>а</w:t>
      </w:r>
      <w:r w:rsidR="00CA72D2" w:rsidRPr="00CA72D2">
        <w:t xml:space="preserve">. </w:t>
      </w:r>
      <w:r w:rsidRPr="00F41BD1">
        <w:t>За същия период на миналата година отчетените текущи приходи са били в размер на 2</w:t>
      </w:r>
      <w:r w:rsidR="00F41BD1" w:rsidRPr="00F41BD1">
        <w:t>8,9</w:t>
      </w:r>
      <w:r w:rsidRPr="00F41BD1">
        <w:t xml:space="preserve"> млн. лева.</w:t>
      </w:r>
    </w:p>
    <w:p w14:paraId="02A6BA4B" w14:textId="32DB3F61" w:rsidR="003C48A1" w:rsidRPr="00084827" w:rsidRDefault="003C48A1" w:rsidP="003C48A1">
      <w:pPr>
        <w:ind w:firstLine="567"/>
        <w:jc w:val="both"/>
      </w:pPr>
      <w:r w:rsidRPr="00084827">
        <w:t>Получените текущи приходи от възстановяване на средства по линия на схемите „Училищен плод“ и „Училищно мляко“ от Европейски фонд за гарантиране на земеделието (ЕФГЗ) към 30.0</w:t>
      </w:r>
      <w:r w:rsidR="00084827" w:rsidRPr="00084827">
        <w:t>9</w:t>
      </w:r>
      <w:r w:rsidRPr="00084827">
        <w:t xml:space="preserve">.2025 г. са </w:t>
      </w:r>
      <w:r w:rsidR="00084827" w:rsidRPr="00084827">
        <w:t>6,3</w:t>
      </w:r>
      <w:r w:rsidRPr="00084827">
        <w:t xml:space="preserve"> млн. лв., което предста</w:t>
      </w:r>
      <w:r w:rsidR="00CF0731" w:rsidRPr="00084827">
        <w:t xml:space="preserve">влява </w:t>
      </w:r>
      <w:r w:rsidR="00084827" w:rsidRPr="00084827">
        <w:t>82,4</w:t>
      </w:r>
      <w:r w:rsidR="00CF0731" w:rsidRPr="00084827">
        <w:t xml:space="preserve"> % от планираните 7,7</w:t>
      </w:r>
      <w:r w:rsidRPr="00084827">
        <w:t xml:space="preserve"> млн. лв. за годината.  За </w:t>
      </w:r>
      <w:r w:rsidR="00084827" w:rsidRPr="00084827">
        <w:t>деветмесечието</w:t>
      </w:r>
      <w:r w:rsidRPr="00084827">
        <w:t xml:space="preserve"> на 2024 г. по това направление са отчетени </w:t>
      </w:r>
      <w:r w:rsidR="00084827" w:rsidRPr="00084827">
        <w:t>5</w:t>
      </w:r>
      <w:r w:rsidRPr="00084827">
        <w:t>,4 млн. лева.</w:t>
      </w:r>
    </w:p>
    <w:p w14:paraId="51457708" w14:textId="6772E475" w:rsidR="003C48A1" w:rsidRPr="00B14BE9" w:rsidRDefault="003C48A1" w:rsidP="003C48A1">
      <w:pPr>
        <w:ind w:firstLine="567"/>
        <w:jc w:val="both"/>
      </w:pPr>
      <w:r w:rsidRPr="00B14BE9">
        <w:lastRenderedPageBreak/>
        <w:t>За периода 01.01-30.0</w:t>
      </w:r>
      <w:r w:rsidR="00B14BE9" w:rsidRPr="00B14BE9">
        <w:rPr>
          <w:lang w:val="ru-RU"/>
        </w:rPr>
        <w:t>9</w:t>
      </w:r>
      <w:r w:rsidRPr="00B14BE9">
        <w:t>.202</w:t>
      </w:r>
      <w:r w:rsidR="00B14BE9" w:rsidRPr="00B14BE9">
        <w:rPr>
          <w:lang w:val="ru-RU"/>
        </w:rPr>
        <w:t xml:space="preserve">5 </w:t>
      </w:r>
      <w:r w:rsidRPr="00B14BE9">
        <w:t xml:space="preserve">г. не са възстановени средства от Европейския фонд за морско дело и рибарство (ЕФМДР), при годишен план за текущи приходи в размер на 16,4 млн. лева. През същия период на миналата година са получени </w:t>
      </w:r>
      <w:r w:rsidR="00B14BE9" w:rsidRPr="00B14BE9">
        <w:t>10,4</w:t>
      </w:r>
      <w:r w:rsidRPr="00B14BE9">
        <w:t xml:space="preserve"> млн. лв. текущи приходи.</w:t>
      </w:r>
    </w:p>
    <w:p w14:paraId="70F4590E" w14:textId="77777777" w:rsidR="003C48A1" w:rsidRPr="00B14BE9" w:rsidRDefault="003C48A1" w:rsidP="00A6525E">
      <w:pPr>
        <w:numPr>
          <w:ilvl w:val="0"/>
          <w:numId w:val="16"/>
        </w:numPr>
        <w:tabs>
          <w:tab w:val="left" w:pos="993"/>
        </w:tabs>
        <w:spacing w:before="120" w:after="120"/>
        <w:ind w:left="1321" w:hanging="612"/>
        <w:jc w:val="both"/>
        <w:rPr>
          <w:b/>
          <w:i/>
          <w:lang w:eastAsia="bg-BG"/>
        </w:rPr>
      </w:pPr>
      <w:r w:rsidRPr="00B14BE9">
        <w:rPr>
          <w:b/>
          <w:i/>
          <w:lang w:eastAsia="bg-BG"/>
        </w:rPr>
        <w:t>Капиталови помощи и дарения от Европейския съюз</w:t>
      </w:r>
    </w:p>
    <w:p w14:paraId="6909552F" w14:textId="71C2928B" w:rsidR="003C48A1" w:rsidRPr="0024629F" w:rsidRDefault="003C48A1" w:rsidP="003C48A1">
      <w:pPr>
        <w:ind w:firstLine="567"/>
        <w:jc w:val="both"/>
      </w:pPr>
      <w:r w:rsidRPr="0024629F">
        <w:t>Общият размер на получените приходи, отчетени в „Капиталови помощи и дарения от Европейския съюз“ към 30.0</w:t>
      </w:r>
      <w:r w:rsidR="00B14BE9" w:rsidRPr="0024629F">
        <w:t>9</w:t>
      </w:r>
      <w:r w:rsidRPr="0024629F">
        <w:t xml:space="preserve">.2025 г. е </w:t>
      </w:r>
      <w:r w:rsidR="00B14BE9" w:rsidRPr="0024629F">
        <w:t>374,5</w:t>
      </w:r>
      <w:r w:rsidRPr="0024629F">
        <w:t xml:space="preserve"> млн. лв. при планирани за годината 790,6 млн. лева. </w:t>
      </w:r>
    </w:p>
    <w:p w14:paraId="2615E9E1" w14:textId="29F3F551" w:rsidR="003C48A1" w:rsidRPr="0024629F" w:rsidRDefault="003C48A1" w:rsidP="003C48A1">
      <w:pPr>
        <w:ind w:firstLine="567"/>
        <w:jc w:val="both"/>
      </w:pPr>
      <w:r w:rsidRPr="0024629F">
        <w:t xml:space="preserve">Получените капиталови приходи от ЕЗФРСР по линия на ПРСР без директни плащания към края на </w:t>
      </w:r>
      <w:r w:rsidR="0024629F" w:rsidRPr="0024629F">
        <w:t>деветмесечието</w:t>
      </w:r>
      <w:r w:rsidRPr="0024629F">
        <w:t xml:space="preserve"> на 2025 г. са </w:t>
      </w:r>
      <w:r w:rsidR="0024629F" w:rsidRPr="0024629F">
        <w:t>373,7</w:t>
      </w:r>
      <w:r w:rsidRPr="0024629F">
        <w:t xml:space="preserve"> млн. лв., от които 27,6 млн. лв. са аванс по линия на Стратегическия план по ОСП 2023-2027.  Изпълнени са </w:t>
      </w:r>
      <w:r w:rsidR="0024629F" w:rsidRPr="0024629F">
        <w:t>47,7</w:t>
      </w:r>
      <w:r w:rsidRPr="0024629F">
        <w:t xml:space="preserve"> % от годишния план, който е в размер на 783,2 млн. лева. За сравнение, за същия период на предходната година, капиталовите приходи по ПРСР са били 3</w:t>
      </w:r>
      <w:r w:rsidR="0024629F" w:rsidRPr="0024629F">
        <w:t>90,4</w:t>
      </w:r>
      <w:r w:rsidRPr="0024629F">
        <w:t xml:space="preserve"> млн. лева.</w:t>
      </w:r>
    </w:p>
    <w:p w14:paraId="31BA359B" w14:textId="670E9A8D" w:rsidR="003C48A1" w:rsidRPr="0024629F" w:rsidRDefault="003C48A1" w:rsidP="003C48A1">
      <w:pPr>
        <w:ind w:firstLine="567"/>
        <w:jc w:val="both"/>
      </w:pPr>
      <w:r w:rsidRPr="0024629F">
        <w:t>В периода 01.01-30.0</w:t>
      </w:r>
      <w:r w:rsidR="0024629F" w:rsidRPr="0024629F">
        <w:t>9</w:t>
      </w:r>
      <w:r w:rsidRPr="0024629F">
        <w:t>.2025</w:t>
      </w:r>
      <w:r w:rsidR="0024629F" w:rsidRPr="0024629F">
        <w:t xml:space="preserve"> </w:t>
      </w:r>
      <w:r w:rsidRPr="0024629F">
        <w:t xml:space="preserve">г. са получени </w:t>
      </w:r>
      <w:r w:rsidR="00CF0731" w:rsidRPr="0024629F">
        <w:t>капиталови приходи в размер 0,8</w:t>
      </w:r>
      <w:r w:rsidRPr="0024629F">
        <w:t xml:space="preserve"> млн. лв. - аванс по ПМДРА 2021-2027. Степента на изпълнение спрямо годишния разчет от 7,4 млн. лв. е 11,2 %. За същия период на предходната година по това направление са отчетени </w:t>
      </w:r>
      <w:r w:rsidR="0024629F" w:rsidRPr="0024629F">
        <w:t>10,7</w:t>
      </w:r>
      <w:r w:rsidRPr="0024629F">
        <w:t xml:space="preserve"> млн. лева.</w:t>
      </w:r>
      <w:r w:rsidRPr="0024629F">
        <w:tab/>
      </w:r>
    </w:p>
    <w:p w14:paraId="4FA73F1E" w14:textId="77777777" w:rsidR="003C48A1" w:rsidRPr="0024629F" w:rsidRDefault="003C48A1" w:rsidP="00A6525E">
      <w:pPr>
        <w:numPr>
          <w:ilvl w:val="0"/>
          <w:numId w:val="16"/>
        </w:numPr>
        <w:tabs>
          <w:tab w:val="left" w:pos="993"/>
        </w:tabs>
        <w:spacing w:before="120" w:after="120"/>
        <w:ind w:left="1321" w:hanging="612"/>
        <w:jc w:val="both"/>
        <w:rPr>
          <w:b/>
          <w:i/>
          <w:lang w:eastAsia="bg-BG"/>
        </w:rPr>
      </w:pPr>
      <w:r w:rsidRPr="0024629F">
        <w:rPr>
          <w:b/>
          <w:i/>
          <w:lang w:eastAsia="bg-BG"/>
        </w:rPr>
        <w:t xml:space="preserve">Коректив на касови постъпления </w:t>
      </w:r>
    </w:p>
    <w:p w14:paraId="5E2D4A7F" w14:textId="0E6D8D85" w:rsidR="003C48A1" w:rsidRPr="00231877" w:rsidRDefault="003C48A1" w:rsidP="003C48A1">
      <w:pPr>
        <w:spacing w:before="120" w:after="120"/>
        <w:ind w:firstLine="567"/>
        <w:jc w:val="both"/>
        <w:rPr>
          <w:bCs/>
          <w:iCs/>
        </w:rPr>
      </w:pPr>
      <w:r w:rsidRPr="00231877">
        <w:rPr>
          <w:bCs/>
          <w:iCs/>
        </w:rPr>
        <w:t>Към 30.0</w:t>
      </w:r>
      <w:r w:rsidR="00231877" w:rsidRPr="00231877">
        <w:rPr>
          <w:bCs/>
          <w:iCs/>
        </w:rPr>
        <w:t>9</w:t>
      </w:r>
      <w:r w:rsidRPr="00231877">
        <w:rPr>
          <w:bCs/>
          <w:iCs/>
        </w:rPr>
        <w:t xml:space="preserve">.2025 г. отчетеният коректив на касови постъпления е минус </w:t>
      </w:r>
      <w:r w:rsidR="00231877" w:rsidRPr="00231877">
        <w:rPr>
          <w:bCs/>
          <w:iCs/>
        </w:rPr>
        <w:t>6,5</w:t>
      </w:r>
      <w:r w:rsidRPr="00231877">
        <w:rPr>
          <w:bCs/>
          <w:iCs/>
        </w:rPr>
        <w:t xml:space="preserve"> млн. лева. Той е формиран от размера на принудително събрани суми от НАП, за които не е извършен превод на средства по сметката на ДФЗ-РА.</w:t>
      </w:r>
    </w:p>
    <w:p w14:paraId="0A8FD9DC" w14:textId="77777777" w:rsidR="003C48A1" w:rsidRPr="00231877" w:rsidRDefault="003C48A1" w:rsidP="00667C1A">
      <w:pPr>
        <w:numPr>
          <w:ilvl w:val="0"/>
          <w:numId w:val="17"/>
        </w:numPr>
        <w:spacing w:before="240" w:line="276" w:lineRule="auto"/>
        <w:ind w:left="777" w:hanging="357"/>
        <w:jc w:val="both"/>
        <w:rPr>
          <w:b/>
          <w:lang w:eastAsia="bg-BG"/>
        </w:rPr>
      </w:pPr>
      <w:r w:rsidRPr="00231877">
        <w:rPr>
          <w:b/>
          <w:lang w:eastAsia="bg-BG"/>
        </w:rPr>
        <w:t>Разходи</w:t>
      </w:r>
    </w:p>
    <w:p w14:paraId="4BA579BB" w14:textId="77777777" w:rsidR="003C48A1" w:rsidRPr="00231877" w:rsidRDefault="003C48A1" w:rsidP="00EE1228">
      <w:pPr>
        <w:ind w:firstLine="567"/>
        <w:jc w:val="both"/>
      </w:pPr>
      <w:r w:rsidRPr="00231877">
        <w:t>Общият размер на планираните за 2025 г. разходи по утвърдените годишни разчети на сметката за средства от Европейския съюз на Разплащателната агенция към ДФ „Земеделие” е 2 312,8 млн. лева.</w:t>
      </w:r>
    </w:p>
    <w:p w14:paraId="263BC63D" w14:textId="3D07B972" w:rsidR="003C48A1" w:rsidRPr="00C5461E" w:rsidRDefault="003C48A1" w:rsidP="003C48A1">
      <w:pPr>
        <w:ind w:firstLine="720"/>
        <w:jc w:val="both"/>
        <w:rPr>
          <w:szCs w:val="20"/>
        </w:rPr>
      </w:pPr>
      <w:r w:rsidRPr="00C5461E">
        <w:rPr>
          <w:szCs w:val="20"/>
        </w:rPr>
        <w:t>Уточненият план на субсидиите за текуща дейност и капиталовите трансфери за 2025 г. е 1 930,3 млн. лева. Изпълнението им към 30.0</w:t>
      </w:r>
      <w:r w:rsidR="00C5461E" w:rsidRPr="00C5461E">
        <w:rPr>
          <w:szCs w:val="20"/>
        </w:rPr>
        <w:t>9</w:t>
      </w:r>
      <w:r w:rsidRPr="00C5461E">
        <w:rPr>
          <w:szCs w:val="20"/>
        </w:rPr>
        <w:t xml:space="preserve">.2025 г. възлиза на </w:t>
      </w:r>
      <w:r w:rsidR="00C5461E" w:rsidRPr="00C5461E">
        <w:rPr>
          <w:szCs w:val="20"/>
        </w:rPr>
        <w:t>25,</w:t>
      </w:r>
      <w:r w:rsidRPr="00C5461E">
        <w:rPr>
          <w:szCs w:val="20"/>
          <w:lang w:val="ru-RU"/>
        </w:rPr>
        <w:t xml:space="preserve">9 </w:t>
      </w:r>
      <w:r w:rsidRPr="00C5461E">
        <w:rPr>
          <w:szCs w:val="20"/>
        </w:rPr>
        <w:t xml:space="preserve">% от годишния план при отчетени разходи в размер </w:t>
      </w:r>
      <w:r w:rsidR="00C5461E" w:rsidRPr="00C5461E">
        <w:rPr>
          <w:szCs w:val="20"/>
        </w:rPr>
        <w:t>501</w:t>
      </w:r>
      <w:r w:rsidRPr="00C5461E">
        <w:rPr>
          <w:szCs w:val="20"/>
          <w:lang w:val="ru-RU"/>
        </w:rPr>
        <w:t>,3</w:t>
      </w:r>
      <w:r w:rsidRPr="00C5461E">
        <w:rPr>
          <w:szCs w:val="20"/>
        </w:rPr>
        <w:t xml:space="preserve"> млн. лева.</w:t>
      </w:r>
    </w:p>
    <w:p w14:paraId="5E30DAB0" w14:textId="4DCB6D40" w:rsidR="003C48A1" w:rsidRPr="00C5461E" w:rsidRDefault="003C48A1" w:rsidP="00EE1228">
      <w:pPr>
        <w:ind w:firstLine="567"/>
        <w:jc w:val="both"/>
        <w:rPr>
          <w:szCs w:val="20"/>
        </w:rPr>
      </w:pPr>
      <w:r w:rsidRPr="00C5461E">
        <w:rPr>
          <w:szCs w:val="20"/>
        </w:rPr>
        <w:t>Останалите планирани разходи в размер 382,5 млн. лв. са формирани от: разходи за заплати и възнаграждения на персонала 26,6 млн. лв., задължителни осигурителни вноски от работодатели 8,7 млн. лв., издръжка 22,5 млн. лв. и придобиване на ДМА 324,7 млн. лв. Те подлежат на отчитане в § 63-00 Трансфери между сметки за средствата от ЕС.</w:t>
      </w:r>
    </w:p>
    <w:p w14:paraId="13428B8D" w14:textId="77777777" w:rsidR="003C48A1" w:rsidRPr="00C5461E" w:rsidRDefault="003C48A1" w:rsidP="003C48A1">
      <w:pPr>
        <w:ind w:firstLine="709"/>
        <w:jc w:val="both"/>
        <w:rPr>
          <w:szCs w:val="20"/>
        </w:rPr>
      </w:pPr>
    </w:p>
    <w:p w14:paraId="7AF04C21" w14:textId="77777777" w:rsidR="003C48A1" w:rsidRPr="00C5461E" w:rsidRDefault="003C48A1" w:rsidP="003C48A1">
      <w:pPr>
        <w:ind w:firstLine="709"/>
        <w:jc w:val="both"/>
      </w:pPr>
      <w:r w:rsidRPr="00C5461E">
        <w:t>Изпълнението на отчетените разходи е както следва:</w:t>
      </w:r>
    </w:p>
    <w:p w14:paraId="6FA578C2" w14:textId="77777777" w:rsidR="003C48A1" w:rsidRPr="002807FE" w:rsidRDefault="003C48A1" w:rsidP="003C48A1">
      <w:pPr>
        <w:jc w:val="both"/>
        <w:rPr>
          <w:color w:val="0070C0"/>
          <w:sz w:val="8"/>
        </w:rPr>
      </w:pPr>
      <w:r w:rsidRPr="002807FE">
        <w:rPr>
          <w:color w:val="0070C0"/>
          <w:sz w:val="8"/>
        </w:rPr>
        <w:tab/>
      </w:r>
    </w:p>
    <w:p w14:paraId="3A16A489" w14:textId="77777777" w:rsidR="003C48A1" w:rsidRPr="00C5461E" w:rsidRDefault="003C48A1" w:rsidP="00424F6E">
      <w:pPr>
        <w:numPr>
          <w:ilvl w:val="0"/>
          <w:numId w:val="16"/>
        </w:numPr>
        <w:tabs>
          <w:tab w:val="left" w:pos="993"/>
        </w:tabs>
        <w:ind w:left="1321" w:hanging="612"/>
        <w:jc w:val="both"/>
        <w:rPr>
          <w:b/>
          <w:i/>
          <w:lang w:eastAsia="bg-BG"/>
        </w:rPr>
      </w:pPr>
      <w:r w:rsidRPr="00C5461E">
        <w:rPr>
          <w:b/>
          <w:i/>
          <w:lang w:eastAsia="bg-BG"/>
        </w:rPr>
        <w:t>Субсидии и други текущи трансфери за нефинансови предприятия</w:t>
      </w:r>
    </w:p>
    <w:p w14:paraId="11B2F191" w14:textId="21B4F9E7" w:rsidR="003C48A1" w:rsidRPr="00C5461E" w:rsidRDefault="003C48A1" w:rsidP="00EE1228">
      <w:pPr>
        <w:ind w:firstLine="567"/>
        <w:contextualSpacing/>
        <w:jc w:val="both"/>
      </w:pPr>
      <w:r w:rsidRPr="00C5461E">
        <w:t>За 2025 г. са планирани средства в размер на 652,1 млн. лв. за субсидии и други текущи трансфери за нефинансови предприятия. Отчетените към 30.0</w:t>
      </w:r>
      <w:r w:rsidR="00C5461E" w:rsidRPr="00C5461E">
        <w:t>9</w:t>
      </w:r>
      <w:r w:rsidRPr="00C5461E">
        <w:t xml:space="preserve">.2025 г. средства представляват </w:t>
      </w:r>
      <w:r w:rsidR="00C5461E" w:rsidRPr="00C5461E">
        <w:t xml:space="preserve">32,9 </w:t>
      </w:r>
      <w:r w:rsidRPr="00C5461E">
        <w:t>% от планираните за годината</w:t>
      </w:r>
      <w:r w:rsidRPr="00C5461E">
        <w:rPr>
          <w:lang w:val="ru-RU"/>
        </w:rPr>
        <w:t>,</w:t>
      </w:r>
      <w:r w:rsidRPr="00C5461E">
        <w:t xml:space="preserve"> и са в размер на </w:t>
      </w:r>
      <w:r w:rsidRPr="00C5461E">
        <w:rPr>
          <w:lang w:val="ru-RU"/>
        </w:rPr>
        <w:t>2</w:t>
      </w:r>
      <w:r w:rsidR="00C5461E" w:rsidRPr="00C5461E">
        <w:rPr>
          <w:lang w:val="ru-RU"/>
        </w:rPr>
        <w:t>14,6</w:t>
      </w:r>
      <w:r w:rsidRPr="00C5461E">
        <w:t xml:space="preserve"> млн. лева. Към 30.0</w:t>
      </w:r>
      <w:r w:rsidR="00C5461E" w:rsidRPr="00C5461E">
        <w:t>9</w:t>
      </w:r>
      <w:r w:rsidRPr="00C5461E">
        <w:t>.202</w:t>
      </w:r>
      <w:r w:rsidR="00C5461E" w:rsidRPr="00C5461E">
        <w:t>4</w:t>
      </w:r>
      <w:r w:rsidRPr="00C5461E">
        <w:t xml:space="preserve"> г. отчетените текущи субсидии са били </w:t>
      </w:r>
      <w:r w:rsidR="00707FBE" w:rsidRPr="00C5461E">
        <w:t>18</w:t>
      </w:r>
      <w:r w:rsidR="00C5461E" w:rsidRPr="00C5461E">
        <w:t>5,1</w:t>
      </w:r>
      <w:r w:rsidRPr="00C5461E">
        <w:t xml:space="preserve"> млн. лева. </w:t>
      </w:r>
    </w:p>
    <w:p w14:paraId="18E9FA54" w14:textId="77777777" w:rsidR="003C48A1" w:rsidRPr="00C5461E" w:rsidRDefault="003C48A1" w:rsidP="003C48A1">
      <w:pPr>
        <w:ind w:firstLine="720"/>
        <w:contextualSpacing/>
        <w:jc w:val="both"/>
      </w:pPr>
      <w:r w:rsidRPr="00C5461E">
        <w:t>Изпълнението по дейности е както следва:</w:t>
      </w:r>
    </w:p>
    <w:p w14:paraId="63353A43" w14:textId="050CC5B5" w:rsidR="003C48A1" w:rsidRPr="003F62B7" w:rsidRDefault="003C48A1" w:rsidP="003C48A1">
      <w:pPr>
        <w:ind w:firstLine="720"/>
        <w:contextualSpacing/>
        <w:jc w:val="both"/>
      </w:pPr>
      <w:r w:rsidRPr="003F62B7">
        <w:t xml:space="preserve">- национално съфинансиране към ЕЗФРСР за директни плащания – </w:t>
      </w:r>
      <w:r w:rsidRPr="003F62B7">
        <w:rPr>
          <w:lang w:val="ru-RU"/>
        </w:rPr>
        <w:t>14</w:t>
      </w:r>
      <w:r w:rsidR="003F62B7" w:rsidRPr="003F62B7">
        <w:rPr>
          <w:lang w:val="ru-RU"/>
        </w:rPr>
        <w:t>5,0</w:t>
      </w:r>
      <w:r w:rsidRPr="003F62B7">
        <w:t xml:space="preserve"> млн. лв., изпълнение </w:t>
      </w:r>
      <w:r w:rsidRPr="003F62B7">
        <w:rPr>
          <w:lang w:val="ru-RU"/>
        </w:rPr>
        <w:t>35</w:t>
      </w:r>
      <w:r w:rsidR="00707FBE" w:rsidRPr="003F62B7">
        <w:rPr>
          <w:lang w:val="ru-RU"/>
        </w:rPr>
        <w:t>,</w:t>
      </w:r>
      <w:r w:rsidR="003F62B7" w:rsidRPr="003F62B7">
        <w:rPr>
          <w:lang w:val="ru-RU"/>
        </w:rPr>
        <w:t>1</w:t>
      </w:r>
      <w:r w:rsidRPr="003F62B7">
        <w:rPr>
          <w:lang w:val="ru-RU"/>
        </w:rPr>
        <w:t xml:space="preserve"> </w:t>
      </w:r>
      <w:r w:rsidRPr="003F62B7">
        <w:t>% от планираните за годината 412,6 млн. лв.;</w:t>
      </w:r>
    </w:p>
    <w:p w14:paraId="0C08FCB3" w14:textId="0B37B20E" w:rsidR="003C48A1" w:rsidRPr="00392B31" w:rsidRDefault="003C48A1" w:rsidP="003C48A1">
      <w:pPr>
        <w:ind w:firstLine="720"/>
        <w:contextualSpacing/>
        <w:jc w:val="both"/>
      </w:pPr>
      <w:r w:rsidRPr="003F62B7">
        <w:t xml:space="preserve">-  текущи субсидии по Програмата за морско дело и рибарство – </w:t>
      </w:r>
      <w:r w:rsidR="003F62B7" w:rsidRPr="003F62B7">
        <w:t>1,1</w:t>
      </w:r>
      <w:r w:rsidRPr="003F62B7">
        <w:t xml:space="preserve"> млн. лв., изпълнение </w:t>
      </w:r>
      <w:r w:rsidR="003F62B7" w:rsidRPr="003F62B7">
        <w:t>3</w:t>
      </w:r>
      <w:r w:rsidR="00707FBE" w:rsidRPr="003F62B7">
        <w:rPr>
          <w:lang w:val="ru-RU"/>
        </w:rPr>
        <w:t>5,</w:t>
      </w:r>
      <w:r w:rsidR="003F62B7" w:rsidRPr="003F62B7">
        <w:rPr>
          <w:lang w:val="ru-RU"/>
        </w:rPr>
        <w:t>5</w:t>
      </w:r>
      <w:r w:rsidRPr="003F62B7">
        <w:rPr>
          <w:lang w:val="ru-RU"/>
        </w:rPr>
        <w:t xml:space="preserve"> </w:t>
      </w:r>
      <w:r w:rsidRPr="003F62B7">
        <w:t xml:space="preserve">% от </w:t>
      </w:r>
      <w:r w:rsidRPr="00392B31">
        <w:t>планираните 3,1 млн. лв.;</w:t>
      </w:r>
    </w:p>
    <w:p w14:paraId="4FD32921" w14:textId="4D33807C" w:rsidR="003C48A1" w:rsidRPr="00392B31" w:rsidRDefault="003C48A1" w:rsidP="003C48A1">
      <w:pPr>
        <w:ind w:firstLine="720"/>
        <w:contextualSpacing/>
        <w:jc w:val="both"/>
      </w:pPr>
      <w:r w:rsidRPr="00392B31">
        <w:t xml:space="preserve">- текущи субсидии по Програмата за развитие на селските райони – </w:t>
      </w:r>
      <w:r w:rsidR="00392B31" w:rsidRPr="00392B31">
        <w:t>6,5</w:t>
      </w:r>
      <w:r w:rsidRPr="00392B31">
        <w:t xml:space="preserve"> млн. лв., изпълнение от </w:t>
      </w:r>
      <w:r w:rsidR="00392B31" w:rsidRPr="00392B31">
        <w:t>3</w:t>
      </w:r>
      <w:r w:rsidRPr="00392B31">
        <w:rPr>
          <w:lang w:val="ru-RU"/>
        </w:rPr>
        <w:t xml:space="preserve">,9 </w:t>
      </w:r>
      <w:r w:rsidRPr="00392B31">
        <w:t>% на планираните за годината 164,7 млн. лв.;</w:t>
      </w:r>
    </w:p>
    <w:p w14:paraId="72DDC97A" w14:textId="3EC5A21A" w:rsidR="003C48A1" w:rsidRPr="00392B31" w:rsidRDefault="003C48A1" w:rsidP="003C48A1">
      <w:pPr>
        <w:ind w:firstLine="709"/>
        <w:contextualSpacing/>
        <w:jc w:val="both"/>
      </w:pPr>
      <w:r w:rsidRPr="00392B31">
        <w:t xml:space="preserve">-  текущи субсидии за пазарни мерки – </w:t>
      </w:r>
      <w:r w:rsidR="00392B31" w:rsidRPr="00392B31">
        <w:t>62,0</w:t>
      </w:r>
      <w:r w:rsidRPr="00392B31">
        <w:t xml:space="preserve"> млн. лв., изпълнение от </w:t>
      </w:r>
      <w:r w:rsidR="00392B31" w:rsidRPr="00392B31">
        <w:t>86,5</w:t>
      </w:r>
      <w:r w:rsidRPr="00392B31">
        <w:rPr>
          <w:lang w:val="ru-RU"/>
        </w:rPr>
        <w:t xml:space="preserve"> </w:t>
      </w:r>
      <w:r w:rsidRPr="00392B31">
        <w:t>% на планираните за 202</w:t>
      </w:r>
      <w:r w:rsidRPr="00392B31">
        <w:rPr>
          <w:lang w:val="ru-RU"/>
        </w:rPr>
        <w:t xml:space="preserve">5 </w:t>
      </w:r>
      <w:r w:rsidRPr="00392B31">
        <w:t xml:space="preserve">г. 71,7 млн. лева. </w:t>
      </w:r>
    </w:p>
    <w:p w14:paraId="41873C24" w14:textId="77777777" w:rsidR="003C48A1" w:rsidRPr="004B4767" w:rsidRDefault="003C48A1" w:rsidP="00A6525E">
      <w:pPr>
        <w:numPr>
          <w:ilvl w:val="0"/>
          <w:numId w:val="16"/>
        </w:numPr>
        <w:tabs>
          <w:tab w:val="left" w:pos="993"/>
        </w:tabs>
        <w:spacing w:before="120" w:after="120"/>
        <w:ind w:left="1321" w:hanging="612"/>
        <w:jc w:val="both"/>
        <w:rPr>
          <w:b/>
          <w:i/>
          <w:lang w:eastAsia="bg-BG"/>
        </w:rPr>
      </w:pPr>
      <w:r w:rsidRPr="004B4767">
        <w:rPr>
          <w:b/>
          <w:i/>
          <w:lang w:eastAsia="bg-BG"/>
        </w:rPr>
        <w:t>Субсидии и други текущи трансфери за юридически лица с нестопанска цел</w:t>
      </w:r>
    </w:p>
    <w:p w14:paraId="7C1AFD6D" w14:textId="0A26E025" w:rsidR="003C48A1" w:rsidRPr="007F29F1" w:rsidRDefault="003C48A1" w:rsidP="00EE1228">
      <w:pPr>
        <w:tabs>
          <w:tab w:val="left" w:pos="993"/>
        </w:tabs>
        <w:ind w:firstLine="567"/>
        <w:jc w:val="both"/>
      </w:pPr>
      <w:r w:rsidRPr="004B4767">
        <w:t xml:space="preserve">За 2025 г. за субсидии и други текущи трансфери за юридически лица с нестопанска цел са планирани 25,4 млн. лв. Към края на </w:t>
      </w:r>
      <w:r w:rsidR="00AB257C" w:rsidRPr="004B4767">
        <w:t xml:space="preserve">деветмесечието </w:t>
      </w:r>
      <w:r w:rsidRPr="004B4767">
        <w:t xml:space="preserve">на 2025 г. са отчетени разходи в размер на </w:t>
      </w:r>
      <w:r w:rsidR="00AB257C" w:rsidRPr="004B4767">
        <w:lastRenderedPageBreak/>
        <w:t>8,6</w:t>
      </w:r>
      <w:r w:rsidRPr="004B4767">
        <w:t xml:space="preserve"> млн. лв., степен на изпълнение – </w:t>
      </w:r>
      <w:r w:rsidR="00AB257C" w:rsidRPr="004B4767">
        <w:t>3</w:t>
      </w:r>
      <w:r w:rsidR="00707FBE" w:rsidRPr="004B4767">
        <w:rPr>
          <w:lang w:val="ru-RU"/>
        </w:rPr>
        <w:t>3,</w:t>
      </w:r>
      <w:r w:rsidR="00AB257C" w:rsidRPr="004B4767">
        <w:rPr>
          <w:lang w:val="ru-RU"/>
        </w:rPr>
        <w:t>9</w:t>
      </w:r>
      <w:r w:rsidRPr="004B4767">
        <w:rPr>
          <w:lang w:val="ru-RU"/>
        </w:rPr>
        <w:t xml:space="preserve"> </w:t>
      </w:r>
      <w:r w:rsidRPr="004B4767">
        <w:t xml:space="preserve">%. За същия период на предходната 2024 г. този вид </w:t>
      </w:r>
      <w:r w:rsidRPr="007F29F1">
        <w:t xml:space="preserve">разходи са възлизали на </w:t>
      </w:r>
      <w:r w:rsidR="00AB257C" w:rsidRPr="007F29F1">
        <w:t>10,8</w:t>
      </w:r>
      <w:r w:rsidR="004B4767" w:rsidRPr="007F29F1">
        <w:t xml:space="preserve"> </w:t>
      </w:r>
      <w:r w:rsidRPr="007F29F1">
        <w:t>млн. лева.</w:t>
      </w:r>
    </w:p>
    <w:p w14:paraId="32794253" w14:textId="77777777" w:rsidR="003C48A1" w:rsidRPr="007F29F1" w:rsidRDefault="003C48A1" w:rsidP="00EE1228">
      <w:pPr>
        <w:tabs>
          <w:tab w:val="left" w:pos="993"/>
        </w:tabs>
        <w:ind w:firstLine="567"/>
        <w:jc w:val="both"/>
      </w:pPr>
      <w:r w:rsidRPr="007F29F1">
        <w:t>Разпределението по дейности е както следва:</w:t>
      </w:r>
    </w:p>
    <w:p w14:paraId="70F22A37" w14:textId="77777777" w:rsidR="003C48A1" w:rsidRPr="007F29F1" w:rsidRDefault="003C48A1" w:rsidP="00A6525E">
      <w:pPr>
        <w:numPr>
          <w:ilvl w:val="0"/>
          <w:numId w:val="21"/>
        </w:numPr>
        <w:tabs>
          <w:tab w:val="left" w:pos="540"/>
          <w:tab w:val="left" w:pos="851"/>
        </w:tabs>
        <w:ind w:left="0" w:firstLine="709"/>
        <w:contextualSpacing/>
        <w:jc w:val="both"/>
      </w:pPr>
      <w:r w:rsidRPr="007F29F1">
        <w:t>текущи субсидии национално съфинансиране към директни плащания – 0,1 млн. лв.</w:t>
      </w:r>
    </w:p>
    <w:p w14:paraId="154A6570" w14:textId="77777777" w:rsidR="003C48A1" w:rsidRPr="007F29F1" w:rsidRDefault="003C48A1" w:rsidP="003C48A1">
      <w:pPr>
        <w:tabs>
          <w:tab w:val="left" w:pos="993"/>
        </w:tabs>
        <w:ind w:firstLine="709"/>
        <w:jc w:val="both"/>
      </w:pPr>
      <w:r w:rsidRPr="007F29F1">
        <w:t xml:space="preserve">- текущи субсидии по ПМДР – </w:t>
      </w:r>
      <w:r w:rsidRPr="007F29F1">
        <w:rPr>
          <w:lang w:val="ru-RU"/>
        </w:rPr>
        <w:t>0,4</w:t>
      </w:r>
      <w:r w:rsidRPr="007F29F1">
        <w:t xml:space="preserve"> млн. лв., възлизащи на </w:t>
      </w:r>
      <w:r w:rsidRPr="007F29F1">
        <w:rPr>
          <w:lang w:val="ru-RU"/>
        </w:rPr>
        <w:t xml:space="preserve">22,2 </w:t>
      </w:r>
      <w:r w:rsidRPr="007F29F1">
        <w:t>% от планираните 1,8 млн. лв.;</w:t>
      </w:r>
    </w:p>
    <w:p w14:paraId="62222B10" w14:textId="1A84DFFD" w:rsidR="003C48A1" w:rsidRPr="007F29F1" w:rsidRDefault="003C48A1" w:rsidP="003C48A1">
      <w:pPr>
        <w:tabs>
          <w:tab w:val="left" w:pos="993"/>
        </w:tabs>
        <w:ind w:firstLine="709"/>
        <w:jc w:val="both"/>
      </w:pPr>
      <w:r w:rsidRPr="007F29F1">
        <w:t xml:space="preserve">- текущи субсидии по Програмата за развитие на селските райони – </w:t>
      </w:r>
      <w:r w:rsidR="007F29F1" w:rsidRPr="007F29F1">
        <w:t>8,1</w:t>
      </w:r>
      <w:r w:rsidRPr="007F29F1">
        <w:t xml:space="preserve"> млн. лв., при планирани 23,6 млн. лв., степен на изпълнение </w:t>
      </w:r>
      <w:r w:rsidRPr="007F29F1">
        <w:rPr>
          <w:lang w:val="ru-RU"/>
        </w:rPr>
        <w:t>3</w:t>
      </w:r>
      <w:r w:rsidR="007F29F1" w:rsidRPr="007F29F1">
        <w:rPr>
          <w:lang w:val="ru-RU"/>
        </w:rPr>
        <w:t>4,3</w:t>
      </w:r>
      <w:r w:rsidRPr="007F29F1">
        <w:rPr>
          <w:lang w:val="ru-RU"/>
        </w:rPr>
        <w:t xml:space="preserve"> процента</w:t>
      </w:r>
      <w:r w:rsidRPr="007F29F1">
        <w:t>;</w:t>
      </w:r>
    </w:p>
    <w:p w14:paraId="53DAF98D" w14:textId="77777777" w:rsidR="003C48A1" w:rsidRPr="00BE08F4" w:rsidRDefault="003C48A1" w:rsidP="00A6525E">
      <w:pPr>
        <w:numPr>
          <w:ilvl w:val="0"/>
          <w:numId w:val="16"/>
        </w:numPr>
        <w:tabs>
          <w:tab w:val="left" w:pos="993"/>
        </w:tabs>
        <w:spacing w:before="120" w:after="120"/>
        <w:ind w:left="1321" w:hanging="612"/>
        <w:jc w:val="both"/>
        <w:rPr>
          <w:b/>
          <w:i/>
          <w:lang w:eastAsia="bg-BG"/>
        </w:rPr>
      </w:pPr>
      <w:r w:rsidRPr="00BE08F4">
        <w:rPr>
          <w:b/>
          <w:i/>
          <w:lang w:eastAsia="bg-BG"/>
        </w:rPr>
        <w:t>Капиталови трансфери за нефинансови предприятия</w:t>
      </w:r>
    </w:p>
    <w:p w14:paraId="12A46FEA" w14:textId="4F4652BB" w:rsidR="003C48A1" w:rsidRPr="006A5859" w:rsidRDefault="003C48A1" w:rsidP="00EE1228">
      <w:pPr>
        <w:tabs>
          <w:tab w:val="left" w:pos="993"/>
        </w:tabs>
        <w:ind w:firstLine="567"/>
        <w:jc w:val="both"/>
      </w:pPr>
      <w:r w:rsidRPr="00BE08F4">
        <w:t>За 2025 г. за капиталови трансфери за нефинансови предприятия са планирани 1 202,4 млн. лева. Към 30.0</w:t>
      </w:r>
      <w:r w:rsidR="00BE08F4" w:rsidRPr="00BE08F4">
        <w:rPr>
          <w:lang w:val="ru-RU"/>
        </w:rPr>
        <w:t>9</w:t>
      </w:r>
      <w:r w:rsidRPr="00BE08F4">
        <w:t xml:space="preserve">.2025 г. са отчетени </w:t>
      </w:r>
      <w:r w:rsidR="00BE08F4" w:rsidRPr="00BE08F4">
        <w:rPr>
          <w:lang w:val="ru-RU"/>
        </w:rPr>
        <w:t>266</w:t>
      </w:r>
      <w:r w:rsidR="00BE08F4" w:rsidRPr="00BE08F4">
        <w:t>,2</w:t>
      </w:r>
      <w:r w:rsidRPr="00BE08F4">
        <w:t xml:space="preserve"> млн. лв., представляващи </w:t>
      </w:r>
      <w:r w:rsidR="00BE08F4" w:rsidRPr="00BE08F4">
        <w:t>22,1</w:t>
      </w:r>
      <w:r w:rsidRPr="00BE08F4">
        <w:rPr>
          <w:lang w:val="ru-RU"/>
        </w:rPr>
        <w:t xml:space="preserve"> </w:t>
      </w:r>
      <w:r w:rsidRPr="00BE08F4">
        <w:t>% от годишния план. Отчетените за периода 01.01-30.0</w:t>
      </w:r>
      <w:r w:rsidR="00BE08F4" w:rsidRPr="00BE08F4">
        <w:t>9</w:t>
      </w:r>
      <w:r w:rsidRPr="00BE08F4">
        <w:t xml:space="preserve">.2024 г. разходи за капиталови субсидии за физически лица и </w:t>
      </w:r>
      <w:r w:rsidRPr="006A5859">
        <w:t>предприятия са били 1</w:t>
      </w:r>
      <w:r w:rsidR="00BE08F4" w:rsidRPr="006A5859">
        <w:t>93,4</w:t>
      </w:r>
      <w:r w:rsidRPr="006A5859">
        <w:t xml:space="preserve"> млн. лева.</w:t>
      </w:r>
    </w:p>
    <w:p w14:paraId="496627BE" w14:textId="77777777" w:rsidR="003C48A1" w:rsidRPr="006A5859" w:rsidRDefault="003C48A1" w:rsidP="00EE1228">
      <w:pPr>
        <w:tabs>
          <w:tab w:val="left" w:pos="993"/>
        </w:tabs>
        <w:ind w:firstLine="567"/>
        <w:jc w:val="both"/>
      </w:pPr>
      <w:r w:rsidRPr="006A5859">
        <w:t>Разпределението по дейности е както следва:</w:t>
      </w:r>
    </w:p>
    <w:p w14:paraId="6F0F85A7" w14:textId="472DAEA2" w:rsidR="003C48A1" w:rsidRPr="006A5859" w:rsidRDefault="003C48A1" w:rsidP="003C48A1">
      <w:pPr>
        <w:ind w:firstLine="720"/>
        <w:contextualSpacing/>
        <w:jc w:val="both"/>
      </w:pPr>
      <w:r w:rsidRPr="006A5859">
        <w:t xml:space="preserve">- капиталови трансфери по Програмата за морско дело и рибарство (ПМДР) – </w:t>
      </w:r>
      <w:r w:rsidRPr="006A5859">
        <w:rPr>
          <w:lang w:val="ru-RU"/>
        </w:rPr>
        <w:t>1,</w:t>
      </w:r>
      <w:r w:rsidR="006A5859" w:rsidRPr="006A5859">
        <w:rPr>
          <w:lang w:val="ru-RU"/>
        </w:rPr>
        <w:t>0</w:t>
      </w:r>
      <w:r w:rsidRPr="006A5859">
        <w:t xml:space="preserve"> млн. лв., </w:t>
      </w:r>
      <w:r w:rsidR="006A5859" w:rsidRPr="006A5859">
        <w:t>6,8</w:t>
      </w:r>
      <w:r w:rsidRPr="006A5859">
        <w:rPr>
          <w:lang w:val="ru-RU"/>
        </w:rPr>
        <w:t xml:space="preserve"> </w:t>
      </w:r>
      <w:r w:rsidRPr="006A5859">
        <w:t>%  изпълнение на годишния план (14,8 млн. лв.);</w:t>
      </w:r>
    </w:p>
    <w:p w14:paraId="41874B82" w14:textId="5E31ECE0" w:rsidR="003C48A1" w:rsidRPr="006A5859" w:rsidRDefault="003C48A1" w:rsidP="003C48A1">
      <w:pPr>
        <w:ind w:firstLine="720"/>
        <w:contextualSpacing/>
        <w:jc w:val="both"/>
      </w:pPr>
      <w:r w:rsidRPr="006A5859">
        <w:t xml:space="preserve">- капиталови трансфери по ПРСР – </w:t>
      </w:r>
      <w:r w:rsidR="006A5859" w:rsidRPr="006A5859">
        <w:t>264,8</w:t>
      </w:r>
      <w:r w:rsidRPr="006A5859">
        <w:t xml:space="preserve"> млн. лв., </w:t>
      </w:r>
      <w:r w:rsidR="006A5859" w:rsidRPr="006A5859">
        <w:t>22,4</w:t>
      </w:r>
      <w:r w:rsidRPr="006A5859">
        <w:rPr>
          <w:lang w:val="ru-RU"/>
        </w:rPr>
        <w:t xml:space="preserve"> </w:t>
      </w:r>
      <w:r w:rsidRPr="006A5859">
        <w:t>% изпълнение на годишния план, възлизащ на 1 180,5 млн. лв.;</w:t>
      </w:r>
    </w:p>
    <w:p w14:paraId="7E688D2B" w14:textId="1CA7E247" w:rsidR="003C48A1" w:rsidRPr="006A5859" w:rsidRDefault="003C48A1" w:rsidP="003C48A1">
      <w:pPr>
        <w:ind w:firstLine="720"/>
        <w:contextualSpacing/>
        <w:jc w:val="both"/>
      </w:pPr>
      <w:r w:rsidRPr="006A5859">
        <w:t>- капиталови трансфери за пазарни мерки – 0,</w:t>
      </w:r>
      <w:r w:rsidR="006A5859" w:rsidRPr="006A5859">
        <w:t>4</w:t>
      </w:r>
      <w:r w:rsidRPr="006A5859">
        <w:t xml:space="preserve"> млн. лв. при годишен разчет 7,1 млн. лв., изпълнение </w:t>
      </w:r>
      <w:r w:rsidR="006A5859" w:rsidRPr="006A5859">
        <w:t>5,6</w:t>
      </w:r>
      <w:r w:rsidRPr="006A5859">
        <w:rPr>
          <w:lang w:val="ru-RU"/>
        </w:rPr>
        <w:t xml:space="preserve"> процента</w:t>
      </w:r>
      <w:r w:rsidRPr="006A5859">
        <w:t>.</w:t>
      </w:r>
    </w:p>
    <w:p w14:paraId="0BFCADC0" w14:textId="77777777" w:rsidR="003C48A1" w:rsidRPr="006A5859" w:rsidRDefault="003C48A1" w:rsidP="00A6525E">
      <w:pPr>
        <w:numPr>
          <w:ilvl w:val="0"/>
          <w:numId w:val="16"/>
        </w:numPr>
        <w:tabs>
          <w:tab w:val="left" w:pos="993"/>
        </w:tabs>
        <w:spacing w:before="120" w:after="120"/>
        <w:ind w:left="1321" w:hanging="612"/>
        <w:jc w:val="both"/>
        <w:rPr>
          <w:b/>
          <w:i/>
          <w:lang w:eastAsia="bg-BG"/>
        </w:rPr>
      </w:pPr>
      <w:r w:rsidRPr="006A5859">
        <w:rPr>
          <w:b/>
          <w:i/>
          <w:lang w:eastAsia="bg-BG"/>
        </w:rPr>
        <w:t>Капиталови трансфери за организации с нестопанска цел</w:t>
      </w:r>
    </w:p>
    <w:p w14:paraId="77A24D6D" w14:textId="5BD43A1C" w:rsidR="003C48A1" w:rsidRPr="006A5859" w:rsidRDefault="003C48A1" w:rsidP="00EE1228">
      <w:pPr>
        <w:ind w:firstLine="567"/>
        <w:jc w:val="both"/>
      </w:pPr>
      <w:r w:rsidRPr="006A5859">
        <w:t>Годишните разчети за капиталови трансфери за организации с нестопанска цел за 2025 г. възлизат на 50,4 млн. л</w:t>
      </w:r>
      <w:r w:rsidR="006A5859" w:rsidRPr="006A5859">
        <w:t>е</w:t>
      </w:r>
      <w:r w:rsidRPr="006A5859">
        <w:t>в</w:t>
      </w:r>
      <w:r w:rsidR="006A5859" w:rsidRPr="006A5859">
        <w:t>а</w:t>
      </w:r>
      <w:r w:rsidRPr="006A5859">
        <w:t>. Към 30.0</w:t>
      </w:r>
      <w:r w:rsidR="006A5859" w:rsidRPr="006A5859">
        <w:t>9</w:t>
      </w:r>
      <w:r w:rsidRPr="006A5859">
        <w:t xml:space="preserve">.2025 г. са отчетени </w:t>
      </w:r>
      <w:r w:rsidR="006A5859" w:rsidRPr="006A5859">
        <w:t>11,9</w:t>
      </w:r>
      <w:r w:rsidRPr="006A5859">
        <w:t xml:space="preserve"> млн. лв., като степента на изпълнение е </w:t>
      </w:r>
      <w:r w:rsidR="006A5859" w:rsidRPr="006A5859">
        <w:t>23,6</w:t>
      </w:r>
      <w:r w:rsidRPr="006A5859">
        <w:rPr>
          <w:lang w:val="ru-RU"/>
        </w:rPr>
        <w:t xml:space="preserve"> </w:t>
      </w:r>
      <w:r w:rsidRPr="006A5859">
        <w:t>%. През същия период на предходната година са отчетени 9</w:t>
      </w:r>
      <w:r w:rsidR="006A5859" w:rsidRPr="006A5859">
        <w:t>,5</w:t>
      </w:r>
      <w:r w:rsidRPr="006A5859">
        <w:t xml:space="preserve"> млн. л</w:t>
      </w:r>
      <w:r w:rsidR="006A5859" w:rsidRPr="006A5859">
        <w:t>е</w:t>
      </w:r>
      <w:r w:rsidRPr="006A5859">
        <w:t>в</w:t>
      </w:r>
      <w:r w:rsidR="006A5859" w:rsidRPr="006A5859">
        <w:t>а</w:t>
      </w:r>
      <w:r w:rsidRPr="006A5859">
        <w:t>.</w:t>
      </w:r>
    </w:p>
    <w:p w14:paraId="28815505" w14:textId="77777777" w:rsidR="003C48A1" w:rsidRPr="006A5859" w:rsidRDefault="003C48A1" w:rsidP="00EE1228">
      <w:pPr>
        <w:tabs>
          <w:tab w:val="left" w:pos="993"/>
        </w:tabs>
        <w:ind w:firstLine="567"/>
        <w:jc w:val="both"/>
      </w:pPr>
      <w:r w:rsidRPr="006A5859">
        <w:t>Разпределението по дейности е както следва:</w:t>
      </w:r>
    </w:p>
    <w:p w14:paraId="04A77590" w14:textId="359E8E04" w:rsidR="003C48A1" w:rsidRPr="006A5859" w:rsidRDefault="003C48A1" w:rsidP="003C48A1">
      <w:pPr>
        <w:ind w:firstLine="720"/>
        <w:contextualSpacing/>
        <w:jc w:val="both"/>
      </w:pPr>
      <w:r w:rsidRPr="006A5859">
        <w:t xml:space="preserve">- капиталови трансфери по ПРСР – </w:t>
      </w:r>
      <w:r w:rsidR="006A5859" w:rsidRPr="006A5859">
        <w:t>11,9</w:t>
      </w:r>
      <w:r w:rsidRPr="006A5859">
        <w:t xml:space="preserve"> млн. лв., </w:t>
      </w:r>
      <w:r w:rsidR="006A5859" w:rsidRPr="006A5859">
        <w:t>23,6</w:t>
      </w:r>
      <w:r w:rsidRPr="006A5859">
        <w:rPr>
          <w:lang w:val="ru-RU"/>
        </w:rPr>
        <w:t xml:space="preserve"> </w:t>
      </w:r>
      <w:r w:rsidRPr="006A5859">
        <w:t>% изпълнение на годишния план от 50,4 млн. лева.</w:t>
      </w:r>
    </w:p>
    <w:p w14:paraId="2755D980" w14:textId="77777777" w:rsidR="003C48A1" w:rsidRPr="006A5859" w:rsidRDefault="003C48A1" w:rsidP="003C48A1">
      <w:pPr>
        <w:ind w:firstLine="708"/>
        <w:jc w:val="both"/>
      </w:pPr>
    </w:p>
    <w:p w14:paraId="2385C238" w14:textId="77777777" w:rsidR="003C48A1" w:rsidRPr="006A5859" w:rsidRDefault="003C48A1" w:rsidP="00A6525E">
      <w:pPr>
        <w:numPr>
          <w:ilvl w:val="0"/>
          <w:numId w:val="17"/>
        </w:numPr>
        <w:spacing w:before="120" w:after="120" w:line="276" w:lineRule="auto"/>
        <w:ind w:left="780"/>
        <w:contextualSpacing/>
        <w:jc w:val="both"/>
        <w:rPr>
          <w:b/>
          <w:lang w:eastAsia="bg-BG"/>
        </w:rPr>
      </w:pPr>
      <w:r w:rsidRPr="006A5859">
        <w:rPr>
          <w:b/>
          <w:lang w:eastAsia="bg-BG"/>
        </w:rPr>
        <w:t xml:space="preserve">Трансфери </w:t>
      </w:r>
    </w:p>
    <w:p w14:paraId="5D789318" w14:textId="277072CC" w:rsidR="003C48A1" w:rsidRPr="006A5859" w:rsidRDefault="003C48A1" w:rsidP="00EE1228">
      <w:pPr>
        <w:tabs>
          <w:tab w:val="left" w:pos="540"/>
        </w:tabs>
        <w:ind w:firstLine="567"/>
        <w:contextualSpacing/>
        <w:jc w:val="both"/>
      </w:pPr>
      <w:r w:rsidRPr="006A5859">
        <w:t>В частта на трансферите, в касовия отчет на ДФЗ-РА към 30.0</w:t>
      </w:r>
      <w:r w:rsidR="006A5859" w:rsidRPr="006A5859">
        <w:t>9</w:t>
      </w:r>
      <w:r w:rsidRPr="006A5859">
        <w:t>.2025 г. са отразени следните касови потоци:</w:t>
      </w:r>
    </w:p>
    <w:p w14:paraId="75AFD4C2" w14:textId="77777777" w:rsidR="003C48A1" w:rsidRPr="006A5859" w:rsidRDefault="003C48A1" w:rsidP="00A6525E">
      <w:pPr>
        <w:numPr>
          <w:ilvl w:val="0"/>
          <w:numId w:val="16"/>
        </w:numPr>
        <w:tabs>
          <w:tab w:val="left" w:pos="993"/>
        </w:tabs>
        <w:spacing w:before="120" w:after="120"/>
        <w:ind w:left="1321" w:hanging="612"/>
        <w:jc w:val="both"/>
        <w:rPr>
          <w:b/>
          <w:i/>
          <w:lang w:eastAsia="bg-BG"/>
        </w:rPr>
      </w:pPr>
      <w:r w:rsidRPr="006A5859">
        <w:rPr>
          <w:b/>
          <w:i/>
          <w:lang w:eastAsia="bg-BG"/>
        </w:rPr>
        <w:t xml:space="preserve">Трансфери между бюджети и сметки за средства от Европейския съюз </w:t>
      </w:r>
    </w:p>
    <w:p w14:paraId="1B9B784D" w14:textId="37D78676" w:rsidR="003C48A1" w:rsidRPr="006A5859" w:rsidRDefault="003C48A1" w:rsidP="00EE1228">
      <w:pPr>
        <w:ind w:firstLine="567"/>
        <w:jc w:val="both"/>
      </w:pPr>
      <w:r w:rsidRPr="006A5859">
        <w:t>Предоставените за периода трансфери във връзка с чл.14 от Закона за подпомагане на земеделските производители възлизат на 0,2 млн. лева.</w:t>
      </w:r>
    </w:p>
    <w:p w14:paraId="3662E63C" w14:textId="77777777" w:rsidR="003C48A1" w:rsidRPr="006A5859" w:rsidRDefault="003C48A1" w:rsidP="00A6525E">
      <w:pPr>
        <w:numPr>
          <w:ilvl w:val="0"/>
          <w:numId w:val="16"/>
        </w:numPr>
        <w:tabs>
          <w:tab w:val="left" w:pos="993"/>
        </w:tabs>
        <w:spacing w:before="120" w:after="120"/>
        <w:ind w:left="1321" w:hanging="612"/>
        <w:jc w:val="both"/>
        <w:rPr>
          <w:b/>
          <w:i/>
          <w:lang w:eastAsia="bg-BG"/>
        </w:rPr>
      </w:pPr>
      <w:r w:rsidRPr="006A5859">
        <w:rPr>
          <w:b/>
          <w:i/>
          <w:lang w:eastAsia="bg-BG"/>
        </w:rPr>
        <w:t>Трансфери между сметки за средства от Европейския съюз:</w:t>
      </w:r>
    </w:p>
    <w:p w14:paraId="0B27517C" w14:textId="34E3F8D9" w:rsidR="003C48A1" w:rsidRPr="006A5859" w:rsidRDefault="003C48A1" w:rsidP="00EE1228">
      <w:pPr>
        <w:tabs>
          <w:tab w:val="left" w:pos="540"/>
        </w:tabs>
        <w:ind w:firstLine="567"/>
        <w:jc w:val="both"/>
      </w:pPr>
      <w:r w:rsidRPr="006A5859">
        <w:t>Предоставените трансфери са формирани от изплатените субсидии на публични бенефициенти. Към 30.0</w:t>
      </w:r>
      <w:r w:rsidR="006A5859" w:rsidRPr="006A5859">
        <w:t>9</w:t>
      </w:r>
      <w:r w:rsidRPr="006A5859">
        <w:t xml:space="preserve">.2025 г. са отчетени </w:t>
      </w:r>
      <w:r w:rsidR="006A5859" w:rsidRPr="006A5859">
        <w:t>140,4</w:t>
      </w:r>
      <w:r w:rsidRPr="006A5859">
        <w:t xml:space="preserve"> млн. лв., в т.ч.: </w:t>
      </w:r>
    </w:p>
    <w:p w14:paraId="7E6DB2AC" w14:textId="7A9EAA64" w:rsidR="003C48A1" w:rsidRPr="006A5859" w:rsidRDefault="003C48A1" w:rsidP="00A6525E">
      <w:pPr>
        <w:numPr>
          <w:ilvl w:val="0"/>
          <w:numId w:val="21"/>
        </w:numPr>
        <w:tabs>
          <w:tab w:val="left" w:pos="540"/>
          <w:tab w:val="left" w:pos="851"/>
        </w:tabs>
        <w:ind w:left="0" w:firstLine="709"/>
        <w:contextualSpacing/>
        <w:jc w:val="both"/>
      </w:pPr>
      <w:r w:rsidRPr="006A5859">
        <w:t>национално съфинансиране към директни плащания: 0,</w:t>
      </w:r>
      <w:r w:rsidRPr="006A5859">
        <w:rPr>
          <w:lang w:val="ru-RU"/>
        </w:rPr>
        <w:t>5</w:t>
      </w:r>
      <w:r w:rsidR="006A5859" w:rsidRPr="006A5859">
        <w:rPr>
          <w:lang w:val="ru-RU"/>
        </w:rPr>
        <w:t>4</w:t>
      </w:r>
      <w:r w:rsidRPr="006A5859">
        <w:t xml:space="preserve"> млн. лв.;</w:t>
      </w:r>
    </w:p>
    <w:p w14:paraId="516C6C44" w14:textId="576A7C16" w:rsidR="003C48A1" w:rsidRPr="006A5859" w:rsidRDefault="003C48A1" w:rsidP="00A6525E">
      <w:pPr>
        <w:numPr>
          <w:ilvl w:val="0"/>
          <w:numId w:val="21"/>
        </w:numPr>
        <w:tabs>
          <w:tab w:val="left" w:pos="540"/>
          <w:tab w:val="left" w:pos="851"/>
        </w:tabs>
        <w:ind w:left="0" w:firstLine="709"/>
        <w:contextualSpacing/>
        <w:jc w:val="both"/>
      </w:pPr>
      <w:r w:rsidRPr="006A5859">
        <w:t xml:space="preserve">по Програмата за развитие на селските райони: </w:t>
      </w:r>
      <w:r w:rsidR="006A5859" w:rsidRPr="006A5859">
        <w:t>135,2</w:t>
      </w:r>
      <w:r w:rsidRPr="006A5859">
        <w:t xml:space="preserve"> млн. лв.;</w:t>
      </w:r>
    </w:p>
    <w:p w14:paraId="4782493D" w14:textId="780F0128" w:rsidR="003C48A1" w:rsidRPr="006A5859" w:rsidRDefault="003C48A1" w:rsidP="00A6525E">
      <w:pPr>
        <w:numPr>
          <w:ilvl w:val="0"/>
          <w:numId w:val="21"/>
        </w:numPr>
        <w:tabs>
          <w:tab w:val="left" w:pos="540"/>
          <w:tab w:val="left" w:pos="851"/>
        </w:tabs>
        <w:ind w:left="0" w:firstLine="709"/>
        <w:contextualSpacing/>
        <w:jc w:val="both"/>
      </w:pPr>
      <w:r w:rsidRPr="006A5859">
        <w:t xml:space="preserve">по Програмата за морско дело и рибарство: </w:t>
      </w:r>
      <w:r w:rsidRPr="006A5859">
        <w:rPr>
          <w:lang w:val="ru-RU"/>
        </w:rPr>
        <w:t>4,6</w:t>
      </w:r>
      <w:r w:rsidRPr="006A5859">
        <w:t xml:space="preserve"> млн. лв.</w:t>
      </w:r>
      <w:r w:rsidR="006A5859" w:rsidRPr="006A5859">
        <w:t>;</w:t>
      </w:r>
    </w:p>
    <w:p w14:paraId="72AC5ECE" w14:textId="233BA56D" w:rsidR="006A5859" w:rsidRPr="006A5859" w:rsidRDefault="006A5859" w:rsidP="00A6525E">
      <w:pPr>
        <w:numPr>
          <w:ilvl w:val="0"/>
          <w:numId w:val="21"/>
        </w:numPr>
        <w:tabs>
          <w:tab w:val="left" w:pos="540"/>
          <w:tab w:val="left" w:pos="851"/>
        </w:tabs>
        <w:ind w:left="0" w:firstLine="709"/>
        <w:contextualSpacing/>
        <w:jc w:val="both"/>
      </w:pPr>
      <w:r w:rsidRPr="006A5859">
        <w:t>пазарни мерки: 0,06 млн. лева.</w:t>
      </w:r>
    </w:p>
    <w:p w14:paraId="6C408F83" w14:textId="27265685" w:rsidR="003C48A1" w:rsidRPr="006A5859" w:rsidRDefault="003C48A1" w:rsidP="00EE1228">
      <w:pPr>
        <w:tabs>
          <w:tab w:val="left" w:pos="540"/>
        </w:tabs>
        <w:ind w:firstLine="567"/>
        <w:jc w:val="both"/>
      </w:pPr>
      <w:r w:rsidRPr="006A5859">
        <w:t xml:space="preserve">Към края на </w:t>
      </w:r>
      <w:r w:rsidR="006A5859" w:rsidRPr="006A5859">
        <w:t>деветмесечието</w:t>
      </w:r>
      <w:r w:rsidRPr="006A5859">
        <w:t xml:space="preserve"> на 2024 г. предоставените трансфери са възлиза</w:t>
      </w:r>
      <w:r w:rsidR="00F83E26">
        <w:t>ли</w:t>
      </w:r>
      <w:r w:rsidRPr="006A5859">
        <w:t xml:space="preserve"> на </w:t>
      </w:r>
      <w:r w:rsidR="006A5859" w:rsidRPr="006A5859">
        <w:t>114,6</w:t>
      </w:r>
      <w:r w:rsidRPr="006A5859">
        <w:t xml:space="preserve"> млн.</w:t>
      </w:r>
      <w:r w:rsidR="006A5859" w:rsidRPr="006A5859">
        <w:t> </w:t>
      </w:r>
      <w:r w:rsidRPr="006A5859">
        <w:t>лева.</w:t>
      </w:r>
    </w:p>
    <w:p w14:paraId="03CE7314" w14:textId="77777777" w:rsidR="003C48A1" w:rsidRPr="006A5859" w:rsidRDefault="003C48A1" w:rsidP="003C48A1">
      <w:pPr>
        <w:tabs>
          <w:tab w:val="left" w:pos="540"/>
        </w:tabs>
        <w:jc w:val="both"/>
      </w:pPr>
    </w:p>
    <w:p w14:paraId="22217BB1" w14:textId="6409FB0C" w:rsidR="003C48A1" w:rsidRDefault="003C48A1" w:rsidP="00A6525E">
      <w:pPr>
        <w:numPr>
          <w:ilvl w:val="0"/>
          <w:numId w:val="17"/>
        </w:numPr>
        <w:spacing w:before="120" w:after="120" w:line="276" w:lineRule="auto"/>
        <w:ind w:left="780"/>
        <w:contextualSpacing/>
        <w:jc w:val="both"/>
        <w:rPr>
          <w:b/>
          <w:lang w:eastAsia="bg-BG"/>
        </w:rPr>
      </w:pPr>
      <w:r w:rsidRPr="006A5859">
        <w:rPr>
          <w:b/>
          <w:lang w:eastAsia="bg-BG"/>
        </w:rPr>
        <w:t>Финансиране</w:t>
      </w:r>
    </w:p>
    <w:p w14:paraId="4FD6A7B9" w14:textId="77777777" w:rsidR="00602B13" w:rsidRPr="00602B13" w:rsidRDefault="00602B13" w:rsidP="00602B13">
      <w:pPr>
        <w:numPr>
          <w:ilvl w:val="0"/>
          <w:numId w:val="16"/>
        </w:numPr>
        <w:tabs>
          <w:tab w:val="left" w:pos="993"/>
        </w:tabs>
        <w:spacing w:before="120" w:after="120"/>
        <w:ind w:left="851" w:hanging="425"/>
        <w:jc w:val="both"/>
        <w:rPr>
          <w:b/>
          <w:i/>
          <w:lang w:eastAsia="bg-BG"/>
        </w:rPr>
      </w:pPr>
      <w:r w:rsidRPr="00602B13">
        <w:rPr>
          <w:b/>
          <w:i/>
          <w:lang w:eastAsia="bg-BG"/>
        </w:rPr>
        <w:t>Събрани средства и извършени плащания за сметка на други бюджети</w:t>
      </w:r>
    </w:p>
    <w:p w14:paraId="78ED501A" w14:textId="10C962F4" w:rsidR="00602B13" w:rsidRPr="002F2E32" w:rsidRDefault="00602B13" w:rsidP="00602B13">
      <w:pPr>
        <w:tabs>
          <w:tab w:val="left" w:pos="851"/>
        </w:tabs>
        <w:spacing w:before="120" w:after="120"/>
        <w:ind w:firstLine="426"/>
        <w:jc w:val="both"/>
        <w:rPr>
          <w:b/>
          <w:lang w:eastAsia="bg-BG"/>
        </w:rPr>
      </w:pPr>
      <w:r w:rsidRPr="002F2E32">
        <w:rPr>
          <w:b/>
          <w:lang w:eastAsia="bg-BG"/>
        </w:rPr>
        <w:tab/>
      </w:r>
      <w:r w:rsidRPr="002F2E32">
        <w:rPr>
          <w:lang w:eastAsia="bg-BG"/>
        </w:rPr>
        <w:t>Към 30.09.2025</w:t>
      </w:r>
      <w:r>
        <w:rPr>
          <w:lang w:eastAsia="bg-BG"/>
        </w:rPr>
        <w:t xml:space="preserve"> </w:t>
      </w:r>
      <w:r w:rsidRPr="002F2E32">
        <w:rPr>
          <w:lang w:eastAsia="bg-BG"/>
        </w:rPr>
        <w:t>г. сумата за събрани средства и извършени плащания за сметка на други бюджети възлиза нето на минус 34,4 млн.</w:t>
      </w:r>
      <w:r>
        <w:rPr>
          <w:lang w:eastAsia="bg-BG"/>
        </w:rPr>
        <w:t xml:space="preserve"> </w:t>
      </w:r>
      <w:r w:rsidRPr="002F2E32">
        <w:rPr>
          <w:lang w:eastAsia="bg-BG"/>
        </w:rPr>
        <w:t>л</w:t>
      </w:r>
      <w:r>
        <w:rPr>
          <w:lang w:eastAsia="bg-BG"/>
        </w:rPr>
        <w:t>е</w:t>
      </w:r>
      <w:r w:rsidRPr="002F2E32">
        <w:rPr>
          <w:lang w:eastAsia="bg-BG"/>
        </w:rPr>
        <w:t>в</w:t>
      </w:r>
      <w:r>
        <w:rPr>
          <w:lang w:eastAsia="bg-BG"/>
        </w:rPr>
        <w:t>а</w:t>
      </w:r>
      <w:r w:rsidRPr="002F2E32">
        <w:rPr>
          <w:lang w:eastAsia="bg-BG"/>
        </w:rPr>
        <w:t>.</w:t>
      </w:r>
    </w:p>
    <w:p w14:paraId="7992FC54" w14:textId="74A2CEA0" w:rsidR="003C48A1" w:rsidRDefault="003C48A1" w:rsidP="00A6525E">
      <w:pPr>
        <w:numPr>
          <w:ilvl w:val="0"/>
          <w:numId w:val="16"/>
        </w:numPr>
        <w:tabs>
          <w:tab w:val="left" w:pos="993"/>
        </w:tabs>
        <w:spacing w:before="120" w:after="120"/>
        <w:ind w:left="851" w:hanging="425"/>
        <w:jc w:val="both"/>
        <w:rPr>
          <w:b/>
          <w:i/>
          <w:lang w:eastAsia="bg-BG"/>
        </w:rPr>
      </w:pPr>
      <w:r w:rsidRPr="00602B13">
        <w:rPr>
          <w:b/>
          <w:i/>
          <w:lang w:eastAsia="bg-BG"/>
        </w:rPr>
        <w:t>Суми по разчети за поети осигурителни вноски и данъци</w:t>
      </w:r>
    </w:p>
    <w:p w14:paraId="16E72A37" w14:textId="65BD2017" w:rsidR="003C48A1" w:rsidRPr="00602B13" w:rsidRDefault="003C48A1" w:rsidP="00EE1228">
      <w:pPr>
        <w:ind w:firstLine="567"/>
        <w:jc w:val="both"/>
        <w:rPr>
          <w:lang w:eastAsia="bg-BG"/>
        </w:rPr>
      </w:pPr>
      <w:r w:rsidRPr="00602B13">
        <w:rPr>
          <w:lang w:eastAsia="bg-BG"/>
        </w:rPr>
        <w:lastRenderedPageBreak/>
        <w:t xml:space="preserve">Към края на </w:t>
      </w:r>
      <w:r w:rsidR="00602B13" w:rsidRPr="00602B13">
        <w:rPr>
          <w:lang w:eastAsia="bg-BG"/>
        </w:rPr>
        <w:t>трет</w:t>
      </w:r>
      <w:r w:rsidRPr="00602B13">
        <w:rPr>
          <w:lang w:eastAsia="bg-BG"/>
        </w:rPr>
        <w:t xml:space="preserve">ото тримесечие на 2025 г. сумата по разчети за поети данъци, формирани от удържан и внесен окончателен данък на физически лица, съгл. чл. 65, ал. 14 от ЗДДФЛ възлиза нето на </w:t>
      </w:r>
      <w:r w:rsidR="00602B13" w:rsidRPr="00602B13">
        <w:rPr>
          <w:lang w:eastAsia="bg-BG"/>
        </w:rPr>
        <w:t>-</w:t>
      </w:r>
      <w:r w:rsidRPr="00602B13">
        <w:rPr>
          <w:lang w:eastAsia="bg-BG"/>
        </w:rPr>
        <w:t>0,</w:t>
      </w:r>
      <w:r w:rsidR="00602B13" w:rsidRPr="00602B13">
        <w:rPr>
          <w:lang w:eastAsia="bg-BG"/>
        </w:rPr>
        <w:t>0</w:t>
      </w:r>
      <w:r w:rsidRPr="00602B13">
        <w:rPr>
          <w:lang w:val="ru-RU" w:eastAsia="bg-BG"/>
        </w:rPr>
        <w:t xml:space="preserve">2 </w:t>
      </w:r>
      <w:r w:rsidRPr="00602B13">
        <w:rPr>
          <w:lang w:eastAsia="bg-BG"/>
        </w:rPr>
        <w:t>млн. лева.</w:t>
      </w:r>
    </w:p>
    <w:p w14:paraId="3D4B31A9" w14:textId="77777777" w:rsidR="003C48A1" w:rsidRPr="00602B13" w:rsidRDefault="003C48A1" w:rsidP="00A6525E">
      <w:pPr>
        <w:numPr>
          <w:ilvl w:val="0"/>
          <w:numId w:val="16"/>
        </w:numPr>
        <w:tabs>
          <w:tab w:val="left" w:pos="993"/>
        </w:tabs>
        <w:spacing w:before="120" w:after="120"/>
        <w:ind w:left="851" w:hanging="425"/>
        <w:jc w:val="both"/>
        <w:rPr>
          <w:b/>
          <w:i/>
          <w:lang w:eastAsia="bg-BG"/>
        </w:rPr>
      </w:pPr>
      <w:r w:rsidRPr="00602B13">
        <w:rPr>
          <w:b/>
          <w:i/>
          <w:lang w:eastAsia="bg-BG"/>
        </w:rPr>
        <w:t>Друго финансиране</w:t>
      </w:r>
    </w:p>
    <w:p w14:paraId="08BCE449" w14:textId="3B23244F" w:rsidR="003C48A1" w:rsidRPr="00AA7164" w:rsidRDefault="003C48A1" w:rsidP="00EE1228">
      <w:pPr>
        <w:ind w:firstLine="567"/>
        <w:jc w:val="both"/>
        <w:rPr>
          <w:lang w:eastAsia="bg-BG"/>
        </w:rPr>
      </w:pPr>
      <w:r w:rsidRPr="00AA7164">
        <w:rPr>
          <w:lang w:eastAsia="bg-BG"/>
        </w:rPr>
        <w:t>За периода 01.01-30.0</w:t>
      </w:r>
      <w:r w:rsidR="00AA7164" w:rsidRPr="00AA7164">
        <w:rPr>
          <w:lang w:eastAsia="bg-BG"/>
        </w:rPr>
        <w:t>9</w:t>
      </w:r>
      <w:r w:rsidRPr="00AA7164">
        <w:rPr>
          <w:lang w:eastAsia="bg-BG"/>
        </w:rPr>
        <w:t xml:space="preserve">.2025 г. извършените плащания, възстановените суми, разчетът с централния бюджет и операциите с чужди средства, включени в отчетността в „Друго финансиране“ възлизат общо на </w:t>
      </w:r>
      <w:r w:rsidR="00AA7164" w:rsidRPr="00AA7164">
        <w:rPr>
          <w:lang w:eastAsia="bg-BG"/>
        </w:rPr>
        <w:t>276,0</w:t>
      </w:r>
      <w:r w:rsidRPr="00AA7164">
        <w:rPr>
          <w:lang w:eastAsia="bg-BG"/>
        </w:rPr>
        <w:t xml:space="preserve"> млн. лв., при планирани 525,6 млн. лева.</w:t>
      </w:r>
    </w:p>
    <w:p w14:paraId="518E675C" w14:textId="40E8FA28" w:rsidR="003C48A1" w:rsidRPr="00AA7164" w:rsidRDefault="003C48A1" w:rsidP="00EE1228">
      <w:pPr>
        <w:ind w:firstLine="567"/>
        <w:jc w:val="both"/>
        <w:rPr>
          <w:lang w:eastAsia="bg-BG"/>
        </w:rPr>
      </w:pPr>
      <w:r w:rsidRPr="00AA7164">
        <w:rPr>
          <w:lang w:eastAsia="bg-BG"/>
        </w:rPr>
        <w:t>Към 30.0</w:t>
      </w:r>
      <w:r w:rsidR="00AA7164" w:rsidRPr="00AA7164">
        <w:rPr>
          <w:lang w:eastAsia="bg-BG"/>
        </w:rPr>
        <w:t>9</w:t>
      </w:r>
      <w:r w:rsidRPr="00AA7164">
        <w:rPr>
          <w:lang w:eastAsia="bg-BG"/>
        </w:rPr>
        <w:t xml:space="preserve">.2025 г. са отчетени плащания в общ размер </w:t>
      </w:r>
      <w:r w:rsidR="00AA7164" w:rsidRPr="00AA7164">
        <w:rPr>
          <w:lang w:eastAsia="bg-BG"/>
        </w:rPr>
        <w:t>1 031,0</w:t>
      </w:r>
      <w:r w:rsidRPr="00AA7164">
        <w:rPr>
          <w:lang w:eastAsia="bg-BG"/>
        </w:rPr>
        <w:t xml:space="preserve"> млн. лв., представляващи </w:t>
      </w:r>
      <w:r w:rsidRPr="00AA7164">
        <w:rPr>
          <w:lang w:val="ru-RU" w:eastAsia="bg-BG"/>
        </w:rPr>
        <w:t>5</w:t>
      </w:r>
      <w:r w:rsidR="00AA7164" w:rsidRPr="00AA7164">
        <w:rPr>
          <w:lang w:val="ru-RU" w:eastAsia="bg-BG"/>
        </w:rPr>
        <w:t>2,2</w:t>
      </w:r>
      <w:r w:rsidRPr="00AA7164">
        <w:rPr>
          <w:lang w:val="ru-RU" w:eastAsia="bg-BG"/>
        </w:rPr>
        <w:t> </w:t>
      </w:r>
      <w:r w:rsidRPr="00AA7164">
        <w:rPr>
          <w:lang w:eastAsia="bg-BG"/>
        </w:rPr>
        <w:t>% от годишните разчети, които са 1 974,1 млн. лв. За същия период на 2024 г. плащанията, отчитани като финансиране са били 1</w:t>
      </w:r>
      <w:r w:rsidR="00AA7164" w:rsidRPr="00AA7164">
        <w:rPr>
          <w:lang w:eastAsia="bg-BG"/>
        </w:rPr>
        <w:t> 116,9</w:t>
      </w:r>
      <w:r w:rsidRPr="00AA7164">
        <w:rPr>
          <w:lang w:eastAsia="bg-BG"/>
        </w:rPr>
        <w:t xml:space="preserve"> млн. лева.</w:t>
      </w:r>
    </w:p>
    <w:p w14:paraId="5F202004" w14:textId="77777777" w:rsidR="003C48A1" w:rsidRPr="00AA7164" w:rsidRDefault="003C48A1" w:rsidP="00EE1228">
      <w:pPr>
        <w:ind w:firstLine="567"/>
        <w:jc w:val="both"/>
        <w:rPr>
          <w:szCs w:val="20"/>
        </w:rPr>
      </w:pPr>
      <w:r w:rsidRPr="00AA7164">
        <w:rPr>
          <w:szCs w:val="20"/>
        </w:rPr>
        <w:t>Отчетените плащания са по следните направления:</w:t>
      </w:r>
    </w:p>
    <w:p w14:paraId="6E79335C" w14:textId="6D1C85F6" w:rsidR="003C48A1" w:rsidRPr="00AA7164" w:rsidRDefault="003C48A1" w:rsidP="00A6525E">
      <w:pPr>
        <w:numPr>
          <w:ilvl w:val="0"/>
          <w:numId w:val="18"/>
        </w:numPr>
        <w:tabs>
          <w:tab w:val="left" w:pos="993"/>
        </w:tabs>
        <w:ind w:left="0" w:firstLine="709"/>
        <w:jc w:val="both"/>
        <w:rPr>
          <w:szCs w:val="20"/>
        </w:rPr>
      </w:pPr>
      <w:r w:rsidRPr="00AA7164">
        <w:rPr>
          <w:szCs w:val="20"/>
          <w:lang w:val="ru-RU"/>
        </w:rPr>
        <w:t>8</w:t>
      </w:r>
      <w:r w:rsidR="00AA7164" w:rsidRPr="00AA7164">
        <w:rPr>
          <w:szCs w:val="20"/>
          <w:lang w:val="ru-RU"/>
        </w:rPr>
        <w:t>80,5</w:t>
      </w:r>
      <w:r w:rsidRPr="00AA7164">
        <w:rPr>
          <w:szCs w:val="20"/>
        </w:rPr>
        <w:t xml:space="preserve"> млн. лв. за директни плащания за сметка на ЕФГЗ, представляващи </w:t>
      </w:r>
      <w:r w:rsidRPr="00AA7164">
        <w:rPr>
          <w:szCs w:val="20"/>
          <w:lang w:val="ru-RU"/>
        </w:rPr>
        <w:t>5</w:t>
      </w:r>
      <w:r w:rsidR="00AA7164" w:rsidRPr="00AA7164">
        <w:rPr>
          <w:szCs w:val="20"/>
          <w:lang w:val="ru-RU"/>
        </w:rPr>
        <w:t>4,1</w:t>
      </w:r>
      <w:r w:rsidRPr="00AA7164">
        <w:rPr>
          <w:szCs w:val="20"/>
          <w:lang w:val="ru-RU"/>
        </w:rPr>
        <w:t xml:space="preserve"> </w:t>
      </w:r>
      <w:r w:rsidRPr="00AA7164">
        <w:rPr>
          <w:szCs w:val="20"/>
        </w:rPr>
        <w:t>% от планираните 1 627,1 млн. лв.;</w:t>
      </w:r>
    </w:p>
    <w:p w14:paraId="3AB43E91" w14:textId="32E58AFC" w:rsidR="003C48A1" w:rsidRPr="00AA7164" w:rsidRDefault="003C48A1" w:rsidP="00A6525E">
      <w:pPr>
        <w:numPr>
          <w:ilvl w:val="0"/>
          <w:numId w:val="18"/>
        </w:numPr>
        <w:tabs>
          <w:tab w:val="left" w:pos="993"/>
        </w:tabs>
        <w:ind w:left="0" w:firstLine="709"/>
        <w:jc w:val="both"/>
        <w:rPr>
          <w:szCs w:val="20"/>
        </w:rPr>
      </w:pPr>
      <w:r w:rsidRPr="00AA7164">
        <w:rPr>
          <w:szCs w:val="20"/>
          <w:lang w:val="ru-RU"/>
        </w:rPr>
        <w:t>9</w:t>
      </w:r>
      <w:r w:rsidR="00AA7164" w:rsidRPr="00AA7164">
        <w:rPr>
          <w:szCs w:val="20"/>
          <w:lang w:val="ru-RU"/>
        </w:rPr>
        <w:t>8,2</w:t>
      </w:r>
      <w:r w:rsidRPr="00AA7164">
        <w:rPr>
          <w:szCs w:val="20"/>
        </w:rPr>
        <w:t xml:space="preserve"> млн. лв. средства от ЕЗФРСР, прехвърлени към директни плащания, което е </w:t>
      </w:r>
      <w:r w:rsidRPr="00AA7164">
        <w:rPr>
          <w:szCs w:val="20"/>
          <w:lang w:val="ru-RU"/>
        </w:rPr>
        <w:t>35,</w:t>
      </w:r>
      <w:r w:rsidR="00AA7164" w:rsidRPr="00AA7164">
        <w:rPr>
          <w:szCs w:val="20"/>
          <w:lang w:val="ru-RU"/>
        </w:rPr>
        <w:t>7</w:t>
      </w:r>
      <w:r w:rsidR="00F26C88">
        <w:rPr>
          <w:szCs w:val="20"/>
          <w:lang w:val="ru-RU"/>
        </w:rPr>
        <w:t> </w:t>
      </w:r>
      <w:r w:rsidRPr="00AA7164">
        <w:rPr>
          <w:szCs w:val="20"/>
        </w:rPr>
        <w:t>% от планираните  275,1 млн. лв.;</w:t>
      </w:r>
    </w:p>
    <w:p w14:paraId="2FD11B1E" w14:textId="209B5AE4" w:rsidR="003C48A1" w:rsidRPr="00AA7164" w:rsidRDefault="00AA7164" w:rsidP="00A6525E">
      <w:pPr>
        <w:numPr>
          <w:ilvl w:val="0"/>
          <w:numId w:val="18"/>
        </w:numPr>
        <w:tabs>
          <w:tab w:val="left" w:pos="993"/>
        </w:tabs>
        <w:ind w:left="0" w:firstLine="709"/>
        <w:jc w:val="both"/>
        <w:rPr>
          <w:szCs w:val="20"/>
        </w:rPr>
      </w:pPr>
      <w:r w:rsidRPr="00AA7164">
        <w:rPr>
          <w:szCs w:val="20"/>
          <w:lang w:val="ru-RU"/>
        </w:rPr>
        <w:t>37,8</w:t>
      </w:r>
      <w:r w:rsidR="003C48A1" w:rsidRPr="00AA7164">
        <w:rPr>
          <w:szCs w:val="20"/>
        </w:rPr>
        <w:t xml:space="preserve"> млн. лв. за пазарни мерки при разчет за плащания в размер 45,4 млн. лв. изпълнение </w:t>
      </w:r>
      <w:r w:rsidRPr="00AA7164">
        <w:rPr>
          <w:szCs w:val="20"/>
        </w:rPr>
        <w:t>83,3</w:t>
      </w:r>
      <w:r w:rsidR="003C48A1" w:rsidRPr="00AA7164">
        <w:rPr>
          <w:szCs w:val="20"/>
          <w:lang w:val="ru-RU"/>
        </w:rPr>
        <w:t xml:space="preserve"> </w:t>
      </w:r>
      <w:r w:rsidR="003C48A1" w:rsidRPr="00AA7164">
        <w:rPr>
          <w:szCs w:val="20"/>
        </w:rPr>
        <w:t>%;</w:t>
      </w:r>
    </w:p>
    <w:p w14:paraId="040A0A98" w14:textId="4B89F7D5" w:rsidR="003C48A1" w:rsidRPr="005C5566" w:rsidRDefault="003C48A1" w:rsidP="00A6525E">
      <w:pPr>
        <w:numPr>
          <w:ilvl w:val="0"/>
          <w:numId w:val="18"/>
        </w:numPr>
        <w:tabs>
          <w:tab w:val="left" w:pos="993"/>
        </w:tabs>
        <w:ind w:left="0" w:firstLine="709"/>
        <w:jc w:val="both"/>
        <w:rPr>
          <w:szCs w:val="20"/>
        </w:rPr>
      </w:pPr>
      <w:r w:rsidRPr="00AA7164">
        <w:rPr>
          <w:szCs w:val="20"/>
          <w:lang w:val="ru-RU"/>
        </w:rPr>
        <w:t>1</w:t>
      </w:r>
      <w:r w:rsidR="00AA7164" w:rsidRPr="00AA7164">
        <w:rPr>
          <w:szCs w:val="20"/>
          <w:lang w:val="ru-RU"/>
        </w:rPr>
        <w:t>4,5</w:t>
      </w:r>
      <w:r w:rsidRPr="00AA7164">
        <w:rPr>
          <w:szCs w:val="20"/>
        </w:rPr>
        <w:t xml:space="preserve"> млн. лв. за преструктуриране, изпълнение </w:t>
      </w:r>
      <w:r w:rsidR="00AA7164" w:rsidRPr="00AA7164">
        <w:rPr>
          <w:szCs w:val="20"/>
        </w:rPr>
        <w:t>54,7</w:t>
      </w:r>
      <w:r w:rsidRPr="00AA7164">
        <w:rPr>
          <w:szCs w:val="20"/>
          <w:lang w:val="ru-RU"/>
        </w:rPr>
        <w:t xml:space="preserve"> </w:t>
      </w:r>
      <w:r w:rsidRPr="00AA7164">
        <w:rPr>
          <w:szCs w:val="20"/>
        </w:rPr>
        <w:t>% от планираните плащания в размер 26,5 млн. лв.</w:t>
      </w:r>
    </w:p>
    <w:p w14:paraId="104521A5" w14:textId="1E4A2C0D" w:rsidR="003C48A1" w:rsidRPr="000542B4" w:rsidRDefault="003C48A1" w:rsidP="00EE1228">
      <w:pPr>
        <w:tabs>
          <w:tab w:val="left" w:pos="709"/>
        </w:tabs>
        <w:ind w:firstLine="567"/>
        <w:jc w:val="both"/>
        <w:rPr>
          <w:lang w:eastAsia="bg-BG"/>
        </w:rPr>
      </w:pPr>
      <w:r w:rsidRPr="005C5566">
        <w:rPr>
          <w:lang w:eastAsia="bg-BG"/>
        </w:rPr>
        <w:t>Възстановените суми от Европейския съюз към 30.0</w:t>
      </w:r>
      <w:r w:rsidR="005C5566" w:rsidRPr="005C5566">
        <w:rPr>
          <w:lang w:eastAsia="bg-BG"/>
        </w:rPr>
        <w:t>9</w:t>
      </w:r>
      <w:r w:rsidRPr="005C5566">
        <w:rPr>
          <w:lang w:eastAsia="bg-BG"/>
        </w:rPr>
        <w:t xml:space="preserve">.2025 г. възлизат общо на </w:t>
      </w:r>
      <w:r w:rsidRPr="005C5566">
        <w:rPr>
          <w:lang w:val="ru-RU" w:eastAsia="bg-BG"/>
        </w:rPr>
        <w:t>1</w:t>
      </w:r>
      <w:r w:rsidR="005C5566" w:rsidRPr="005C5566">
        <w:rPr>
          <w:lang w:val="en-US" w:eastAsia="bg-BG"/>
        </w:rPr>
        <w:t> </w:t>
      </w:r>
      <w:r w:rsidR="005C5566" w:rsidRPr="005C5566">
        <w:rPr>
          <w:lang w:eastAsia="bg-BG"/>
        </w:rPr>
        <w:t>731,7</w:t>
      </w:r>
      <w:r w:rsidR="00F26C88">
        <w:rPr>
          <w:lang w:eastAsia="bg-BG"/>
        </w:rPr>
        <w:t> </w:t>
      </w:r>
      <w:r w:rsidRPr="005C5566">
        <w:rPr>
          <w:lang w:eastAsia="bg-BG"/>
        </w:rPr>
        <w:t xml:space="preserve">млн. лв., </w:t>
      </w:r>
      <w:r w:rsidRPr="000542B4">
        <w:rPr>
          <w:lang w:eastAsia="bg-BG"/>
        </w:rPr>
        <w:t xml:space="preserve">представляващи </w:t>
      </w:r>
      <w:r w:rsidR="005C5566" w:rsidRPr="000542B4">
        <w:rPr>
          <w:lang w:eastAsia="bg-BG"/>
        </w:rPr>
        <w:t>94,1</w:t>
      </w:r>
      <w:r w:rsidRPr="000542B4">
        <w:rPr>
          <w:lang w:val="ru-RU" w:eastAsia="bg-BG"/>
        </w:rPr>
        <w:t xml:space="preserve"> </w:t>
      </w:r>
      <w:r w:rsidRPr="000542B4">
        <w:rPr>
          <w:lang w:eastAsia="bg-BG"/>
        </w:rPr>
        <w:t>% от планираните 1 841,</w:t>
      </w:r>
      <w:r w:rsidR="00707FBE" w:rsidRPr="000542B4">
        <w:rPr>
          <w:lang w:val="ru-RU" w:eastAsia="bg-BG"/>
        </w:rPr>
        <w:t>2</w:t>
      </w:r>
      <w:r w:rsidRPr="000542B4">
        <w:rPr>
          <w:lang w:eastAsia="bg-BG"/>
        </w:rPr>
        <w:t xml:space="preserve"> млн. лева. Отчетеното изпълнение за периода 01.01-30.0</w:t>
      </w:r>
      <w:r w:rsidR="005C5566" w:rsidRPr="000542B4">
        <w:rPr>
          <w:lang w:eastAsia="bg-BG"/>
        </w:rPr>
        <w:t>9</w:t>
      </w:r>
      <w:r w:rsidRPr="000542B4">
        <w:rPr>
          <w:lang w:eastAsia="bg-BG"/>
        </w:rPr>
        <w:t xml:space="preserve">.2024 г. е </w:t>
      </w:r>
      <w:r w:rsidR="005C5566" w:rsidRPr="000542B4">
        <w:rPr>
          <w:lang w:eastAsia="bg-BG"/>
        </w:rPr>
        <w:t>1 670,4</w:t>
      </w:r>
      <w:r w:rsidRPr="000542B4">
        <w:rPr>
          <w:lang w:eastAsia="bg-BG"/>
        </w:rPr>
        <w:t xml:space="preserve"> млн. лева.</w:t>
      </w:r>
    </w:p>
    <w:p w14:paraId="472861CD" w14:textId="05DA1897" w:rsidR="003C48A1" w:rsidRPr="000542B4" w:rsidRDefault="003C48A1" w:rsidP="00EE1228">
      <w:pPr>
        <w:tabs>
          <w:tab w:val="left" w:pos="709"/>
        </w:tabs>
        <w:ind w:firstLine="567"/>
        <w:jc w:val="both"/>
        <w:rPr>
          <w:lang w:eastAsia="bg-BG"/>
        </w:rPr>
      </w:pPr>
      <w:r w:rsidRPr="000542B4">
        <w:rPr>
          <w:lang w:eastAsia="bg-BG"/>
        </w:rPr>
        <w:t>Възстановени са суми по следните направления:</w:t>
      </w:r>
    </w:p>
    <w:p w14:paraId="733CCB6A" w14:textId="68A5E965" w:rsidR="003C48A1" w:rsidRPr="000542B4" w:rsidRDefault="003C48A1" w:rsidP="00A6525E">
      <w:pPr>
        <w:numPr>
          <w:ilvl w:val="0"/>
          <w:numId w:val="18"/>
        </w:numPr>
        <w:tabs>
          <w:tab w:val="left" w:pos="993"/>
        </w:tabs>
        <w:ind w:left="0" w:firstLine="709"/>
        <w:jc w:val="both"/>
        <w:rPr>
          <w:lang w:eastAsia="bg-BG"/>
        </w:rPr>
      </w:pPr>
      <w:r w:rsidRPr="000542B4">
        <w:rPr>
          <w:lang w:val="ru-RU" w:eastAsia="bg-BG"/>
        </w:rPr>
        <w:t>1</w:t>
      </w:r>
      <w:r w:rsidR="000542B4" w:rsidRPr="000542B4">
        <w:rPr>
          <w:lang w:val="en-US" w:eastAsia="bg-BG"/>
        </w:rPr>
        <w:t> </w:t>
      </w:r>
      <w:r w:rsidR="000542B4" w:rsidRPr="000542B4">
        <w:rPr>
          <w:lang w:eastAsia="bg-BG"/>
        </w:rPr>
        <w:t>575,4</w:t>
      </w:r>
      <w:r w:rsidRPr="000542B4">
        <w:rPr>
          <w:lang w:eastAsia="bg-BG"/>
        </w:rPr>
        <w:t xml:space="preserve"> млн. лв. за директни плащания от ЕФГЗ, </w:t>
      </w:r>
      <w:r w:rsidR="000542B4" w:rsidRPr="000542B4">
        <w:rPr>
          <w:lang w:eastAsia="bg-BG"/>
        </w:rPr>
        <w:t>97,2</w:t>
      </w:r>
      <w:r w:rsidRPr="000542B4">
        <w:rPr>
          <w:lang w:val="ru-RU" w:eastAsia="bg-BG"/>
        </w:rPr>
        <w:t xml:space="preserve"> </w:t>
      </w:r>
      <w:r w:rsidRPr="000542B4">
        <w:rPr>
          <w:lang w:eastAsia="bg-BG"/>
        </w:rPr>
        <w:t>% от планираните 1 621</w:t>
      </w:r>
      <w:r w:rsidRPr="000542B4">
        <w:rPr>
          <w:lang w:val="ru-RU" w:eastAsia="bg-BG"/>
        </w:rPr>
        <w:t>,1</w:t>
      </w:r>
      <w:r w:rsidRPr="000542B4">
        <w:rPr>
          <w:lang w:eastAsia="bg-BG"/>
        </w:rPr>
        <w:t xml:space="preserve"> млн. лв.;</w:t>
      </w:r>
    </w:p>
    <w:p w14:paraId="7E548875" w14:textId="36BE979D" w:rsidR="003C48A1" w:rsidRPr="000542B4" w:rsidRDefault="000542B4" w:rsidP="00A6525E">
      <w:pPr>
        <w:numPr>
          <w:ilvl w:val="0"/>
          <w:numId w:val="18"/>
        </w:numPr>
        <w:tabs>
          <w:tab w:val="left" w:pos="709"/>
          <w:tab w:val="left" w:pos="993"/>
        </w:tabs>
        <w:ind w:left="0" w:firstLine="709"/>
        <w:jc w:val="both"/>
        <w:rPr>
          <w:lang w:eastAsia="bg-BG"/>
        </w:rPr>
      </w:pPr>
      <w:r w:rsidRPr="000542B4">
        <w:rPr>
          <w:lang w:val="ru-RU" w:eastAsia="bg-BG"/>
        </w:rPr>
        <w:t>1</w:t>
      </w:r>
      <w:r w:rsidR="003C48A1" w:rsidRPr="000542B4">
        <w:rPr>
          <w:lang w:val="ru-RU" w:eastAsia="bg-BG"/>
        </w:rPr>
        <w:t>1</w:t>
      </w:r>
      <w:r w:rsidRPr="000542B4">
        <w:rPr>
          <w:lang w:val="ru-RU" w:eastAsia="bg-BG"/>
        </w:rPr>
        <w:t>9</w:t>
      </w:r>
      <w:r w:rsidR="003C48A1" w:rsidRPr="000542B4">
        <w:rPr>
          <w:lang w:val="ru-RU" w:eastAsia="bg-BG"/>
        </w:rPr>
        <w:t>,6</w:t>
      </w:r>
      <w:r w:rsidR="003C48A1" w:rsidRPr="000542B4">
        <w:rPr>
          <w:lang w:eastAsia="bg-BG"/>
        </w:rPr>
        <w:t xml:space="preserve"> млн. лв. от ЕЗФРСР, прехвърлени към директни плащания – </w:t>
      </w:r>
      <w:r w:rsidRPr="000542B4">
        <w:rPr>
          <w:lang w:eastAsia="bg-BG"/>
        </w:rPr>
        <w:t>8</w:t>
      </w:r>
      <w:r w:rsidR="003C48A1" w:rsidRPr="000542B4">
        <w:rPr>
          <w:lang w:val="ru-RU" w:eastAsia="bg-BG"/>
        </w:rPr>
        <w:t>1,</w:t>
      </w:r>
      <w:r w:rsidRPr="000542B4">
        <w:rPr>
          <w:lang w:val="ru-RU" w:eastAsia="bg-BG"/>
        </w:rPr>
        <w:t>9</w:t>
      </w:r>
      <w:r w:rsidR="00397654" w:rsidRPr="000542B4">
        <w:rPr>
          <w:lang w:val="ru-RU" w:eastAsia="bg-BG"/>
        </w:rPr>
        <w:t xml:space="preserve"> </w:t>
      </w:r>
      <w:r w:rsidR="003C48A1" w:rsidRPr="000542B4">
        <w:rPr>
          <w:lang w:eastAsia="bg-BG"/>
        </w:rPr>
        <w:t>% от заложените 146,0 млн. лв.;</w:t>
      </w:r>
    </w:p>
    <w:p w14:paraId="0C03E086" w14:textId="226C0DDD" w:rsidR="003C48A1" w:rsidRPr="000542B4" w:rsidRDefault="003C48A1" w:rsidP="00A6525E">
      <w:pPr>
        <w:numPr>
          <w:ilvl w:val="0"/>
          <w:numId w:val="18"/>
        </w:numPr>
        <w:tabs>
          <w:tab w:val="left" w:pos="709"/>
          <w:tab w:val="left" w:pos="993"/>
        </w:tabs>
        <w:ind w:left="0" w:firstLine="709"/>
        <w:jc w:val="both"/>
        <w:rPr>
          <w:lang w:eastAsia="bg-BG"/>
        </w:rPr>
      </w:pPr>
      <w:r w:rsidRPr="000542B4">
        <w:rPr>
          <w:lang w:val="ru-RU" w:eastAsia="bg-BG"/>
        </w:rPr>
        <w:t>2</w:t>
      </w:r>
      <w:r w:rsidR="000542B4" w:rsidRPr="000542B4">
        <w:rPr>
          <w:lang w:val="ru-RU" w:eastAsia="bg-BG"/>
        </w:rPr>
        <w:t>5,4</w:t>
      </w:r>
      <w:r w:rsidRPr="000542B4">
        <w:rPr>
          <w:lang w:eastAsia="bg-BG"/>
        </w:rPr>
        <w:t xml:space="preserve"> млн. лв. за пазарни мерки от ЕФГЗ при планирани 47,9 млн. лв., степен на изпълнение: </w:t>
      </w:r>
      <w:r w:rsidR="000542B4" w:rsidRPr="000542B4">
        <w:rPr>
          <w:lang w:eastAsia="bg-BG"/>
        </w:rPr>
        <w:t>53,0</w:t>
      </w:r>
      <w:r w:rsidRPr="000542B4">
        <w:rPr>
          <w:lang w:val="ru-RU" w:eastAsia="bg-BG"/>
        </w:rPr>
        <w:t xml:space="preserve"> </w:t>
      </w:r>
      <w:r w:rsidRPr="000542B4">
        <w:rPr>
          <w:lang w:eastAsia="bg-BG"/>
        </w:rPr>
        <w:t>%;</w:t>
      </w:r>
    </w:p>
    <w:p w14:paraId="0BC93D70" w14:textId="6FC3F429" w:rsidR="003C48A1" w:rsidRPr="000542B4" w:rsidRDefault="000542B4" w:rsidP="00A6525E">
      <w:pPr>
        <w:numPr>
          <w:ilvl w:val="0"/>
          <w:numId w:val="18"/>
        </w:numPr>
        <w:tabs>
          <w:tab w:val="left" w:pos="709"/>
          <w:tab w:val="left" w:pos="993"/>
        </w:tabs>
        <w:ind w:left="0" w:firstLine="709"/>
        <w:jc w:val="both"/>
        <w:rPr>
          <w:lang w:eastAsia="bg-BG"/>
        </w:rPr>
      </w:pPr>
      <w:r w:rsidRPr="000542B4">
        <w:rPr>
          <w:lang w:eastAsia="bg-BG"/>
        </w:rPr>
        <w:t>11,3</w:t>
      </w:r>
      <w:r w:rsidR="003C48A1" w:rsidRPr="000542B4">
        <w:rPr>
          <w:lang w:eastAsia="bg-BG"/>
        </w:rPr>
        <w:t xml:space="preserve"> млн. лв. за преструктуриране от ЕФГЗ при планирани 26,1 млн. лв., изпълнение на плана </w:t>
      </w:r>
      <w:r w:rsidRPr="000542B4">
        <w:rPr>
          <w:lang w:eastAsia="bg-BG"/>
        </w:rPr>
        <w:t>43</w:t>
      </w:r>
      <w:r w:rsidR="003C48A1" w:rsidRPr="000542B4">
        <w:rPr>
          <w:lang w:val="ru-RU" w:eastAsia="bg-BG"/>
        </w:rPr>
        <w:t xml:space="preserve">,3 </w:t>
      </w:r>
      <w:r w:rsidR="003C48A1" w:rsidRPr="000542B4">
        <w:rPr>
          <w:lang w:eastAsia="bg-BG"/>
        </w:rPr>
        <w:t>%.</w:t>
      </w:r>
    </w:p>
    <w:p w14:paraId="4246B37A" w14:textId="31A7A63A" w:rsidR="003C48A1" w:rsidRPr="000542B4" w:rsidRDefault="003C48A1" w:rsidP="00EE1228">
      <w:pPr>
        <w:tabs>
          <w:tab w:val="left" w:pos="709"/>
        </w:tabs>
        <w:spacing w:after="120"/>
        <w:ind w:firstLine="567"/>
        <w:contextualSpacing/>
        <w:jc w:val="both"/>
      </w:pPr>
      <w:r w:rsidRPr="000542B4">
        <w:rPr>
          <w:lang w:eastAsia="bg-BG"/>
        </w:rPr>
        <w:t xml:space="preserve">Предоставените суми (нето) </w:t>
      </w:r>
      <w:r w:rsidRPr="000542B4">
        <w:t>по разчети с ЦБ за финансиране на плащания при недостиг на средства по сметки</w:t>
      </w:r>
      <w:r w:rsidRPr="000542B4">
        <w:rPr>
          <w:lang w:eastAsia="bg-BG"/>
        </w:rPr>
        <w:t xml:space="preserve"> към 30.0</w:t>
      </w:r>
      <w:r w:rsidR="000542B4" w:rsidRPr="000542B4">
        <w:rPr>
          <w:lang w:eastAsia="bg-BG"/>
        </w:rPr>
        <w:t>9</w:t>
      </w:r>
      <w:r w:rsidRPr="000542B4">
        <w:rPr>
          <w:lang w:eastAsia="bg-BG"/>
        </w:rPr>
        <w:t>.2025</w:t>
      </w:r>
      <w:r w:rsidR="000542B4" w:rsidRPr="000542B4">
        <w:rPr>
          <w:lang w:eastAsia="bg-BG"/>
        </w:rPr>
        <w:t xml:space="preserve"> </w:t>
      </w:r>
      <w:r w:rsidRPr="000542B4">
        <w:rPr>
          <w:lang w:eastAsia="bg-BG"/>
        </w:rPr>
        <w:t xml:space="preserve">г. възлизат на </w:t>
      </w:r>
      <w:r w:rsidR="00707FBE" w:rsidRPr="000542B4">
        <w:rPr>
          <w:lang w:val="ru-RU" w:eastAsia="bg-BG"/>
        </w:rPr>
        <w:t>(</w:t>
      </w:r>
      <w:r w:rsidRPr="000542B4">
        <w:rPr>
          <w:lang w:eastAsia="bg-BG"/>
        </w:rPr>
        <w:t xml:space="preserve">– </w:t>
      </w:r>
      <w:r w:rsidR="000542B4" w:rsidRPr="000542B4">
        <w:rPr>
          <w:lang w:eastAsia="bg-BG"/>
        </w:rPr>
        <w:t>424,8</w:t>
      </w:r>
      <w:r w:rsidR="00707FBE" w:rsidRPr="000542B4">
        <w:rPr>
          <w:lang w:val="ru-RU" w:eastAsia="bg-BG"/>
        </w:rPr>
        <w:t>)</w:t>
      </w:r>
      <w:r w:rsidRPr="000542B4">
        <w:rPr>
          <w:lang w:eastAsia="bg-BG"/>
        </w:rPr>
        <w:t xml:space="preserve"> млн. лв., при планирани 658,5 млн. лева.</w:t>
      </w:r>
    </w:p>
    <w:p w14:paraId="2D60153B" w14:textId="77777777" w:rsidR="003C48A1" w:rsidRPr="000542B4" w:rsidRDefault="003C48A1" w:rsidP="003C48A1">
      <w:pPr>
        <w:tabs>
          <w:tab w:val="left" w:pos="540"/>
        </w:tabs>
        <w:spacing w:before="120"/>
        <w:ind w:firstLine="567"/>
        <w:jc w:val="both"/>
      </w:pPr>
      <w:r w:rsidRPr="000542B4">
        <w:rPr>
          <w:lang w:eastAsia="bg-BG"/>
        </w:rPr>
        <w:tab/>
      </w:r>
    </w:p>
    <w:p w14:paraId="5A1B3DF7" w14:textId="77777777" w:rsidR="003C48A1" w:rsidRPr="005A2B2D" w:rsidRDefault="003C48A1" w:rsidP="003C48A1">
      <w:pPr>
        <w:pStyle w:val="Heading1"/>
        <w:numPr>
          <w:ilvl w:val="1"/>
          <w:numId w:val="8"/>
        </w:numPr>
        <w:spacing w:after="120"/>
        <w:ind w:left="792" w:right="-115" w:hanging="432"/>
        <w:jc w:val="both"/>
        <w:rPr>
          <w:sz w:val="24"/>
        </w:rPr>
      </w:pPr>
      <w:bookmarkStart w:id="88" w:name="_Toc83045529"/>
      <w:r w:rsidRPr="005A2B2D">
        <w:rPr>
          <w:sz w:val="24"/>
        </w:rPr>
        <w:t>Сметка за средствата от Европейския съюз на Национален фонд към Министерство на финансите</w:t>
      </w:r>
      <w:bookmarkEnd w:id="88"/>
    </w:p>
    <w:p w14:paraId="118C0946" w14:textId="0A4A700A" w:rsidR="005A2B2D" w:rsidRPr="006E080F" w:rsidRDefault="005A2B2D" w:rsidP="005A2B2D">
      <w:pPr>
        <w:ind w:firstLine="686"/>
        <w:jc w:val="both"/>
        <w:rPr>
          <w:bCs/>
        </w:rPr>
      </w:pPr>
      <w:r w:rsidRPr="006E080F">
        <w:rPr>
          <w:bCs/>
        </w:rPr>
        <w:t>По сметките на НФ към 3</w:t>
      </w:r>
      <w:r w:rsidRPr="006E080F">
        <w:rPr>
          <w:bCs/>
          <w:lang w:val="ru-RU"/>
        </w:rPr>
        <w:t>0</w:t>
      </w:r>
      <w:r w:rsidRPr="006E080F">
        <w:rPr>
          <w:bCs/>
        </w:rPr>
        <w:t>.</w:t>
      </w:r>
      <w:r w:rsidRPr="006E080F">
        <w:rPr>
          <w:bCs/>
          <w:lang w:val="ru-RU"/>
        </w:rPr>
        <w:t>09</w:t>
      </w:r>
      <w:r w:rsidRPr="006E080F">
        <w:rPr>
          <w:bCs/>
        </w:rPr>
        <w:t>.2025 г. са постъпили приходи (нето) в размер на 1</w:t>
      </w:r>
      <w:r>
        <w:rPr>
          <w:bCs/>
        </w:rPr>
        <w:t> </w:t>
      </w:r>
      <w:r w:rsidRPr="006E080F">
        <w:rPr>
          <w:bCs/>
        </w:rPr>
        <w:t>082</w:t>
      </w:r>
      <w:r>
        <w:rPr>
          <w:bCs/>
        </w:rPr>
        <w:t>,</w:t>
      </w:r>
      <w:r w:rsidRPr="006E080F">
        <w:rPr>
          <w:bCs/>
        </w:rPr>
        <w:t>6</w:t>
      </w:r>
      <w:r w:rsidR="00F26C88">
        <w:rPr>
          <w:bCs/>
          <w:lang w:val="ru-RU"/>
        </w:rPr>
        <w:t> </w:t>
      </w:r>
      <w:r w:rsidRPr="006E080F">
        <w:rPr>
          <w:bCs/>
        </w:rPr>
        <w:t>млн.</w:t>
      </w:r>
      <w:r>
        <w:rPr>
          <w:bCs/>
        </w:rPr>
        <w:t> </w:t>
      </w:r>
      <w:r w:rsidRPr="006E080F">
        <w:rPr>
          <w:bCs/>
        </w:rPr>
        <w:t>лв</w:t>
      </w:r>
      <w:r>
        <w:rPr>
          <w:bCs/>
        </w:rPr>
        <w:t>.</w:t>
      </w:r>
      <w:r w:rsidRPr="006E080F">
        <w:rPr>
          <w:bCs/>
        </w:rPr>
        <w:t xml:space="preserve"> по програмите, съфинансирани от Европейския фонд за регионално развитие, Европейския социален фонд (включително Инициативата за младежка заетост), Кохезионния фонд на ЕС за финансовата рамка, както</w:t>
      </w:r>
      <w:r w:rsidR="00E219C6" w:rsidRPr="00E219C6">
        <w:rPr>
          <w:bCs/>
          <w:lang w:val="ru-RU"/>
        </w:rPr>
        <w:t xml:space="preserve"> </w:t>
      </w:r>
      <w:r w:rsidR="00E219C6">
        <w:rPr>
          <w:bCs/>
        </w:rPr>
        <w:t>и</w:t>
      </w:r>
      <w:r w:rsidRPr="006E080F">
        <w:rPr>
          <w:bCs/>
        </w:rPr>
        <w:t xml:space="preserve"> Европейския социален фонд+, ФМ на ЕИП 2014–2021</w:t>
      </w:r>
      <w:r w:rsidR="008576D3">
        <w:rPr>
          <w:bCs/>
        </w:rPr>
        <w:t> </w:t>
      </w:r>
      <w:r w:rsidRPr="006E080F">
        <w:rPr>
          <w:bCs/>
        </w:rPr>
        <w:t>г., НФМ 2014–2021 г. и Швейцарско-българската програма за сътрудничество (ШБПС), като в тази сума са включени и отразените (нето) в отчетността на НФ операции по постъпването по банковите бюджетни сметки на Министерство на регионалното развитие и благоустройството (МРРБ) на чуждото финансиране по двустранните програми за трансгранично сътрудничество по външните граници на EС (ПТСВГ) и изплатените средства от получения ресурс към бенефициенти извън страната.</w:t>
      </w:r>
    </w:p>
    <w:p w14:paraId="444C7395" w14:textId="3B9FE507" w:rsidR="005A2B2D" w:rsidRPr="00FE31F5" w:rsidRDefault="005A2B2D" w:rsidP="005A2B2D">
      <w:pPr>
        <w:ind w:firstLine="686"/>
        <w:jc w:val="both"/>
        <w:rPr>
          <w:bCs/>
        </w:rPr>
      </w:pPr>
      <w:r w:rsidRPr="00FE31F5">
        <w:rPr>
          <w:bCs/>
        </w:rPr>
        <w:t xml:space="preserve">Извършените разходи (нето) за периода с натрупване чрез сметките на НФ възлизат на </w:t>
      </w:r>
      <w:r>
        <w:rPr>
          <w:bCs/>
        </w:rPr>
        <w:t>989</w:t>
      </w:r>
      <w:r w:rsidR="00E219C6">
        <w:rPr>
          <w:bCs/>
        </w:rPr>
        <w:t>,</w:t>
      </w:r>
      <w:r>
        <w:rPr>
          <w:bCs/>
        </w:rPr>
        <w:t>3</w:t>
      </w:r>
      <w:r w:rsidRPr="00FE31F5">
        <w:rPr>
          <w:bCs/>
        </w:rPr>
        <w:t xml:space="preserve"> млн. лева. По видове разходи изпълнението е както следва: 87,54</w:t>
      </w:r>
      <w:r w:rsidR="00E219C6">
        <w:rPr>
          <w:bCs/>
        </w:rPr>
        <w:t xml:space="preserve"> </w:t>
      </w:r>
      <w:r w:rsidRPr="00FE31F5">
        <w:rPr>
          <w:bCs/>
        </w:rPr>
        <w:t xml:space="preserve">% от общата стойност са капиталови трансфери, </w:t>
      </w:r>
      <w:r w:rsidRPr="005A2B2D">
        <w:rPr>
          <w:bCs/>
          <w:lang w:val="ru-RU"/>
        </w:rPr>
        <w:t>1</w:t>
      </w:r>
      <w:r w:rsidRPr="00FE31F5">
        <w:rPr>
          <w:bCs/>
        </w:rPr>
        <w:t>0,89</w:t>
      </w:r>
      <w:r w:rsidR="00E219C6">
        <w:rPr>
          <w:bCs/>
        </w:rPr>
        <w:t xml:space="preserve"> </w:t>
      </w:r>
      <w:r w:rsidRPr="00FE31F5">
        <w:rPr>
          <w:bCs/>
        </w:rPr>
        <w:t>% са субсидии и 1,56</w:t>
      </w:r>
      <w:r w:rsidR="00E219C6">
        <w:rPr>
          <w:bCs/>
        </w:rPr>
        <w:t xml:space="preserve"> </w:t>
      </w:r>
      <w:r w:rsidRPr="00FE31F5">
        <w:rPr>
          <w:bCs/>
        </w:rPr>
        <w:t>% предоставени текущи, капиталови трансфери за чужбина и 0</w:t>
      </w:r>
      <w:r w:rsidR="00E219C6">
        <w:rPr>
          <w:bCs/>
        </w:rPr>
        <w:t>,</w:t>
      </w:r>
      <w:r w:rsidRPr="00FE31F5">
        <w:rPr>
          <w:bCs/>
        </w:rPr>
        <w:t>0001</w:t>
      </w:r>
      <w:r w:rsidR="00E219C6">
        <w:rPr>
          <w:bCs/>
        </w:rPr>
        <w:t xml:space="preserve"> </w:t>
      </w:r>
      <w:r w:rsidRPr="00FE31F5">
        <w:rPr>
          <w:bCs/>
        </w:rPr>
        <w:t>% - издръжка.</w:t>
      </w:r>
    </w:p>
    <w:p w14:paraId="43FAFAF6" w14:textId="121BC309" w:rsidR="005A2B2D" w:rsidRPr="00033D0E" w:rsidRDefault="005A2B2D" w:rsidP="005A2B2D">
      <w:pPr>
        <w:ind w:firstLine="686"/>
        <w:jc w:val="both"/>
        <w:rPr>
          <w:bCs/>
        </w:rPr>
      </w:pPr>
      <w:r w:rsidRPr="00033D0E">
        <w:rPr>
          <w:bCs/>
        </w:rPr>
        <w:t>Трансферите (нето), временните безлихвени заеми (нето) и временна възмездна финансова помощ за разглеждания период са на стойност 2</w:t>
      </w:r>
      <w:r w:rsidR="00E219C6">
        <w:rPr>
          <w:bCs/>
        </w:rPr>
        <w:t> </w:t>
      </w:r>
      <w:r w:rsidRPr="00033D0E">
        <w:rPr>
          <w:bCs/>
        </w:rPr>
        <w:t>406</w:t>
      </w:r>
      <w:r w:rsidR="00E219C6">
        <w:rPr>
          <w:bCs/>
        </w:rPr>
        <w:t>,</w:t>
      </w:r>
      <w:r w:rsidRPr="00033D0E">
        <w:rPr>
          <w:bCs/>
        </w:rPr>
        <w:t xml:space="preserve">7 млн. лв. (включват </w:t>
      </w:r>
      <w:r w:rsidRPr="00033D0E">
        <w:rPr>
          <w:bCs/>
        </w:rPr>
        <w:lastRenderedPageBreak/>
        <w:t>предоставените трансфери към бенефициенти по Оперативните програми (ОП) на ЕС - програмен период 2014 – 2020 г. и програмен период 2021 – 2027 г., ПТСВГ за периода 2014 – 2020 г. и програмен период 2021 – 2027 г., Националния план за възстановяване и устойчивост (НПВУ), ФМ на ЕИП 2014–2021 г., НФМ 2014–2021 г. и ШБПС, авансово плащане по Социалния план за климата, както и възстановени трансфери от бенефициенти-бюджетни организации за неусвоени суми по приключили проекти, за недопустими разходи или други надплащания. В консолидираната отчетност на НФ са отразени и трансфери (нето) към бенефициенти – бюджетни организации, които са за сметка на средства, предоставени от държавите-партньори по ПТСВГ.</w:t>
      </w:r>
    </w:p>
    <w:p w14:paraId="0E7A956C" w14:textId="007BC023" w:rsidR="005A2B2D" w:rsidRPr="00033D0E" w:rsidRDefault="005A2B2D" w:rsidP="005A2B2D">
      <w:pPr>
        <w:ind w:firstLine="686"/>
        <w:jc w:val="both"/>
        <w:rPr>
          <w:bCs/>
        </w:rPr>
      </w:pPr>
      <w:r w:rsidRPr="00033D0E">
        <w:rPr>
          <w:bCs/>
        </w:rPr>
        <w:t>Във връзка с изпълнение на програмите и проектите по програмен период 2014 – 2020 г., 2021 – 2027 г., ФМ на ЕИП и НФМ, НПВУ и ШБПС по сметките на НФ са получени трансфери от централния бюджет на стойност 487</w:t>
      </w:r>
      <w:r w:rsidR="00E219C6">
        <w:rPr>
          <w:bCs/>
        </w:rPr>
        <w:t>,</w:t>
      </w:r>
      <w:r w:rsidRPr="00033D0E">
        <w:rPr>
          <w:bCs/>
        </w:rPr>
        <w:t>0 млн. лева.</w:t>
      </w:r>
    </w:p>
    <w:p w14:paraId="0FC312D9" w14:textId="10F51D60" w:rsidR="005A2B2D" w:rsidRPr="00693BBC" w:rsidRDefault="005A2B2D" w:rsidP="005A2B2D">
      <w:pPr>
        <w:ind w:firstLine="686"/>
        <w:jc w:val="both"/>
        <w:rPr>
          <w:bCs/>
        </w:rPr>
      </w:pPr>
      <w:r w:rsidRPr="00693BBC">
        <w:rPr>
          <w:bCs/>
        </w:rPr>
        <w:t>Общата сума от други приходи (корективи за касови постъпления, отчетени за дължими суми от бенефициенти), отчетени по сметката за средства от ЕС на НФ, са в размер на 0</w:t>
      </w:r>
      <w:r w:rsidR="00E219C6">
        <w:rPr>
          <w:bCs/>
        </w:rPr>
        <w:t>,</w:t>
      </w:r>
      <w:r w:rsidRPr="00693BBC">
        <w:rPr>
          <w:bCs/>
        </w:rPr>
        <w:t>4 млн.</w:t>
      </w:r>
      <w:r w:rsidR="00E219C6">
        <w:rPr>
          <w:bCs/>
        </w:rPr>
        <w:t> </w:t>
      </w:r>
      <w:r w:rsidRPr="00693BBC">
        <w:rPr>
          <w:bCs/>
        </w:rPr>
        <w:t>лева.</w:t>
      </w:r>
    </w:p>
    <w:p w14:paraId="49B6D4AA" w14:textId="77777777" w:rsidR="005A2B2D" w:rsidRPr="00341997" w:rsidRDefault="005A2B2D" w:rsidP="005A2B2D">
      <w:pPr>
        <w:spacing w:before="120"/>
        <w:ind w:firstLine="686"/>
        <w:jc w:val="both"/>
        <w:rPr>
          <w:b/>
          <w:bCs/>
        </w:rPr>
      </w:pPr>
      <w:r w:rsidRPr="00341997">
        <w:rPr>
          <w:b/>
          <w:bCs/>
        </w:rPr>
        <w:t>Структурни и Кохезионен фондове (СКФ) 2007 – 2013 г.</w:t>
      </w:r>
    </w:p>
    <w:p w14:paraId="060962B1" w14:textId="4EB56859" w:rsidR="005A2B2D" w:rsidRPr="00341997" w:rsidRDefault="005A2B2D" w:rsidP="005A2B2D">
      <w:pPr>
        <w:spacing w:before="120"/>
        <w:ind w:firstLine="686"/>
        <w:jc w:val="both"/>
      </w:pPr>
      <w:r w:rsidRPr="00341997">
        <w:rPr>
          <w:bCs/>
        </w:rPr>
        <w:t>През отчетния период са отчетени (нето) възстановени суми от бенефициенти на стойност на 0</w:t>
      </w:r>
      <w:r w:rsidR="00E219C6">
        <w:rPr>
          <w:bCs/>
        </w:rPr>
        <w:t>,</w:t>
      </w:r>
      <w:r w:rsidRPr="00341997">
        <w:rPr>
          <w:bCs/>
        </w:rPr>
        <w:t>8 млн. л</w:t>
      </w:r>
      <w:r w:rsidR="00E219C6">
        <w:rPr>
          <w:bCs/>
        </w:rPr>
        <w:t>е</w:t>
      </w:r>
      <w:r w:rsidRPr="00341997">
        <w:rPr>
          <w:bCs/>
        </w:rPr>
        <w:t>в</w:t>
      </w:r>
      <w:r w:rsidR="00E219C6">
        <w:rPr>
          <w:bCs/>
        </w:rPr>
        <w:t>а</w:t>
      </w:r>
      <w:r w:rsidRPr="00341997">
        <w:rPr>
          <w:bCs/>
        </w:rPr>
        <w:t>.</w:t>
      </w:r>
    </w:p>
    <w:p w14:paraId="311BC71D" w14:textId="77777777" w:rsidR="005A2B2D" w:rsidRPr="00341997" w:rsidRDefault="005A2B2D" w:rsidP="005A2B2D">
      <w:pPr>
        <w:spacing w:before="120"/>
        <w:ind w:firstLine="686"/>
        <w:jc w:val="both"/>
        <w:rPr>
          <w:b/>
          <w:bCs/>
        </w:rPr>
      </w:pPr>
      <w:r w:rsidRPr="006F7C15">
        <w:rPr>
          <w:bCs/>
          <w:color w:val="0070C0"/>
        </w:rPr>
        <w:t xml:space="preserve"> </w:t>
      </w:r>
      <w:r w:rsidRPr="00341997">
        <w:rPr>
          <w:b/>
          <w:bCs/>
        </w:rPr>
        <w:t>Европейски фонд за регионално развитие, Европейски социален фонд (включително Инициативата за младежка заетост), Кохезионния фонд и ФЕПНЛ на Европейския съюз за финансова рамка 2014 – 2020 г.</w:t>
      </w:r>
    </w:p>
    <w:p w14:paraId="11B280D3" w14:textId="2373E361" w:rsidR="005A2B2D" w:rsidRPr="00341997" w:rsidRDefault="005A2B2D" w:rsidP="005A2B2D">
      <w:pPr>
        <w:spacing w:before="120"/>
        <w:ind w:left="720"/>
        <w:jc w:val="both"/>
        <w:rPr>
          <w:bCs/>
        </w:rPr>
      </w:pPr>
      <w:r w:rsidRPr="00341997">
        <w:rPr>
          <w:bCs/>
        </w:rPr>
        <w:t>През отчетния период получени</w:t>
      </w:r>
      <w:r w:rsidR="00E219C6">
        <w:rPr>
          <w:bCs/>
        </w:rPr>
        <w:t>те</w:t>
      </w:r>
      <w:r w:rsidRPr="00341997">
        <w:rPr>
          <w:bCs/>
        </w:rPr>
        <w:t xml:space="preserve"> средства от ЕК</w:t>
      </w:r>
      <w:r>
        <w:rPr>
          <w:bCs/>
        </w:rPr>
        <w:t xml:space="preserve"> са в размер на 0</w:t>
      </w:r>
      <w:r w:rsidR="00E219C6">
        <w:rPr>
          <w:bCs/>
        </w:rPr>
        <w:t>,</w:t>
      </w:r>
      <w:r w:rsidRPr="00341997">
        <w:rPr>
          <w:bCs/>
        </w:rPr>
        <w:t>002 млн. лева.</w:t>
      </w:r>
    </w:p>
    <w:p w14:paraId="0804D79A" w14:textId="055AFF98" w:rsidR="005A2B2D" w:rsidRPr="00E7162A" w:rsidRDefault="005A2B2D" w:rsidP="005A2B2D">
      <w:pPr>
        <w:spacing w:before="120"/>
        <w:jc w:val="both"/>
        <w:rPr>
          <w:bCs/>
        </w:rPr>
      </w:pPr>
      <w:r w:rsidRPr="006F7C15">
        <w:rPr>
          <w:bCs/>
          <w:color w:val="0070C0"/>
        </w:rPr>
        <w:t xml:space="preserve">  </w:t>
      </w:r>
      <w:r w:rsidR="00E219C6">
        <w:rPr>
          <w:bCs/>
          <w:color w:val="0070C0"/>
        </w:rPr>
        <w:tab/>
      </w:r>
      <w:r w:rsidRPr="00E7162A">
        <w:rPr>
          <w:bCs/>
        </w:rPr>
        <w:t>Направените разходи по Оперативни програми и трансферите към бюджетни организации и операции с активи за периода са на стойност 27</w:t>
      </w:r>
      <w:r w:rsidR="00E219C6">
        <w:rPr>
          <w:bCs/>
        </w:rPr>
        <w:t>,</w:t>
      </w:r>
      <w:r w:rsidRPr="005A2B2D">
        <w:rPr>
          <w:bCs/>
          <w:lang w:val="ru-RU"/>
        </w:rPr>
        <w:t>0</w:t>
      </w:r>
      <w:r w:rsidRPr="00E7162A">
        <w:rPr>
          <w:bCs/>
        </w:rPr>
        <w:t xml:space="preserve"> млн. лв. (в тях влизат и извършените разходи по REACT-EU)</w:t>
      </w:r>
      <w:r w:rsidRPr="005A2B2D">
        <w:rPr>
          <w:bCs/>
          <w:lang w:val="ru-RU"/>
        </w:rPr>
        <w:t>, а възстановените суми</w:t>
      </w:r>
      <w:r w:rsidRPr="00E7162A">
        <w:rPr>
          <w:bCs/>
        </w:rPr>
        <w:t xml:space="preserve"> са в размер на 37</w:t>
      </w:r>
      <w:r w:rsidR="00E219C6">
        <w:rPr>
          <w:bCs/>
        </w:rPr>
        <w:t>,</w:t>
      </w:r>
      <w:r w:rsidRPr="00E7162A">
        <w:rPr>
          <w:bCs/>
        </w:rPr>
        <w:t>9 млн. л</w:t>
      </w:r>
      <w:r w:rsidR="00E219C6">
        <w:rPr>
          <w:bCs/>
        </w:rPr>
        <w:t>е</w:t>
      </w:r>
      <w:r w:rsidRPr="00E7162A">
        <w:rPr>
          <w:bCs/>
        </w:rPr>
        <w:t>в</w:t>
      </w:r>
      <w:r w:rsidR="00E219C6">
        <w:rPr>
          <w:bCs/>
        </w:rPr>
        <w:t>а</w:t>
      </w:r>
      <w:r w:rsidRPr="00E7162A">
        <w:rPr>
          <w:bCs/>
        </w:rPr>
        <w:t>.</w:t>
      </w:r>
    </w:p>
    <w:p w14:paraId="3CCFE438" w14:textId="536F6392" w:rsidR="005A2B2D" w:rsidRPr="00383D59" w:rsidRDefault="005A2B2D" w:rsidP="005A2B2D">
      <w:pPr>
        <w:spacing w:before="120"/>
        <w:jc w:val="both"/>
      </w:pPr>
      <w:r w:rsidRPr="00383D59">
        <w:t>Възстановеното авансово финансиране по реда на ДДС6/2011 г. е в размер на 2</w:t>
      </w:r>
      <w:r w:rsidR="00E219C6">
        <w:t>,</w:t>
      </w:r>
      <w:r>
        <w:t>9</w:t>
      </w:r>
      <w:r w:rsidRPr="00383D59">
        <w:t xml:space="preserve"> млн. лева.</w:t>
      </w:r>
    </w:p>
    <w:p w14:paraId="0E7317CE" w14:textId="40AFB819" w:rsidR="005A2B2D" w:rsidRPr="00041DAE" w:rsidRDefault="005A2B2D" w:rsidP="005A2B2D">
      <w:pPr>
        <w:spacing w:before="120"/>
        <w:jc w:val="both"/>
        <w:rPr>
          <w:bCs/>
        </w:rPr>
      </w:pPr>
      <w:r w:rsidRPr="00383D59">
        <w:rPr>
          <w:bCs/>
        </w:rPr>
        <w:t xml:space="preserve">Изплатените средства от оперативните програми за мерките за минимизиране на отрицателните последици от епидемичното разпространение на COVD-19 през отчетния </w:t>
      </w:r>
      <w:r w:rsidRPr="00041DAE">
        <w:rPr>
          <w:bCs/>
        </w:rPr>
        <w:t>период са в размер на 0</w:t>
      </w:r>
      <w:r w:rsidR="00E219C6">
        <w:rPr>
          <w:bCs/>
        </w:rPr>
        <w:t>,</w:t>
      </w:r>
      <w:r w:rsidRPr="00041DAE">
        <w:rPr>
          <w:bCs/>
        </w:rPr>
        <w:t>1 млн. лева.</w:t>
      </w:r>
    </w:p>
    <w:p w14:paraId="7064FD0B" w14:textId="77777777" w:rsidR="005A2B2D" w:rsidRPr="00041DAE" w:rsidRDefault="005A2B2D" w:rsidP="005A2B2D">
      <w:pPr>
        <w:spacing w:before="120"/>
        <w:ind w:firstLine="686"/>
        <w:jc w:val="both"/>
        <w:rPr>
          <w:b/>
          <w:bCs/>
        </w:rPr>
      </w:pPr>
      <w:r w:rsidRPr="00041DAE">
        <w:rPr>
          <w:b/>
          <w:bCs/>
        </w:rPr>
        <w:t>Европейския социален фонд+, Европейския фонд за регионално развитие (включително Фонда за справедлив преход) и Кохезионния фонд за програмен период 2021-2027 г.</w:t>
      </w:r>
    </w:p>
    <w:p w14:paraId="6D4C8C93" w14:textId="04D65468" w:rsidR="005A2B2D" w:rsidRPr="00BA2B94" w:rsidRDefault="005A2B2D" w:rsidP="005A2B2D">
      <w:pPr>
        <w:spacing w:before="120"/>
        <w:jc w:val="both"/>
        <w:rPr>
          <w:bCs/>
        </w:rPr>
      </w:pPr>
      <w:r w:rsidRPr="00041DAE">
        <w:rPr>
          <w:bCs/>
        </w:rPr>
        <w:t>Получените средства (нето) от ЕК за периода са в размер на 1</w:t>
      </w:r>
      <w:r w:rsidR="00E219C6">
        <w:rPr>
          <w:bCs/>
        </w:rPr>
        <w:t> </w:t>
      </w:r>
      <w:r w:rsidRPr="00041DAE">
        <w:rPr>
          <w:bCs/>
        </w:rPr>
        <w:t>072</w:t>
      </w:r>
      <w:r w:rsidR="00E219C6">
        <w:rPr>
          <w:bCs/>
        </w:rPr>
        <w:t>,</w:t>
      </w:r>
      <w:r w:rsidRPr="00041DAE">
        <w:rPr>
          <w:bCs/>
        </w:rPr>
        <w:t>1 млн. лв.</w:t>
      </w:r>
      <w:r w:rsidRPr="005A2B2D">
        <w:rPr>
          <w:bCs/>
          <w:lang w:val="ru-RU"/>
        </w:rPr>
        <w:t xml:space="preserve"> </w:t>
      </w:r>
      <w:r w:rsidRPr="00041DAE">
        <w:rPr>
          <w:bCs/>
        </w:rPr>
        <w:t xml:space="preserve">и са разпределени както </w:t>
      </w:r>
      <w:r w:rsidRPr="00BA2B94">
        <w:rPr>
          <w:bCs/>
        </w:rPr>
        <w:t>следва:</w:t>
      </w:r>
    </w:p>
    <w:p w14:paraId="2CB9CDBA" w14:textId="0568B7E6" w:rsidR="005A2B2D" w:rsidRPr="00BA2B94" w:rsidRDefault="005A2B2D" w:rsidP="005A2B2D">
      <w:pPr>
        <w:numPr>
          <w:ilvl w:val="0"/>
          <w:numId w:val="10"/>
        </w:numPr>
        <w:tabs>
          <w:tab w:val="clear" w:pos="1101"/>
          <w:tab w:val="num" w:pos="786"/>
        </w:tabs>
        <w:ind w:left="786"/>
        <w:jc w:val="both"/>
        <w:rPr>
          <w:bCs/>
        </w:rPr>
      </w:pPr>
      <w:r w:rsidRPr="00BA2B94">
        <w:rPr>
          <w:bCs/>
        </w:rPr>
        <w:t>Програма „Развитие на човешките ресурси” 2021-2027 г. – 413</w:t>
      </w:r>
      <w:r w:rsidR="00E219C6">
        <w:rPr>
          <w:bCs/>
        </w:rPr>
        <w:t>,</w:t>
      </w:r>
      <w:r w:rsidRPr="00BA2B94">
        <w:rPr>
          <w:bCs/>
        </w:rPr>
        <w:t xml:space="preserve">2 млн. лв.;  </w:t>
      </w:r>
    </w:p>
    <w:p w14:paraId="6F1628D1" w14:textId="6450E0EA" w:rsidR="005A2B2D" w:rsidRPr="00BA2B94" w:rsidRDefault="005A2B2D" w:rsidP="005A2B2D">
      <w:pPr>
        <w:numPr>
          <w:ilvl w:val="0"/>
          <w:numId w:val="10"/>
        </w:numPr>
        <w:tabs>
          <w:tab w:val="clear" w:pos="1101"/>
          <w:tab w:val="num" w:pos="786"/>
        </w:tabs>
        <w:ind w:left="786"/>
        <w:jc w:val="both"/>
        <w:rPr>
          <w:bCs/>
        </w:rPr>
      </w:pPr>
      <w:r w:rsidRPr="00BA2B94">
        <w:rPr>
          <w:bCs/>
        </w:rPr>
        <w:t>Програма „Храни и основно материално подпомагане” 2021-2027 г. – 75</w:t>
      </w:r>
      <w:r w:rsidR="00E219C6">
        <w:rPr>
          <w:bCs/>
        </w:rPr>
        <w:t>,</w:t>
      </w:r>
      <w:r w:rsidRPr="00BA2B94">
        <w:rPr>
          <w:bCs/>
        </w:rPr>
        <w:t>0 млн. лв.;</w:t>
      </w:r>
    </w:p>
    <w:p w14:paraId="4028C85F" w14:textId="5BE2B805" w:rsidR="005A2B2D" w:rsidRPr="00BA2B94" w:rsidRDefault="005A2B2D" w:rsidP="005A2B2D">
      <w:pPr>
        <w:numPr>
          <w:ilvl w:val="0"/>
          <w:numId w:val="10"/>
        </w:numPr>
        <w:tabs>
          <w:tab w:val="clear" w:pos="1101"/>
          <w:tab w:val="num" w:pos="786"/>
        </w:tabs>
        <w:ind w:left="786"/>
        <w:jc w:val="both"/>
        <w:rPr>
          <w:bCs/>
        </w:rPr>
      </w:pPr>
      <w:r w:rsidRPr="00BA2B94">
        <w:rPr>
          <w:bCs/>
        </w:rPr>
        <w:t>Програма „Образование” 2021-2027 г. – 94</w:t>
      </w:r>
      <w:r w:rsidR="00E219C6">
        <w:rPr>
          <w:bCs/>
        </w:rPr>
        <w:t>,</w:t>
      </w:r>
      <w:r w:rsidRPr="00BA2B94">
        <w:rPr>
          <w:bCs/>
        </w:rPr>
        <w:t>3 млн. лв.;</w:t>
      </w:r>
    </w:p>
    <w:p w14:paraId="779BB475" w14:textId="00801231" w:rsidR="005A2B2D" w:rsidRPr="00C10FF9" w:rsidRDefault="005A2B2D" w:rsidP="005A2B2D">
      <w:pPr>
        <w:numPr>
          <w:ilvl w:val="0"/>
          <w:numId w:val="10"/>
        </w:numPr>
        <w:tabs>
          <w:tab w:val="clear" w:pos="1101"/>
          <w:tab w:val="num" w:pos="786"/>
        </w:tabs>
        <w:ind w:left="786"/>
        <w:jc w:val="both"/>
        <w:rPr>
          <w:bCs/>
        </w:rPr>
      </w:pPr>
      <w:r w:rsidRPr="00C10FF9">
        <w:rPr>
          <w:bCs/>
        </w:rPr>
        <w:t>Програма „Околна среда“ 2021-2027 г. – 115</w:t>
      </w:r>
      <w:r w:rsidR="00E219C6">
        <w:rPr>
          <w:bCs/>
        </w:rPr>
        <w:t>,</w:t>
      </w:r>
      <w:r w:rsidRPr="00C10FF9">
        <w:rPr>
          <w:bCs/>
        </w:rPr>
        <w:t>1 млн. лв.;</w:t>
      </w:r>
    </w:p>
    <w:p w14:paraId="2B66E571" w14:textId="0A8196DC" w:rsidR="005A2B2D" w:rsidRPr="006F7C15" w:rsidRDefault="005A2B2D" w:rsidP="005A2B2D">
      <w:pPr>
        <w:numPr>
          <w:ilvl w:val="0"/>
          <w:numId w:val="10"/>
        </w:numPr>
        <w:tabs>
          <w:tab w:val="clear" w:pos="1101"/>
          <w:tab w:val="num" w:pos="786"/>
        </w:tabs>
        <w:ind w:left="786"/>
        <w:jc w:val="both"/>
        <w:rPr>
          <w:bCs/>
          <w:color w:val="0070C0"/>
        </w:rPr>
      </w:pPr>
      <w:r w:rsidRPr="00C10FF9">
        <w:rPr>
          <w:bCs/>
        </w:rPr>
        <w:t>Програма „Техническа помощ“ – 18</w:t>
      </w:r>
      <w:r w:rsidR="00E219C6">
        <w:rPr>
          <w:bCs/>
        </w:rPr>
        <w:t>,</w:t>
      </w:r>
      <w:r w:rsidRPr="00C10FF9">
        <w:rPr>
          <w:bCs/>
        </w:rPr>
        <w:t>3 млн. лв.;</w:t>
      </w:r>
    </w:p>
    <w:p w14:paraId="257CDA1F" w14:textId="159812FD" w:rsidR="005A2B2D" w:rsidRPr="00C10FF9" w:rsidRDefault="005A2B2D" w:rsidP="005A2B2D">
      <w:pPr>
        <w:numPr>
          <w:ilvl w:val="0"/>
          <w:numId w:val="10"/>
        </w:numPr>
        <w:tabs>
          <w:tab w:val="clear" w:pos="1101"/>
          <w:tab w:val="num" w:pos="786"/>
        </w:tabs>
        <w:ind w:left="786"/>
        <w:jc w:val="both"/>
        <w:rPr>
          <w:bCs/>
        </w:rPr>
      </w:pPr>
      <w:r w:rsidRPr="00C10FF9">
        <w:rPr>
          <w:bCs/>
        </w:rPr>
        <w:t>Програма „Конкурентоспособност и иновации в предприятията“ 2021 2027 г. – 58</w:t>
      </w:r>
      <w:r w:rsidR="00E219C6">
        <w:rPr>
          <w:bCs/>
        </w:rPr>
        <w:t>,</w:t>
      </w:r>
      <w:r>
        <w:rPr>
          <w:bCs/>
        </w:rPr>
        <w:t>5</w:t>
      </w:r>
      <w:r w:rsidRPr="00C10FF9">
        <w:rPr>
          <w:bCs/>
        </w:rPr>
        <w:t xml:space="preserve"> млн.</w:t>
      </w:r>
      <w:r w:rsidR="00E219C6">
        <w:rPr>
          <w:bCs/>
        </w:rPr>
        <w:t> </w:t>
      </w:r>
      <w:r w:rsidRPr="00C10FF9">
        <w:rPr>
          <w:bCs/>
        </w:rPr>
        <w:t>лв.;</w:t>
      </w:r>
    </w:p>
    <w:p w14:paraId="41C8A856" w14:textId="71061A72" w:rsidR="005A2B2D" w:rsidRPr="005F1DAC" w:rsidRDefault="005A2B2D" w:rsidP="005A2B2D">
      <w:pPr>
        <w:numPr>
          <w:ilvl w:val="0"/>
          <w:numId w:val="10"/>
        </w:numPr>
        <w:tabs>
          <w:tab w:val="clear" w:pos="1101"/>
          <w:tab w:val="num" w:pos="786"/>
        </w:tabs>
        <w:ind w:left="786"/>
        <w:jc w:val="both"/>
        <w:rPr>
          <w:bCs/>
        </w:rPr>
      </w:pPr>
      <w:r w:rsidRPr="005F1DAC">
        <w:rPr>
          <w:bCs/>
        </w:rPr>
        <w:t>Програма „Развитие на регионите“ 2021</w:t>
      </w:r>
      <w:r w:rsidR="009F2F4A" w:rsidRPr="009F2F4A">
        <w:rPr>
          <w:bCs/>
          <w:lang w:val="ru-RU"/>
        </w:rPr>
        <w:t>-</w:t>
      </w:r>
      <w:r w:rsidRPr="005F1DAC">
        <w:rPr>
          <w:bCs/>
        </w:rPr>
        <w:t>2027 г. – 20</w:t>
      </w:r>
      <w:r w:rsidR="009F2F4A">
        <w:rPr>
          <w:bCs/>
        </w:rPr>
        <w:t>,</w:t>
      </w:r>
      <w:r w:rsidRPr="005F1DAC">
        <w:rPr>
          <w:bCs/>
        </w:rPr>
        <w:t>6 млн. лв.;</w:t>
      </w:r>
    </w:p>
    <w:p w14:paraId="49EEB33F" w14:textId="0665C2BA" w:rsidR="005A2B2D" w:rsidRPr="005F1DAC" w:rsidRDefault="005A2B2D" w:rsidP="005A2B2D">
      <w:pPr>
        <w:numPr>
          <w:ilvl w:val="0"/>
          <w:numId w:val="10"/>
        </w:numPr>
        <w:tabs>
          <w:tab w:val="clear" w:pos="1101"/>
          <w:tab w:val="num" w:pos="786"/>
        </w:tabs>
        <w:ind w:left="786"/>
        <w:jc w:val="both"/>
        <w:rPr>
          <w:bCs/>
        </w:rPr>
      </w:pPr>
      <w:r w:rsidRPr="005F1DAC">
        <w:rPr>
          <w:bCs/>
        </w:rPr>
        <w:t>Програма „Научни изследвания, иновации и дигитализация за интелигентна трансформация“ 2021</w:t>
      </w:r>
      <w:r w:rsidR="009F2F4A">
        <w:rPr>
          <w:bCs/>
        </w:rPr>
        <w:t>-</w:t>
      </w:r>
      <w:r w:rsidRPr="005F1DAC">
        <w:rPr>
          <w:bCs/>
        </w:rPr>
        <w:t>2027 г. – 22</w:t>
      </w:r>
      <w:r w:rsidR="009F2F4A">
        <w:rPr>
          <w:bCs/>
        </w:rPr>
        <w:t>,</w:t>
      </w:r>
      <w:r>
        <w:rPr>
          <w:bCs/>
        </w:rPr>
        <w:t>1</w:t>
      </w:r>
      <w:r w:rsidRPr="005F1DAC">
        <w:rPr>
          <w:bCs/>
        </w:rPr>
        <w:t xml:space="preserve"> млн. лв.; </w:t>
      </w:r>
    </w:p>
    <w:p w14:paraId="655F6714" w14:textId="3B62BD3F" w:rsidR="005A2B2D" w:rsidRPr="00355901" w:rsidRDefault="005A2B2D" w:rsidP="005A2B2D">
      <w:pPr>
        <w:numPr>
          <w:ilvl w:val="0"/>
          <w:numId w:val="10"/>
        </w:numPr>
        <w:tabs>
          <w:tab w:val="clear" w:pos="1101"/>
          <w:tab w:val="num" w:pos="786"/>
        </w:tabs>
        <w:ind w:left="786"/>
        <w:jc w:val="both"/>
        <w:rPr>
          <w:bCs/>
        </w:rPr>
      </w:pPr>
      <w:r w:rsidRPr="00355901">
        <w:rPr>
          <w:bCs/>
        </w:rPr>
        <w:t>Програма „Транспортна свързаност“ – 232</w:t>
      </w:r>
      <w:r w:rsidR="009F2F4A">
        <w:rPr>
          <w:bCs/>
        </w:rPr>
        <w:t>,</w:t>
      </w:r>
      <w:r w:rsidRPr="00355901">
        <w:rPr>
          <w:bCs/>
        </w:rPr>
        <w:t>9 млн. лв. и</w:t>
      </w:r>
    </w:p>
    <w:p w14:paraId="18025963" w14:textId="502A014B" w:rsidR="005A2B2D" w:rsidRPr="00355901" w:rsidRDefault="005A2B2D" w:rsidP="005A2B2D">
      <w:pPr>
        <w:numPr>
          <w:ilvl w:val="0"/>
          <w:numId w:val="10"/>
        </w:numPr>
        <w:tabs>
          <w:tab w:val="clear" w:pos="1101"/>
          <w:tab w:val="num" w:pos="786"/>
        </w:tabs>
        <w:ind w:left="786"/>
        <w:jc w:val="both"/>
        <w:rPr>
          <w:bCs/>
        </w:rPr>
      </w:pPr>
      <w:r w:rsidRPr="00355901">
        <w:rPr>
          <w:bCs/>
        </w:rPr>
        <w:t>Фонд за справедлив преход – 22</w:t>
      </w:r>
      <w:r w:rsidR="009F2F4A">
        <w:rPr>
          <w:bCs/>
        </w:rPr>
        <w:t>,</w:t>
      </w:r>
      <w:r w:rsidRPr="00355901">
        <w:rPr>
          <w:bCs/>
        </w:rPr>
        <w:t>1 млн. л</w:t>
      </w:r>
      <w:r w:rsidR="009F2F4A">
        <w:rPr>
          <w:bCs/>
        </w:rPr>
        <w:t>е</w:t>
      </w:r>
      <w:r w:rsidRPr="00355901">
        <w:rPr>
          <w:bCs/>
        </w:rPr>
        <w:t>в</w:t>
      </w:r>
      <w:r w:rsidR="009F2F4A">
        <w:rPr>
          <w:bCs/>
        </w:rPr>
        <w:t>а</w:t>
      </w:r>
      <w:r w:rsidRPr="00355901">
        <w:rPr>
          <w:bCs/>
        </w:rPr>
        <w:t>.</w:t>
      </w:r>
    </w:p>
    <w:p w14:paraId="2D2BECC1" w14:textId="1B226E28" w:rsidR="005A2B2D" w:rsidRPr="00C13764" w:rsidRDefault="005A2B2D" w:rsidP="005A2B2D">
      <w:pPr>
        <w:spacing w:before="120"/>
        <w:jc w:val="both"/>
        <w:rPr>
          <w:bCs/>
        </w:rPr>
      </w:pPr>
      <w:r w:rsidRPr="00C13764">
        <w:rPr>
          <w:bCs/>
        </w:rPr>
        <w:t>Направените разходи (нето) за периода са в размер на 1</w:t>
      </w:r>
      <w:r w:rsidR="009F2F4A">
        <w:rPr>
          <w:bCs/>
        </w:rPr>
        <w:t> </w:t>
      </w:r>
      <w:r w:rsidRPr="00C13764">
        <w:rPr>
          <w:bCs/>
        </w:rPr>
        <w:t>326</w:t>
      </w:r>
      <w:r w:rsidR="009F2F4A">
        <w:rPr>
          <w:bCs/>
        </w:rPr>
        <w:t>,</w:t>
      </w:r>
      <w:r w:rsidRPr="00C13764">
        <w:rPr>
          <w:bCs/>
        </w:rPr>
        <w:t>6 млн. лв. и са разпределени както следва:</w:t>
      </w:r>
    </w:p>
    <w:p w14:paraId="09266E06" w14:textId="3BC640FE" w:rsidR="005A2B2D" w:rsidRPr="00873864" w:rsidRDefault="005A2B2D" w:rsidP="005A2B2D">
      <w:pPr>
        <w:numPr>
          <w:ilvl w:val="0"/>
          <w:numId w:val="10"/>
        </w:numPr>
        <w:tabs>
          <w:tab w:val="clear" w:pos="1101"/>
          <w:tab w:val="num" w:pos="786"/>
        </w:tabs>
        <w:ind w:left="786"/>
        <w:jc w:val="both"/>
        <w:rPr>
          <w:bCs/>
        </w:rPr>
      </w:pPr>
      <w:r w:rsidRPr="00873864">
        <w:rPr>
          <w:bCs/>
        </w:rPr>
        <w:t>Програма „Развитие на човешките ресурси” 2021-2027 г. – 414</w:t>
      </w:r>
      <w:r w:rsidR="009F2F4A">
        <w:rPr>
          <w:bCs/>
        </w:rPr>
        <w:t>,</w:t>
      </w:r>
      <w:r w:rsidRPr="00873864">
        <w:rPr>
          <w:bCs/>
        </w:rPr>
        <w:t xml:space="preserve">2 млн. лв.;  </w:t>
      </w:r>
    </w:p>
    <w:p w14:paraId="2257A1B7" w14:textId="0A5887B5" w:rsidR="005A2B2D" w:rsidRPr="00873864" w:rsidRDefault="005A2B2D" w:rsidP="005A2B2D">
      <w:pPr>
        <w:numPr>
          <w:ilvl w:val="0"/>
          <w:numId w:val="10"/>
        </w:numPr>
        <w:tabs>
          <w:tab w:val="clear" w:pos="1101"/>
          <w:tab w:val="num" w:pos="786"/>
        </w:tabs>
        <w:ind w:left="786"/>
        <w:jc w:val="both"/>
        <w:rPr>
          <w:bCs/>
        </w:rPr>
      </w:pPr>
      <w:r w:rsidRPr="00873864">
        <w:rPr>
          <w:bCs/>
        </w:rPr>
        <w:lastRenderedPageBreak/>
        <w:t>Програма „Храни и основно материално подпомагане” 2021-2027 г. – 52</w:t>
      </w:r>
      <w:r w:rsidR="009F2F4A">
        <w:rPr>
          <w:bCs/>
        </w:rPr>
        <w:t>,</w:t>
      </w:r>
      <w:r w:rsidRPr="00873864">
        <w:rPr>
          <w:bCs/>
        </w:rPr>
        <w:t>9 млн. лв.;</w:t>
      </w:r>
    </w:p>
    <w:p w14:paraId="16E3B28A" w14:textId="18D377FA" w:rsidR="005A2B2D" w:rsidRPr="000624E9" w:rsidRDefault="005A2B2D" w:rsidP="005A2B2D">
      <w:pPr>
        <w:numPr>
          <w:ilvl w:val="0"/>
          <w:numId w:val="10"/>
        </w:numPr>
        <w:tabs>
          <w:tab w:val="clear" w:pos="1101"/>
          <w:tab w:val="num" w:pos="786"/>
        </w:tabs>
        <w:ind w:left="786"/>
        <w:jc w:val="both"/>
        <w:rPr>
          <w:bCs/>
        </w:rPr>
      </w:pPr>
      <w:r w:rsidRPr="000624E9">
        <w:rPr>
          <w:bCs/>
        </w:rPr>
        <w:t>Програма „Образование” 2021-2027 г. – 137</w:t>
      </w:r>
      <w:r w:rsidR="009F2F4A">
        <w:rPr>
          <w:bCs/>
        </w:rPr>
        <w:t>,</w:t>
      </w:r>
      <w:r w:rsidRPr="000624E9">
        <w:rPr>
          <w:bCs/>
        </w:rPr>
        <w:t>3 млн. лв.;</w:t>
      </w:r>
    </w:p>
    <w:p w14:paraId="38450F6E" w14:textId="3F594FB7" w:rsidR="005A2B2D" w:rsidRPr="000624E9" w:rsidRDefault="005A2B2D" w:rsidP="005A2B2D">
      <w:pPr>
        <w:numPr>
          <w:ilvl w:val="0"/>
          <w:numId w:val="10"/>
        </w:numPr>
        <w:tabs>
          <w:tab w:val="clear" w:pos="1101"/>
          <w:tab w:val="num" w:pos="786"/>
        </w:tabs>
        <w:ind w:left="786"/>
        <w:jc w:val="both"/>
        <w:rPr>
          <w:bCs/>
        </w:rPr>
      </w:pPr>
      <w:r w:rsidRPr="000624E9">
        <w:rPr>
          <w:bCs/>
        </w:rPr>
        <w:t>Програма „Околна среда“ 2021-2027 г. – 216</w:t>
      </w:r>
      <w:r w:rsidR="009F2F4A">
        <w:rPr>
          <w:bCs/>
        </w:rPr>
        <w:t>,</w:t>
      </w:r>
      <w:r w:rsidRPr="000624E9">
        <w:rPr>
          <w:bCs/>
        </w:rPr>
        <w:t>6 млн. лв.;</w:t>
      </w:r>
    </w:p>
    <w:p w14:paraId="4C6DCABF" w14:textId="0712FF88" w:rsidR="005A2B2D" w:rsidRPr="000624E9" w:rsidRDefault="005A2B2D" w:rsidP="005A2B2D">
      <w:pPr>
        <w:numPr>
          <w:ilvl w:val="0"/>
          <w:numId w:val="10"/>
        </w:numPr>
        <w:tabs>
          <w:tab w:val="clear" w:pos="1101"/>
          <w:tab w:val="num" w:pos="786"/>
        </w:tabs>
        <w:ind w:left="786"/>
        <w:jc w:val="both"/>
        <w:rPr>
          <w:bCs/>
        </w:rPr>
      </w:pPr>
      <w:r w:rsidRPr="000624E9">
        <w:rPr>
          <w:bCs/>
        </w:rPr>
        <w:t>Програма „Техническа помощ“ – 17</w:t>
      </w:r>
      <w:r w:rsidR="009F2F4A">
        <w:rPr>
          <w:bCs/>
        </w:rPr>
        <w:t>,</w:t>
      </w:r>
      <w:r w:rsidRPr="000624E9">
        <w:rPr>
          <w:bCs/>
        </w:rPr>
        <w:t>8 млн. лв.;</w:t>
      </w:r>
    </w:p>
    <w:p w14:paraId="2B07EEC9" w14:textId="4BF1FF97" w:rsidR="005A2B2D" w:rsidRPr="00D23E15" w:rsidRDefault="005A2B2D" w:rsidP="005A2B2D">
      <w:pPr>
        <w:numPr>
          <w:ilvl w:val="0"/>
          <w:numId w:val="10"/>
        </w:numPr>
        <w:tabs>
          <w:tab w:val="clear" w:pos="1101"/>
          <w:tab w:val="num" w:pos="786"/>
        </w:tabs>
        <w:ind w:left="786"/>
        <w:jc w:val="both"/>
        <w:rPr>
          <w:bCs/>
        </w:rPr>
      </w:pPr>
      <w:r w:rsidRPr="00D23E15">
        <w:rPr>
          <w:bCs/>
        </w:rPr>
        <w:t>Програма „Конкурентоспособност и иновации в предприятията“ 2021</w:t>
      </w:r>
      <w:r w:rsidR="009F2F4A">
        <w:rPr>
          <w:bCs/>
        </w:rPr>
        <w:t>-</w:t>
      </w:r>
      <w:r w:rsidRPr="00D23E15">
        <w:rPr>
          <w:bCs/>
        </w:rPr>
        <w:t>2027 г. – 58</w:t>
      </w:r>
      <w:r w:rsidR="009F2F4A">
        <w:rPr>
          <w:bCs/>
        </w:rPr>
        <w:t>,</w:t>
      </w:r>
      <w:r w:rsidRPr="00D23E15">
        <w:rPr>
          <w:bCs/>
        </w:rPr>
        <w:t>9 млн.</w:t>
      </w:r>
      <w:r w:rsidR="009F2F4A">
        <w:rPr>
          <w:bCs/>
        </w:rPr>
        <w:t> </w:t>
      </w:r>
      <w:r w:rsidRPr="00D23E15">
        <w:rPr>
          <w:bCs/>
        </w:rPr>
        <w:t>лв.;</w:t>
      </w:r>
    </w:p>
    <w:p w14:paraId="6A604FFC" w14:textId="46C45C78" w:rsidR="005A2B2D" w:rsidRPr="00D23E15" w:rsidRDefault="005A2B2D" w:rsidP="005A2B2D">
      <w:pPr>
        <w:numPr>
          <w:ilvl w:val="0"/>
          <w:numId w:val="10"/>
        </w:numPr>
        <w:tabs>
          <w:tab w:val="clear" w:pos="1101"/>
          <w:tab w:val="num" w:pos="786"/>
        </w:tabs>
        <w:ind w:left="786"/>
        <w:jc w:val="both"/>
        <w:rPr>
          <w:bCs/>
        </w:rPr>
      </w:pPr>
      <w:r w:rsidRPr="00D23E15">
        <w:rPr>
          <w:bCs/>
        </w:rPr>
        <w:t>Програма „Развитие на регионите“ 2021</w:t>
      </w:r>
      <w:r w:rsidR="009F2F4A">
        <w:rPr>
          <w:bCs/>
        </w:rPr>
        <w:t>-</w:t>
      </w:r>
      <w:r w:rsidRPr="00D23E15">
        <w:rPr>
          <w:bCs/>
        </w:rPr>
        <w:t>2027 г. – 21</w:t>
      </w:r>
      <w:r w:rsidR="009F2F4A">
        <w:rPr>
          <w:bCs/>
        </w:rPr>
        <w:t>,</w:t>
      </w:r>
      <w:r w:rsidRPr="00D23E15">
        <w:rPr>
          <w:bCs/>
        </w:rPr>
        <w:t>5 млн. лв.;</w:t>
      </w:r>
    </w:p>
    <w:p w14:paraId="0BE974E1" w14:textId="2FB3EB0D" w:rsidR="005A2B2D" w:rsidRPr="00D23E15" w:rsidRDefault="005A2B2D" w:rsidP="005A2B2D">
      <w:pPr>
        <w:numPr>
          <w:ilvl w:val="0"/>
          <w:numId w:val="10"/>
        </w:numPr>
        <w:tabs>
          <w:tab w:val="clear" w:pos="1101"/>
          <w:tab w:val="num" w:pos="786"/>
        </w:tabs>
        <w:ind w:left="786"/>
        <w:jc w:val="both"/>
        <w:rPr>
          <w:bCs/>
        </w:rPr>
      </w:pPr>
      <w:r w:rsidRPr="00D23E15">
        <w:rPr>
          <w:bCs/>
        </w:rPr>
        <w:t>Програма „Научни изследвания, иновации и дигитализация за интелигентна трансформация“ 2021</w:t>
      </w:r>
      <w:r w:rsidR="009F2F4A">
        <w:rPr>
          <w:bCs/>
        </w:rPr>
        <w:t>-</w:t>
      </w:r>
      <w:r w:rsidRPr="00D23E15">
        <w:rPr>
          <w:bCs/>
        </w:rPr>
        <w:t>2027 г. – 71</w:t>
      </w:r>
      <w:r w:rsidR="009F2F4A">
        <w:rPr>
          <w:bCs/>
        </w:rPr>
        <w:t>,</w:t>
      </w:r>
      <w:r w:rsidRPr="00D23E15">
        <w:rPr>
          <w:bCs/>
        </w:rPr>
        <w:t>0 млн. лв.;</w:t>
      </w:r>
    </w:p>
    <w:p w14:paraId="163598A8" w14:textId="47549862" w:rsidR="005A2B2D" w:rsidRPr="00D23E15" w:rsidRDefault="005A2B2D" w:rsidP="005A2B2D">
      <w:pPr>
        <w:numPr>
          <w:ilvl w:val="0"/>
          <w:numId w:val="10"/>
        </w:numPr>
        <w:tabs>
          <w:tab w:val="clear" w:pos="1101"/>
          <w:tab w:val="num" w:pos="786"/>
        </w:tabs>
        <w:ind w:left="786"/>
        <w:jc w:val="both"/>
        <w:rPr>
          <w:bCs/>
        </w:rPr>
      </w:pPr>
      <w:r w:rsidRPr="00D23E15">
        <w:rPr>
          <w:bCs/>
        </w:rPr>
        <w:t>Програма „Транспортна свързаност“ – 264</w:t>
      </w:r>
      <w:r w:rsidR="009F2F4A">
        <w:rPr>
          <w:bCs/>
        </w:rPr>
        <w:t>,</w:t>
      </w:r>
      <w:r w:rsidRPr="00D23E15">
        <w:rPr>
          <w:bCs/>
        </w:rPr>
        <w:t>4 млн. лв. и</w:t>
      </w:r>
    </w:p>
    <w:p w14:paraId="212E325C" w14:textId="086D01BF" w:rsidR="005A2B2D" w:rsidRPr="00D12F50" w:rsidRDefault="005A2B2D" w:rsidP="005A2B2D">
      <w:pPr>
        <w:numPr>
          <w:ilvl w:val="0"/>
          <w:numId w:val="10"/>
        </w:numPr>
        <w:tabs>
          <w:tab w:val="clear" w:pos="1101"/>
          <w:tab w:val="num" w:pos="786"/>
        </w:tabs>
        <w:ind w:left="786"/>
        <w:jc w:val="both"/>
        <w:rPr>
          <w:bCs/>
        </w:rPr>
      </w:pPr>
      <w:r w:rsidRPr="00D12F50">
        <w:rPr>
          <w:bCs/>
        </w:rPr>
        <w:t>Фонд за справедлив преход – 72</w:t>
      </w:r>
      <w:r w:rsidR="009F2F4A">
        <w:rPr>
          <w:bCs/>
        </w:rPr>
        <w:t>,</w:t>
      </w:r>
      <w:r w:rsidRPr="00D12F50">
        <w:rPr>
          <w:bCs/>
        </w:rPr>
        <w:t>0 млн. л</w:t>
      </w:r>
      <w:r w:rsidR="009F2F4A">
        <w:rPr>
          <w:bCs/>
        </w:rPr>
        <w:t>е</w:t>
      </w:r>
      <w:r w:rsidRPr="00D12F50">
        <w:rPr>
          <w:bCs/>
        </w:rPr>
        <w:t>в</w:t>
      </w:r>
      <w:r w:rsidR="009F2F4A">
        <w:rPr>
          <w:bCs/>
        </w:rPr>
        <w:t>а</w:t>
      </w:r>
      <w:r w:rsidRPr="00D12F50">
        <w:rPr>
          <w:bCs/>
        </w:rPr>
        <w:t>.</w:t>
      </w:r>
    </w:p>
    <w:p w14:paraId="044EB849" w14:textId="21DE23F7" w:rsidR="005A2B2D" w:rsidRPr="000C1C48" w:rsidRDefault="005A2B2D" w:rsidP="005A2B2D">
      <w:pPr>
        <w:spacing w:before="120"/>
        <w:jc w:val="both"/>
        <w:rPr>
          <w:bCs/>
        </w:rPr>
      </w:pPr>
      <w:r w:rsidRPr="000C1C48">
        <w:t>Извършените разходи по авансово финансиране по реда на ДДС6/2011 г. са в размер на 6</w:t>
      </w:r>
      <w:r w:rsidR="009F2F4A">
        <w:t>,</w:t>
      </w:r>
      <w:r w:rsidRPr="000C1C48">
        <w:t>0 млн.</w:t>
      </w:r>
      <w:r w:rsidR="009F2F4A">
        <w:t> </w:t>
      </w:r>
      <w:r w:rsidRPr="000C1C48">
        <w:t>лв</w:t>
      </w:r>
      <w:r w:rsidR="009F2F4A">
        <w:t>.</w:t>
      </w:r>
      <w:r w:rsidRPr="000C1C48">
        <w:t>, а възстановените средства са в размер на 2</w:t>
      </w:r>
      <w:r w:rsidR="009F2F4A">
        <w:t>,</w:t>
      </w:r>
      <w:r w:rsidRPr="000C1C48">
        <w:t>2 млн. лева.</w:t>
      </w:r>
    </w:p>
    <w:p w14:paraId="5B007939" w14:textId="77777777" w:rsidR="005A2B2D" w:rsidRPr="000C1C48" w:rsidRDefault="005A2B2D" w:rsidP="005A2B2D">
      <w:pPr>
        <w:spacing w:before="120"/>
        <w:ind w:firstLine="686"/>
        <w:jc w:val="both"/>
        <w:rPr>
          <w:b/>
          <w:bCs/>
        </w:rPr>
      </w:pPr>
      <w:r w:rsidRPr="000C1C48">
        <w:rPr>
          <w:b/>
          <w:bCs/>
        </w:rPr>
        <w:t>Национален план за възстановяване и устойчивост (НПВУ)</w:t>
      </w:r>
    </w:p>
    <w:p w14:paraId="3C375C18" w14:textId="48FE25D1" w:rsidR="005A2B2D" w:rsidRPr="00041DAE" w:rsidRDefault="005A2B2D" w:rsidP="005A2B2D">
      <w:pPr>
        <w:spacing w:before="120"/>
        <w:ind w:firstLine="686"/>
        <w:jc w:val="both"/>
        <w:rPr>
          <w:bCs/>
        </w:rPr>
      </w:pPr>
      <w:r w:rsidRPr="000C1C48">
        <w:rPr>
          <w:bCs/>
        </w:rPr>
        <w:t>През отчетния период чрез НПВУ бяха извършени разходи и трансфери (нето</w:t>
      </w:r>
      <w:r w:rsidRPr="00041DAE">
        <w:rPr>
          <w:bCs/>
        </w:rPr>
        <w:t>)</w:t>
      </w:r>
      <w:r w:rsidRPr="005A2B2D">
        <w:rPr>
          <w:bCs/>
          <w:lang w:val="ru-RU"/>
        </w:rPr>
        <w:t xml:space="preserve"> </w:t>
      </w:r>
      <w:r w:rsidRPr="00041DAE">
        <w:rPr>
          <w:bCs/>
        </w:rPr>
        <w:t>в размер на 1</w:t>
      </w:r>
      <w:r w:rsidR="009F2F4A">
        <w:rPr>
          <w:bCs/>
        </w:rPr>
        <w:t> </w:t>
      </w:r>
      <w:r w:rsidRPr="00041DAE">
        <w:rPr>
          <w:bCs/>
        </w:rPr>
        <w:t>840</w:t>
      </w:r>
      <w:r w:rsidR="009F2F4A">
        <w:rPr>
          <w:bCs/>
        </w:rPr>
        <w:t>,</w:t>
      </w:r>
      <w:r w:rsidRPr="00041DAE">
        <w:rPr>
          <w:bCs/>
        </w:rPr>
        <w:t>0 млн. лева.</w:t>
      </w:r>
    </w:p>
    <w:p w14:paraId="32D4DD23" w14:textId="77777777" w:rsidR="005A2B2D" w:rsidRPr="00020714" w:rsidRDefault="005A2B2D" w:rsidP="005A2B2D">
      <w:pPr>
        <w:spacing w:before="120"/>
        <w:ind w:firstLine="686"/>
        <w:jc w:val="both"/>
        <w:rPr>
          <w:b/>
          <w:bCs/>
        </w:rPr>
      </w:pPr>
      <w:r w:rsidRPr="00020714">
        <w:rPr>
          <w:bCs/>
        </w:rPr>
        <w:tab/>
      </w:r>
      <w:r w:rsidRPr="00020714">
        <w:rPr>
          <w:b/>
          <w:bCs/>
        </w:rPr>
        <w:t>Двустранни програми за трансгранично сътрудничество по външните граници на Европейския съюз 2014 – 2020 г. и 2021 – 2027 г.</w:t>
      </w:r>
    </w:p>
    <w:p w14:paraId="2B344814" w14:textId="2688B6E3" w:rsidR="005A2B2D" w:rsidRPr="00020714" w:rsidRDefault="005A2B2D" w:rsidP="009F2F4A">
      <w:pPr>
        <w:spacing w:before="120"/>
        <w:ind w:firstLine="686"/>
        <w:jc w:val="both"/>
        <w:rPr>
          <w:bCs/>
        </w:rPr>
      </w:pPr>
      <w:r w:rsidRPr="00020714">
        <w:rPr>
          <w:bCs/>
        </w:rPr>
        <w:t>Получените средства към 30.09.2025 г. са на стойност 2</w:t>
      </w:r>
      <w:r w:rsidR="009F2F4A">
        <w:rPr>
          <w:bCs/>
        </w:rPr>
        <w:t>,</w:t>
      </w:r>
      <w:r w:rsidRPr="00020714">
        <w:rPr>
          <w:bCs/>
        </w:rPr>
        <w:t>5 млн. лв., представляващи постъпили средства за съфинансиране от страните-партньори, както</w:t>
      </w:r>
      <w:r w:rsidR="00614434" w:rsidRPr="00614434">
        <w:rPr>
          <w:bCs/>
          <w:lang w:val="ru-RU"/>
        </w:rPr>
        <w:t xml:space="preserve"> </w:t>
      </w:r>
      <w:r w:rsidR="00614434">
        <w:rPr>
          <w:bCs/>
        </w:rPr>
        <w:t>и</w:t>
      </w:r>
      <w:r w:rsidRPr="00020714">
        <w:rPr>
          <w:bCs/>
        </w:rPr>
        <w:t xml:space="preserve"> разпределени към администратори в чужбина за сметка на средствата, получени от страната-партньор.</w:t>
      </w:r>
    </w:p>
    <w:p w14:paraId="0FBE023B" w14:textId="2AF232BC" w:rsidR="005A2B2D" w:rsidRPr="00020714" w:rsidRDefault="005A2B2D" w:rsidP="009F2F4A">
      <w:pPr>
        <w:ind w:firstLine="686"/>
        <w:jc w:val="both"/>
        <w:rPr>
          <w:b/>
          <w:bCs/>
        </w:rPr>
      </w:pPr>
      <w:r w:rsidRPr="00020714">
        <w:rPr>
          <w:bCs/>
        </w:rPr>
        <w:t>Сумата на разходите и трансферите (нето) към бюджетни организации в страната, които са направени през същия период по двустранните програми са на обща стойност 15</w:t>
      </w:r>
      <w:r w:rsidR="00E7142E">
        <w:rPr>
          <w:bCs/>
        </w:rPr>
        <w:t>,</w:t>
      </w:r>
      <w:r w:rsidRPr="00020714">
        <w:rPr>
          <w:bCs/>
        </w:rPr>
        <w:t xml:space="preserve">4 млн. лв., включително за плащания към бенефициенти в страната, извършени за сметка на полученото финансиране от страната-партньор по тези програми. </w:t>
      </w:r>
    </w:p>
    <w:p w14:paraId="0768588B" w14:textId="77777777" w:rsidR="005A2B2D" w:rsidRPr="00B53FA4" w:rsidRDefault="005A2B2D" w:rsidP="005A2B2D">
      <w:pPr>
        <w:spacing w:before="120"/>
        <w:jc w:val="both"/>
        <w:rPr>
          <w:b/>
          <w:bCs/>
        </w:rPr>
      </w:pPr>
      <w:r w:rsidRPr="00B53FA4">
        <w:rPr>
          <w:b/>
          <w:bCs/>
        </w:rPr>
        <w:t>Финансов механизъм на Европейското икономическо пространство и Норвежки финансов механизъм за периода 2014-2021 г.</w:t>
      </w:r>
    </w:p>
    <w:p w14:paraId="49198E6F" w14:textId="614096CA" w:rsidR="005A2B2D" w:rsidRPr="005E2FEB" w:rsidRDefault="005A2B2D" w:rsidP="00E7142E">
      <w:pPr>
        <w:spacing w:before="120"/>
        <w:ind w:firstLine="686"/>
        <w:jc w:val="both"/>
        <w:rPr>
          <w:b/>
          <w:bCs/>
        </w:rPr>
      </w:pPr>
      <w:r w:rsidRPr="005E2FEB">
        <w:rPr>
          <w:bCs/>
        </w:rPr>
        <w:t>Получените средства към 30.09.2025 г. са в размер на 7</w:t>
      </w:r>
      <w:r w:rsidR="00E7142E">
        <w:rPr>
          <w:bCs/>
        </w:rPr>
        <w:t>,</w:t>
      </w:r>
      <w:r w:rsidRPr="005E2FEB">
        <w:rPr>
          <w:bCs/>
        </w:rPr>
        <w:t>4 млн. л</w:t>
      </w:r>
      <w:r w:rsidR="00E7142E">
        <w:rPr>
          <w:bCs/>
        </w:rPr>
        <w:t>е</w:t>
      </w:r>
      <w:r w:rsidRPr="005E2FEB">
        <w:rPr>
          <w:bCs/>
        </w:rPr>
        <w:t>в</w:t>
      </w:r>
      <w:r w:rsidR="00E7142E">
        <w:rPr>
          <w:bCs/>
        </w:rPr>
        <w:t>а</w:t>
      </w:r>
      <w:r w:rsidRPr="005E2FEB">
        <w:rPr>
          <w:bCs/>
        </w:rPr>
        <w:t>.</w:t>
      </w:r>
    </w:p>
    <w:p w14:paraId="747A0C2B" w14:textId="36166CAD" w:rsidR="005A2B2D" w:rsidRPr="005E2FEB" w:rsidRDefault="005A2B2D" w:rsidP="005A2B2D">
      <w:pPr>
        <w:spacing w:before="120"/>
        <w:ind w:firstLine="686"/>
        <w:jc w:val="both"/>
        <w:rPr>
          <w:b/>
          <w:bCs/>
        </w:rPr>
      </w:pPr>
      <w:r w:rsidRPr="005E2FEB">
        <w:rPr>
          <w:bCs/>
        </w:rPr>
        <w:t>Сумата на разходите и трансферите (нето) за периода са на обща стойност 24</w:t>
      </w:r>
      <w:r w:rsidR="00E7142E">
        <w:rPr>
          <w:bCs/>
        </w:rPr>
        <w:t>,</w:t>
      </w:r>
      <w:r w:rsidRPr="005E2FEB">
        <w:rPr>
          <w:bCs/>
        </w:rPr>
        <w:t>2 млн. лева. В тази сума влизат и 4</w:t>
      </w:r>
      <w:r w:rsidR="00E7142E">
        <w:rPr>
          <w:bCs/>
        </w:rPr>
        <w:t>,</w:t>
      </w:r>
      <w:r w:rsidRPr="005E2FEB">
        <w:rPr>
          <w:bCs/>
        </w:rPr>
        <w:t>7 млн. лв</w:t>
      </w:r>
      <w:r w:rsidR="00E7142E">
        <w:rPr>
          <w:bCs/>
        </w:rPr>
        <w:t>.</w:t>
      </w:r>
      <w:r w:rsidRPr="005E2FEB">
        <w:rPr>
          <w:bCs/>
        </w:rPr>
        <w:t xml:space="preserve"> разходи, отпуснати като безлихвени средства на </w:t>
      </w:r>
      <w:r w:rsidR="00E7142E">
        <w:rPr>
          <w:bCs/>
        </w:rPr>
        <w:t>М</w:t>
      </w:r>
      <w:r w:rsidRPr="005E2FEB">
        <w:rPr>
          <w:bCs/>
        </w:rPr>
        <w:t>инистерство на правосъдието от сметката за средства от ЕС на НФ.</w:t>
      </w:r>
    </w:p>
    <w:p w14:paraId="0931B148" w14:textId="77777777" w:rsidR="005A2B2D" w:rsidRPr="00D14EDE" w:rsidRDefault="005A2B2D" w:rsidP="005A2B2D">
      <w:pPr>
        <w:spacing w:before="120"/>
        <w:jc w:val="both"/>
        <w:rPr>
          <w:b/>
          <w:bCs/>
        </w:rPr>
      </w:pPr>
      <w:r w:rsidRPr="00D14EDE">
        <w:rPr>
          <w:b/>
          <w:bCs/>
        </w:rPr>
        <w:t>Швейцарско-българската програма за сътрудничество (ШБПС)</w:t>
      </w:r>
    </w:p>
    <w:p w14:paraId="526ABABF" w14:textId="6B899736" w:rsidR="005A2B2D" w:rsidRPr="00D14EDE" w:rsidRDefault="005A2B2D" w:rsidP="005A2B2D">
      <w:pPr>
        <w:spacing w:before="120"/>
        <w:jc w:val="both"/>
        <w:rPr>
          <w:b/>
          <w:bCs/>
        </w:rPr>
      </w:pPr>
      <w:r w:rsidRPr="00D14EDE">
        <w:rPr>
          <w:bCs/>
        </w:rPr>
        <w:t>Получените средства към 30.09.2025 г. са в размер на 0</w:t>
      </w:r>
      <w:r w:rsidR="00614434">
        <w:rPr>
          <w:bCs/>
        </w:rPr>
        <w:t>,</w:t>
      </w:r>
      <w:r w:rsidRPr="00D14EDE">
        <w:rPr>
          <w:bCs/>
        </w:rPr>
        <w:t>6 млн. л</w:t>
      </w:r>
      <w:r w:rsidR="00614434">
        <w:rPr>
          <w:bCs/>
        </w:rPr>
        <w:t>е</w:t>
      </w:r>
      <w:r w:rsidRPr="00D14EDE">
        <w:rPr>
          <w:bCs/>
        </w:rPr>
        <w:t>в</w:t>
      </w:r>
      <w:r w:rsidR="00614434">
        <w:rPr>
          <w:bCs/>
        </w:rPr>
        <w:t>а</w:t>
      </w:r>
      <w:r w:rsidRPr="00D14EDE">
        <w:rPr>
          <w:bCs/>
        </w:rPr>
        <w:t>.</w:t>
      </w:r>
    </w:p>
    <w:p w14:paraId="638B15F0" w14:textId="0783DF1E" w:rsidR="005A2B2D" w:rsidRPr="00D14EDE" w:rsidRDefault="005A2B2D" w:rsidP="005A2B2D">
      <w:pPr>
        <w:spacing w:before="120"/>
        <w:jc w:val="both"/>
        <w:rPr>
          <w:b/>
          <w:bCs/>
        </w:rPr>
      </w:pPr>
      <w:r w:rsidRPr="00D14EDE">
        <w:rPr>
          <w:bCs/>
        </w:rPr>
        <w:t>Сумата на разходите и трансферите (нето) за периода са на обща стойност 0</w:t>
      </w:r>
      <w:r w:rsidR="00614434">
        <w:rPr>
          <w:bCs/>
        </w:rPr>
        <w:t>,</w:t>
      </w:r>
      <w:r w:rsidRPr="00D14EDE">
        <w:rPr>
          <w:bCs/>
        </w:rPr>
        <w:t>3 млн. лева.</w:t>
      </w:r>
    </w:p>
    <w:p w14:paraId="69D58F3F" w14:textId="77777777" w:rsidR="005A2B2D" w:rsidRPr="001E4147" w:rsidRDefault="005A2B2D" w:rsidP="005A2B2D">
      <w:pPr>
        <w:spacing w:before="120"/>
        <w:ind w:firstLine="686"/>
        <w:jc w:val="both"/>
        <w:rPr>
          <w:b/>
          <w:bCs/>
        </w:rPr>
      </w:pPr>
      <w:r w:rsidRPr="001E4147">
        <w:rPr>
          <w:b/>
          <w:bCs/>
        </w:rPr>
        <w:t xml:space="preserve">Програма САПАРД </w:t>
      </w:r>
    </w:p>
    <w:p w14:paraId="1D8DE3B2" w14:textId="51650774" w:rsidR="00564EF6" w:rsidRDefault="005A2B2D" w:rsidP="005A2B2D">
      <w:pPr>
        <w:ind w:firstLine="567"/>
        <w:jc w:val="both"/>
        <w:rPr>
          <w:color w:val="0070C0"/>
        </w:rPr>
      </w:pPr>
      <w:r w:rsidRPr="005A2B2D">
        <w:rPr>
          <w:bCs/>
          <w:lang w:val="ru-RU"/>
        </w:rPr>
        <w:t xml:space="preserve">  </w:t>
      </w:r>
      <w:r w:rsidRPr="001E4147">
        <w:rPr>
          <w:bCs/>
        </w:rPr>
        <w:t>През периода са извършени възстановявания от бенефициенти по дългове на стойност 0</w:t>
      </w:r>
      <w:r w:rsidR="00614434">
        <w:rPr>
          <w:bCs/>
        </w:rPr>
        <w:t>,</w:t>
      </w:r>
      <w:r w:rsidRPr="005A2B2D">
        <w:rPr>
          <w:bCs/>
          <w:lang w:val="ru-RU"/>
        </w:rPr>
        <w:t>0</w:t>
      </w:r>
      <w:r w:rsidRPr="001E4147">
        <w:rPr>
          <w:bCs/>
        </w:rPr>
        <w:t>3 млн. лева</w:t>
      </w:r>
      <w:r w:rsidR="00564EF6" w:rsidRPr="002807FE">
        <w:rPr>
          <w:color w:val="0070C0"/>
        </w:rPr>
        <w:t>.</w:t>
      </w:r>
    </w:p>
    <w:p w14:paraId="6086BF03" w14:textId="77777777" w:rsidR="00F86B8F" w:rsidRPr="009D3660" w:rsidRDefault="00F86B8F" w:rsidP="00F86B8F">
      <w:pPr>
        <w:pStyle w:val="Heading1"/>
        <w:numPr>
          <w:ilvl w:val="0"/>
          <w:numId w:val="8"/>
        </w:numPr>
        <w:spacing w:before="360"/>
        <w:ind w:left="533" w:right="-108" w:hanging="391"/>
        <w:jc w:val="both"/>
        <w:rPr>
          <w:sz w:val="24"/>
        </w:rPr>
      </w:pPr>
      <w:r>
        <w:rPr>
          <w:sz w:val="24"/>
        </w:rPr>
        <w:t>Бюджети на социално и здравно</w:t>
      </w:r>
      <w:r w:rsidRPr="009D3660">
        <w:rPr>
          <w:sz w:val="24"/>
        </w:rPr>
        <w:t>осигурителните фондове и бюджети по чл. 13, ал. 2 и ал. 3 на Закона за публичните финанси</w:t>
      </w:r>
    </w:p>
    <w:p w14:paraId="2C5ABC4B" w14:textId="77777777" w:rsidR="00F86B8F" w:rsidRPr="009D3660" w:rsidRDefault="00F86B8F" w:rsidP="00F86B8F">
      <w:pPr>
        <w:pStyle w:val="Heading1"/>
        <w:numPr>
          <w:ilvl w:val="1"/>
          <w:numId w:val="8"/>
        </w:numPr>
        <w:spacing w:before="240"/>
        <w:ind w:left="788" w:right="-108" w:hanging="431"/>
        <w:jc w:val="both"/>
        <w:rPr>
          <w:sz w:val="24"/>
        </w:rPr>
      </w:pPr>
      <w:r>
        <w:rPr>
          <w:sz w:val="24"/>
        </w:rPr>
        <w:t>Социално и здравно</w:t>
      </w:r>
      <w:r w:rsidRPr="009D3660">
        <w:rPr>
          <w:sz w:val="24"/>
        </w:rPr>
        <w:t>осигурителни фондове</w:t>
      </w:r>
    </w:p>
    <w:p w14:paraId="2FF659CC" w14:textId="77777777" w:rsidR="00F86B8F" w:rsidRPr="00564EF6" w:rsidRDefault="00F86B8F" w:rsidP="00F86B8F">
      <w:pPr>
        <w:numPr>
          <w:ilvl w:val="1"/>
          <w:numId w:val="5"/>
        </w:numPr>
        <w:spacing w:before="240" w:line="276" w:lineRule="auto"/>
        <w:ind w:left="992" w:hanging="357"/>
        <w:jc w:val="both"/>
        <w:rPr>
          <w:b/>
          <w:bCs/>
        </w:rPr>
      </w:pPr>
      <w:r w:rsidRPr="00564EF6">
        <w:rPr>
          <w:b/>
        </w:rPr>
        <w:t>Държавно обществено осигуряване</w:t>
      </w:r>
    </w:p>
    <w:p w14:paraId="135C04FF" w14:textId="40D15A48" w:rsidR="003B0AE3" w:rsidRPr="001C502D" w:rsidRDefault="003B0AE3" w:rsidP="003B0AE3">
      <w:pPr>
        <w:ind w:firstLine="567"/>
        <w:jc w:val="both"/>
        <w:rPr>
          <w:rFonts w:eastAsiaTheme="minorHAnsi"/>
          <w:color w:val="4F81BD" w:themeColor="accent1"/>
        </w:rPr>
      </w:pPr>
      <w:r w:rsidRPr="001C502D">
        <w:t xml:space="preserve">Общата сума на </w:t>
      </w:r>
      <w:r w:rsidRPr="001C502D">
        <w:rPr>
          <w:b/>
        </w:rPr>
        <w:t>приходите, помощите и даренията</w:t>
      </w:r>
      <w:r w:rsidRPr="001C502D">
        <w:t xml:space="preserve"> по бюджета на Държавното обществено осигуряване (ДОО) към 3</w:t>
      </w:r>
      <w:r w:rsidRPr="001C502D">
        <w:rPr>
          <w:lang w:val="ru-RU"/>
        </w:rPr>
        <w:t>0</w:t>
      </w:r>
      <w:r w:rsidRPr="001C502D">
        <w:t>.0</w:t>
      </w:r>
      <w:r w:rsidRPr="003B0AE3">
        <w:rPr>
          <w:lang w:val="ru-RU"/>
        </w:rPr>
        <w:t>9</w:t>
      </w:r>
      <w:r w:rsidRPr="001C502D">
        <w:t xml:space="preserve">.2025 г. възлиза на </w:t>
      </w:r>
      <w:r w:rsidRPr="003B0AE3">
        <w:rPr>
          <w:lang w:val="ru-RU"/>
        </w:rPr>
        <w:t>11 068</w:t>
      </w:r>
      <w:r w:rsidRPr="001C502D">
        <w:t>,</w:t>
      </w:r>
      <w:r w:rsidRPr="003B0AE3">
        <w:rPr>
          <w:lang w:val="ru-RU"/>
        </w:rPr>
        <w:t>8</w:t>
      </w:r>
      <w:r w:rsidRPr="001C502D">
        <w:t xml:space="preserve"> млн. лв. Съпоставени с девет</w:t>
      </w:r>
      <w:r w:rsidR="00DE4E9C">
        <w:t>те</w:t>
      </w:r>
      <w:r w:rsidRPr="001C502D">
        <w:t xml:space="preserve"> месеца на 2024 г., приходите по бюджета на ДОО нарастват с</w:t>
      </w:r>
      <w:r w:rsidRPr="001C502D">
        <w:rPr>
          <w:lang w:val="ru-RU"/>
        </w:rPr>
        <w:t xml:space="preserve"> 1 468,1</w:t>
      </w:r>
      <w:r w:rsidRPr="001C502D">
        <w:t xml:space="preserve"> млн. лв. (15,3 %). Постъпилите средства представляват 72,7 % спрямо разчетените в Закона за бюджета на </w:t>
      </w:r>
      <w:r w:rsidRPr="001C502D">
        <w:lastRenderedPageBreak/>
        <w:t xml:space="preserve">Държавното обществено осигуряване за 2025 г. (ЗБДОО за  2025 г.). Най-голям е делът на </w:t>
      </w:r>
      <w:r w:rsidRPr="009A6922">
        <w:t>приходите от осигурителни вноски (98,3 % от общите приходи), като за отчетния период те са в размер на 10 883,3 млн. лв. Приходите от осигурителни вноски към 30.09.2025 г. са 72,2 % от разчетите към ЗБДОО за 2025 г.</w:t>
      </w:r>
    </w:p>
    <w:p w14:paraId="4C38768A" w14:textId="77777777" w:rsidR="003B0AE3" w:rsidRPr="009A6922" w:rsidRDefault="003B0AE3" w:rsidP="003B0AE3">
      <w:pPr>
        <w:ind w:firstLine="567"/>
        <w:jc w:val="both"/>
        <w:rPr>
          <w:bCs/>
        </w:rPr>
      </w:pPr>
      <w:r w:rsidRPr="009A6922">
        <w:rPr>
          <w:bCs/>
        </w:rPr>
        <w:t>Отчетените неданъчни приходи към края на септември 2025 г. по бюджета на ДОО възлизат на 185,5 млн. лв., в т.ч. 171,4 млн. лв. постъпили средства по чл. 4б, чл. 4в и чл. 69б от Кодекса за социално осигуряване (КСО)</w:t>
      </w:r>
      <w:r w:rsidRPr="009A6922">
        <w:t>.</w:t>
      </w:r>
      <w:r w:rsidRPr="009A6922">
        <w:rPr>
          <w:bCs/>
        </w:rPr>
        <w:t xml:space="preserve"> </w:t>
      </w:r>
    </w:p>
    <w:p w14:paraId="2D28660C" w14:textId="41F314F5" w:rsidR="003B0AE3" w:rsidRPr="009A6922" w:rsidRDefault="003B0AE3" w:rsidP="003B0AE3">
      <w:pPr>
        <w:ind w:firstLine="567"/>
        <w:jc w:val="both"/>
        <w:rPr>
          <w:bCs/>
        </w:rPr>
      </w:pPr>
      <w:r w:rsidRPr="009A6922">
        <w:rPr>
          <w:bCs/>
        </w:rPr>
        <w:t>Получените трансфери от централния бюджет (вкл. за поети осигурител</w:t>
      </w:r>
      <w:r w:rsidR="00DE4E9C">
        <w:rPr>
          <w:bCs/>
        </w:rPr>
        <w:t>ни вноски) за периода са 9 025,1</w:t>
      </w:r>
      <w:r w:rsidRPr="009A6922">
        <w:rPr>
          <w:bCs/>
        </w:rPr>
        <w:t xml:space="preserve"> млн. лв.</w:t>
      </w:r>
    </w:p>
    <w:p w14:paraId="01DFB301" w14:textId="6D3BC55D" w:rsidR="003B0AE3" w:rsidRPr="001C502D" w:rsidRDefault="003B0AE3" w:rsidP="003B0AE3">
      <w:pPr>
        <w:tabs>
          <w:tab w:val="num" w:pos="1499"/>
          <w:tab w:val="num" w:pos="2148"/>
        </w:tabs>
        <w:ind w:firstLine="567"/>
        <w:jc w:val="both"/>
        <w:rPr>
          <w:bCs/>
          <w:color w:val="4F81BD" w:themeColor="accent1"/>
        </w:rPr>
      </w:pPr>
      <w:r w:rsidRPr="009A6922">
        <w:rPr>
          <w:bCs/>
        </w:rPr>
        <w:t xml:space="preserve">Размерът на извършените </w:t>
      </w:r>
      <w:r w:rsidRPr="009A6922">
        <w:rPr>
          <w:b/>
          <w:bCs/>
        </w:rPr>
        <w:t xml:space="preserve">разходи </w:t>
      </w:r>
      <w:r w:rsidRPr="009A6922">
        <w:rPr>
          <w:bCs/>
        </w:rPr>
        <w:t>за девет</w:t>
      </w:r>
      <w:r w:rsidR="00DE4E9C">
        <w:rPr>
          <w:bCs/>
        </w:rPr>
        <w:t>те</w:t>
      </w:r>
      <w:r w:rsidRPr="009A6922">
        <w:rPr>
          <w:bCs/>
        </w:rPr>
        <w:t xml:space="preserve"> месеца на 2025 г. по бюджета на ДОО е 20 057,6 млн. лв. Спрямо същия период на миналата година общо разходите по бюджета на ДОО са с 2 013,4 млн. лв. (11,2 %) повече. Изразходваните средства представляват 73,3 % от разчетените със ЗБДОО 2025 г. разходи. От структурна гледна точка най-голям относителен дял в общите разходи заемат разходите за пенсии, обезщетения и помощи, изплащани на основание КСО – общо 19 915,6 млн. лв. или 99,3 % от общия размер на разходите за отчетния период. </w:t>
      </w:r>
    </w:p>
    <w:p w14:paraId="7DE2DC44" w14:textId="2688E4A1" w:rsidR="003B0AE3" w:rsidRPr="001C502D" w:rsidRDefault="003B0AE3" w:rsidP="003B0AE3">
      <w:pPr>
        <w:tabs>
          <w:tab w:val="num" w:pos="1499"/>
          <w:tab w:val="num" w:pos="2148"/>
        </w:tabs>
        <w:ind w:firstLine="567"/>
        <w:jc w:val="both"/>
        <w:rPr>
          <w:bCs/>
          <w:color w:val="4F81BD" w:themeColor="accent1"/>
        </w:rPr>
      </w:pPr>
      <w:r w:rsidRPr="009A6922">
        <w:rPr>
          <w:bCs/>
        </w:rPr>
        <w:t xml:space="preserve">Отчетените разходи за </w:t>
      </w:r>
      <w:r w:rsidRPr="009A6922">
        <w:rPr>
          <w:b/>
          <w:bCs/>
          <w:i/>
        </w:rPr>
        <w:t>пенсии</w:t>
      </w:r>
      <w:r w:rsidRPr="009A6922">
        <w:rPr>
          <w:bCs/>
        </w:rPr>
        <w:t xml:space="preserve"> по бюджета на ДОО към 30.09.2025 г. възлизат на 17 783,0 млн. лв., което е с 1 870,4 млн. лв. повече спрямо девет</w:t>
      </w:r>
      <w:r w:rsidR="00DE4E9C">
        <w:rPr>
          <w:bCs/>
        </w:rPr>
        <w:t>те</w:t>
      </w:r>
      <w:r w:rsidRPr="009A6922">
        <w:rPr>
          <w:bCs/>
        </w:rPr>
        <w:t xml:space="preserve"> месеца на 2024 г. и представляват 73,8 </w:t>
      </w:r>
      <w:r w:rsidRPr="005E1551">
        <w:rPr>
          <w:bCs/>
        </w:rPr>
        <w:t>% от разчета за годината. Основните причини за това са изплащането през първото полугодие на 2025 г. на осъвременените пенсии с 11 % от 1 юли 2024 г., както и осъвременяването на пенсиите от 1 юли 2025 г. с 8,6 %.</w:t>
      </w:r>
    </w:p>
    <w:p w14:paraId="032911AC" w14:textId="77777777" w:rsidR="003B0AE3" w:rsidRPr="00AA22F0" w:rsidRDefault="003B0AE3" w:rsidP="003B0AE3">
      <w:pPr>
        <w:tabs>
          <w:tab w:val="num" w:pos="1499"/>
          <w:tab w:val="num" w:pos="2148"/>
        </w:tabs>
        <w:ind w:firstLine="567"/>
        <w:jc w:val="both"/>
      </w:pPr>
      <w:r w:rsidRPr="005E1551">
        <w:t xml:space="preserve">Отчетените разходи за </w:t>
      </w:r>
      <w:r w:rsidRPr="005E1551">
        <w:rPr>
          <w:b/>
          <w:i/>
        </w:rPr>
        <w:t>краткосрочни обезщетения и помощи по КСО</w:t>
      </w:r>
      <w:r w:rsidRPr="005E1551">
        <w:t xml:space="preserve"> са в размер </w:t>
      </w:r>
      <w:r w:rsidRPr="00AA22F0">
        <w:t>на 2</w:t>
      </w:r>
      <w:r w:rsidRPr="00AA22F0">
        <w:rPr>
          <w:lang w:val="en-US"/>
        </w:rPr>
        <w:t> </w:t>
      </w:r>
      <w:r w:rsidRPr="00AA22F0">
        <w:t>132,6 млн. лева. Спрямо същия период на миналата година изплатените обезщетения по КСО са със 136,8 млн. лв. (6,9 %) повече. Спрямо разчета в ЗБДОО за 2025 г. изпълнението е 69,4 %.</w:t>
      </w:r>
    </w:p>
    <w:p w14:paraId="5997AC5B" w14:textId="77777777" w:rsidR="003B0AE3" w:rsidRPr="00AA22F0" w:rsidRDefault="003B0AE3" w:rsidP="003B0AE3">
      <w:pPr>
        <w:numPr>
          <w:ilvl w:val="1"/>
          <w:numId w:val="5"/>
        </w:numPr>
        <w:tabs>
          <w:tab w:val="num" w:pos="709"/>
          <w:tab w:val="left" w:pos="851"/>
          <w:tab w:val="left" w:pos="1134"/>
        </w:tabs>
        <w:spacing w:before="240" w:line="276" w:lineRule="auto"/>
        <w:ind w:left="709" w:hanging="357"/>
        <w:jc w:val="both"/>
        <w:rPr>
          <w:b/>
          <w:bCs/>
        </w:rPr>
      </w:pPr>
      <w:r w:rsidRPr="00AA22F0">
        <w:rPr>
          <w:b/>
          <w:bCs/>
        </w:rPr>
        <w:t>Национална здравноосигурителна каса</w:t>
      </w:r>
    </w:p>
    <w:p w14:paraId="2ABBF3BB" w14:textId="316A2D15" w:rsidR="003B0AE3" w:rsidRPr="00E56EC7" w:rsidRDefault="003B0AE3" w:rsidP="003B0AE3">
      <w:pPr>
        <w:ind w:firstLine="567"/>
        <w:jc w:val="both"/>
      </w:pPr>
      <w:r w:rsidRPr="00AA22F0">
        <w:t xml:space="preserve">Общият размер на събраните </w:t>
      </w:r>
      <w:r w:rsidRPr="00AA22F0">
        <w:rPr>
          <w:b/>
        </w:rPr>
        <w:t>приходи, помощи и дарения</w:t>
      </w:r>
      <w:r w:rsidRPr="00AA22F0">
        <w:t xml:space="preserve"> по бюджета на НЗОК за девет</w:t>
      </w:r>
      <w:r w:rsidR="00DE4E9C">
        <w:t>те</w:t>
      </w:r>
      <w:r w:rsidRPr="00AA22F0">
        <w:t xml:space="preserve"> месеца на 2025 г. възлиза на 4 191,0 млн. лв., което е с 492,8 млн. лв.  (13,3 %) повече в сравнение със същия период на предходната година. Постъпилите средства представляват 72,6</w:t>
      </w:r>
      <w:r w:rsidR="00784CD2">
        <w:t> </w:t>
      </w:r>
      <w:r w:rsidRPr="00AA22F0">
        <w:t>% от предвидените в Закона за бюджета на Националната здравноосигурителна каса за 2025</w:t>
      </w:r>
      <w:r w:rsidR="00784CD2">
        <w:t> </w:t>
      </w:r>
      <w:r w:rsidRPr="00AA22F0">
        <w:t xml:space="preserve">г. (ЗБНЗОК за 2025 г.) приходи. Постъпленията от здравноосигурителни вноски са в размер на 4 166,3 млн. лв., което е 72,5 % от </w:t>
      </w:r>
      <w:r w:rsidRPr="00E56EC7">
        <w:t xml:space="preserve">предвидените в ЗБНЗОК за 2025 г. и с 489,7 млн. лв. повече </w:t>
      </w:r>
      <w:r w:rsidR="00DE4E9C">
        <w:t>спрямо</w:t>
      </w:r>
      <w:r w:rsidRPr="00E56EC7">
        <w:t xml:space="preserve"> девет</w:t>
      </w:r>
      <w:r w:rsidR="00DE4E9C">
        <w:t>те</w:t>
      </w:r>
      <w:r w:rsidRPr="00E56EC7">
        <w:t xml:space="preserve"> месеца на 2024 г. Събраните неданъчни приходи към 30.09.2025 г. са 24,7 млн. лв., като основната част от тях са приходи от глоби, санкции и наказателни лихви. </w:t>
      </w:r>
    </w:p>
    <w:p w14:paraId="07822128" w14:textId="77777777" w:rsidR="003B0AE3" w:rsidRPr="00E213B7" w:rsidRDefault="003B0AE3" w:rsidP="003B0AE3">
      <w:pPr>
        <w:ind w:firstLine="567"/>
        <w:jc w:val="both"/>
        <w:rPr>
          <w:lang w:val="ru-RU"/>
        </w:rPr>
      </w:pPr>
      <w:r w:rsidRPr="00E56EC7">
        <w:t>Полученият трансфер от МЗ за</w:t>
      </w:r>
      <w:r w:rsidRPr="00E56EC7">
        <w:rPr>
          <w:szCs w:val="20"/>
        </w:rPr>
        <w:t xml:space="preserve"> финансиране на разходите </w:t>
      </w:r>
      <w:r w:rsidRPr="00E56EC7">
        <w:t xml:space="preserve">за лекарствени продукти – ваксини и дейности по прилагането им по чл. 82, ал. 2, т. 3 от Закона за здравето; за дейности за здравно неосигурени лица, включващи: интензивно лечение; комплексно диспансерно (амбулаторно) наблюдение при пациенти с кожно-венерически и психиатрични заболявания; </w:t>
      </w:r>
      <w:r w:rsidRPr="00E56EC7">
        <w:rPr>
          <w:szCs w:val="20"/>
        </w:rPr>
        <w:t xml:space="preserve">дейности по чл. 82, ал. 1, т. 2 от ЗЗ, за сумите по чл. 37, ал. 6 от Закона за здравното осигуряване (ЗЗО) и за медицински изделия, помощни средства, приспособления и съоръжения за хората с увреждания извън обхвата на задължителното </w:t>
      </w:r>
      <w:r w:rsidRPr="00E213B7">
        <w:rPr>
          <w:szCs w:val="20"/>
        </w:rPr>
        <w:t>здравно осигуряване</w:t>
      </w:r>
      <w:r w:rsidRPr="00E213B7">
        <w:t xml:space="preserve"> </w:t>
      </w:r>
      <w:r w:rsidRPr="00E213B7">
        <w:rPr>
          <w:szCs w:val="20"/>
        </w:rPr>
        <w:t>за отчетния период e в размер на 123,1</w:t>
      </w:r>
      <w:r w:rsidRPr="00E213B7">
        <w:t xml:space="preserve"> млн. лева.</w:t>
      </w:r>
    </w:p>
    <w:p w14:paraId="263EB54E" w14:textId="77777777" w:rsidR="003B0AE3" w:rsidRPr="003B062C" w:rsidRDefault="003B0AE3" w:rsidP="003B0AE3">
      <w:pPr>
        <w:ind w:firstLine="567"/>
        <w:jc w:val="both"/>
      </w:pPr>
      <w:r w:rsidRPr="003B062C">
        <w:t xml:space="preserve">Получените трансфери от централния бюджет (вкл. за поети осигурителни вноски) за периода са 2 596,9 млн. лв. </w:t>
      </w:r>
    </w:p>
    <w:p w14:paraId="4EBE2689" w14:textId="77777777" w:rsidR="003B0AE3" w:rsidRPr="00C55AAD" w:rsidRDefault="003B0AE3" w:rsidP="003B0AE3">
      <w:pPr>
        <w:ind w:firstLine="567"/>
        <w:jc w:val="both"/>
      </w:pPr>
      <w:r w:rsidRPr="003B062C">
        <w:t xml:space="preserve">Отчетените </w:t>
      </w:r>
      <w:r w:rsidRPr="003B062C">
        <w:rPr>
          <w:b/>
        </w:rPr>
        <w:t>разходи</w:t>
      </w:r>
      <w:r w:rsidRPr="003B062C">
        <w:t xml:space="preserve"> към 30.09.2025 г. са в размер на 6 959,2 млн. лв. и нарастват с 927,7</w:t>
      </w:r>
      <w:r w:rsidRPr="003B062C">
        <w:rPr>
          <w:lang w:val="en-US"/>
        </w:rPr>
        <w:t> </w:t>
      </w:r>
      <w:r w:rsidRPr="003B062C">
        <w:t xml:space="preserve">млн. лв. (15,4 %) спрямо същия период на миналата година. Спрямо годишните </w:t>
      </w:r>
      <w:r w:rsidRPr="00C55AAD">
        <w:t>разчети извършените разходи представляват 73,4 %.</w:t>
      </w:r>
    </w:p>
    <w:p w14:paraId="6FD92E42" w14:textId="77777777" w:rsidR="003B0AE3" w:rsidRPr="00C55AAD" w:rsidRDefault="003B0AE3" w:rsidP="003B0AE3">
      <w:pPr>
        <w:ind w:firstLine="567"/>
        <w:jc w:val="both"/>
      </w:pPr>
      <w:r w:rsidRPr="00C55AAD">
        <w:t>Най-голям относителен дял в общите разходи (96,9 %) заемат здравноосигурителните плащания, които възлизат на 6 743,7 млн. лева. В отделните направления на здравноосигурителни плащания изпълнението на бюджета за първото полугодие на 2025 г. е следното:</w:t>
      </w:r>
    </w:p>
    <w:p w14:paraId="79D087AB" w14:textId="77777777" w:rsidR="003B0AE3" w:rsidRPr="001D679B" w:rsidRDefault="003B0AE3" w:rsidP="003B0AE3">
      <w:pPr>
        <w:numPr>
          <w:ilvl w:val="0"/>
          <w:numId w:val="12"/>
        </w:numPr>
        <w:tabs>
          <w:tab w:val="num" w:pos="0"/>
          <w:tab w:val="left" w:pos="720"/>
          <w:tab w:val="left" w:pos="1134"/>
        </w:tabs>
        <w:spacing w:before="120" w:line="276" w:lineRule="auto"/>
        <w:ind w:hanging="6169"/>
        <w:jc w:val="both"/>
        <w:rPr>
          <w:bCs/>
        </w:rPr>
      </w:pPr>
      <w:r w:rsidRPr="001D679B">
        <w:rPr>
          <w:b/>
          <w:i/>
        </w:rPr>
        <w:t>първична извънболнична медицинска помощ</w:t>
      </w:r>
      <w:r w:rsidRPr="001D679B">
        <w:rPr>
          <w:i/>
        </w:rPr>
        <w:t xml:space="preserve"> –</w:t>
      </w:r>
      <w:r w:rsidRPr="001D679B">
        <w:t xml:space="preserve"> 468,5 млн. лева;</w:t>
      </w:r>
      <w:r w:rsidRPr="001D679B">
        <w:rPr>
          <w:bCs/>
        </w:rPr>
        <w:t xml:space="preserve"> </w:t>
      </w:r>
    </w:p>
    <w:p w14:paraId="4FF1A853" w14:textId="77777777" w:rsidR="003B0AE3" w:rsidRPr="001C502D" w:rsidRDefault="003B0AE3" w:rsidP="003B0AE3">
      <w:pPr>
        <w:numPr>
          <w:ilvl w:val="0"/>
          <w:numId w:val="12"/>
        </w:numPr>
        <w:tabs>
          <w:tab w:val="num" w:pos="0"/>
          <w:tab w:val="left" w:pos="720"/>
          <w:tab w:val="left" w:pos="1134"/>
        </w:tabs>
        <w:spacing w:line="276" w:lineRule="auto"/>
        <w:ind w:hanging="6169"/>
        <w:jc w:val="both"/>
        <w:rPr>
          <w:i/>
          <w:color w:val="4F81BD" w:themeColor="accent1"/>
        </w:rPr>
      </w:pPr>
      <w:r w:rsidRPr="001D679B">
        <w:rPr>
          <w:b/>
          <w:i/>
        </w:rPr>
        <w:t xml:space="preserve">специализирана извънболнична медицинска помощ </w:t>
      </w:r>
      <w:r w:rsidRPr="001D679B">
        <w:t xml:space="preserve"> – 468,2 млн. лева;</w:t>
      </w:r>
    </w:p>
    <w:p w14:paraId="04D36613" w14:textId="77777777" w:rsidR="003B0AE3" w:rsidRPr="001D679B" w:rsidRDefault="003B0AE3" w:rsidP="003B0AE3">
      <w:pPr>
        <w:numPr>
          <w:ilvl w:val="0"/>
          <w:numId w:val="12"/>
        </w:numPr>
        <w:tabs>
          <w:tab w:val="num" w:pos="0"/>
          <w:tab w:val="left" w:pos="720"/>
          <w:tab w:val="left" w:pos="1134"/>
        </w:tabs>
        <w:spacing w:line="276" w:lineRule="auto"/>
        <w:ind w:hanging="6169"/>
        <w:jc w:val="both"/>
        <w:rPr>
          <w:b/>
        </w:rPr>
      </w:pPr>
      <w:r w:rsidRPr="001D679B">
        <w:rPr>
          <w:b/>
          <w:i/>
        </w:rPr>
        <w:t xml:space="preserve">дентална помощ </w:t>
      </w:r>
      <w:r w:rsidRPr="001D679B">
        <w:rPr>
          <w:b/>
        </w:rPr>
        <w:t xml:space="preserve">– </w:t>
      </w:r>
      <w:r w:rsidRPr="001D679B">
        <w:t>310,1 млн. лева;</w:t>
      </w:r>
    </w:p>
    <w:p w14:paraId="3CFFAC49" w14:textId="77777777" w:rsidR="003B0AE3" w:rsidRPr="001D679B" w:rsidRDefault="003B0AE3" w:rsidP="003B0AE3">
      <w:pPr>
        <w:numPr>
          <w:ilvl w:val="0"/>
          <w:numId w:val="12"/>
        </w:numPr>
        <w:tabs>
          <w:tab w:val="num" w:pos="0"/>
          <w:tab w:val="left" w:pos="720"/>
          <w:tab w:val="left" w:pos="1134"/>
        </w:tabs>
        <w:spacing w:line="276" w:lineRule="auto"/>
        <w:ind w:hanging="6169"/>
        <w:jc w:val="both"/>
        <w:rPr>
          <w:b/>
          <w:i/>
        </w:rPr>
      </w:pPr>
      <w:r w:rsidRPr="001D679B">
        <w:rPr>
          <w:b/>
          <w:i/>
        </w:rPr>
        <w:lastRenderedPageBreak/>
        <w:t xml:space="preserve">медико-диагностична дейност </w:t>
      </w:r>
      <w:r w:rsidRPr="001D679B">
        <w:rPr>
          <w:b/>
        </w:rPr>
        <w:t xml:space="preserve">– </w:t>
      </w:r>
      <w:r w:rsidRPr="001D679B">
        <w:t>225,0 млн. лева;</w:t>
      </w:r>
      <w:r w:rsidRPr="001D679B">
        <w:rPr>
          <w:b/>
          <w:i/>
        </w:rPr>
        <w:t xml:space="preserve"> </w:t>
      </w:r>
    </w:p>
    <w:p w14:paraId="37814E01" w14:textId="77777777" w:rsidR="003B0AE3" w:rsidRPr="001D679B" w:rsidRDefault="003B0AE3" w:rsidP="003B0AE3">
      <w:pPr>
        <w:numPr>
          <w:ilvl w:val="0"/>
          <w:numId w:val="12"/>
        </w:numPr>
        <w:tabs>
          <w:tab w:val="num" w:pos="0"/>
          <w:tab w:val="left" w:pos="1134"/>
        </w:tabs>
        <w:spacing w:line="276" w:lineRule="auto"/>
        <w:ind w:left="1134" w:hanging="425"/>
        <w:jc w:val="both"/>
      </w:pPr>
      <w:r w:rsidRPr="001D679B">
        <w:rPr>
          <w:b/>
          <w:i/>
        </w:rPr>
        <w:t xml:space="preserve">лекарствени продукти, медицински изделия и диетични храни за домашно лечение на територията на страната  - </w:t>
      </w:r>
      <w:r w:rsidRPr="001D679B">
        <w:t>942,7 млн. лв.</w:t>
      </w:r>
    </w:p>
    <w:p w14:paraId="769A3BE6" w14:textId="77777777" w:rsidR="003B0AE3" w:rsidRPr="001D679B" w:rsidRDefault="003B0AE3" w:rsidP="003B0AE3">
      <w:pPr>
        <w:numPr>
          <w:ilvl w:val="0"/>
          <w:numId w:val="12"/>
        </w:numPr>
        <w:tabs>
          <w:tab w:val="num" w:pos="0"/>
          <w:tab w:val="left" w:pos="1134"/>
          <w:tab w:val="num" w:pos="6096"/>
        </w:tabs>
        <w:spacing w:line="276" w:lineRule="auto"/>
        <w:ind w:left="1134" w:hanging="425"/>
        <w:jc w:val="both"/>
      </w:pPr>
      <w:r w:rsidRPr="001D679B">
        <w:rPr>
          <w:b/>
          <w:i/>
        </w:rPr>
        <w:t xml:space="preserve"> лекарствени продукти за лечение на злокачествени заболявания в условията на болнична медицинска помощ </w:t>
      </w:r>
      <w:r w:rsidRPr="001D679B">
        <w:t xml:space="preserve"> – 840,4 млн. лева;</w:t>
      </w:r>
    </w:p>
    <w:p w14:paraId="15F8E7F5" w14:textId="77777777" w:rsidR="003B0AE3" w:rsidRPr="001D679B" w:rsidRDefault="003B0AE3" w:rsidP="003B0AE3">
      <w:pPr>
        <w:numPr>
          <w:ilvl w:val="0"/>
          <w:numId w:val="12"/>
        </w:numPr>
        <w:tabs>
          <w:tab w:val="num" w:pos="0"/>
          <w:tab w:val="left" w:pos="720"/>
          <w:tab w:val="num" w:pos="1134"/>
        </w:tabs>
        <w:spacing w:line="276" w:lineRule="auto"/>
        <w:ind w:left="1134" w:hanging="425"/>
        <w:jc w:val="both"/>
      </w:pPr>
      <w:r w:rsidRPr="001D679B">
        <w:rPr>
          <w:b/>
          <w:i/>
        </w:rPr>
        <w:t>медицински изделия, прилагани в болничната  помощ –</w:t>
      </w:r>
      <w:r w:rsidRPr="001D679B">
        <w:t xml:space="preserve"> 173,0 млн. лева;</w:t>
      </w:r>
    </w:p>
    <w:p w14:paraId="08E77028" w14:textId="77777777" w:rsidR="003B0AE3" w:rsidRPr="001C502D" w:rsidRDefault="003B0AE3" w:rsidP="003B0AE3">
      <w:pPr>
        <w:numPr>
          <w:ilvl w:val="0"/>
          <w:numId w:val="12"/>
        </w:numPr>
        <w:tabs>
          <w:tab w:val="num" w:pos="0"/>
          <w:tab w:val="left" w:pos="720"/>
          <w:tab w:val="left" w:pos="1134"/>
        </w:tabs>
        <w:spacing w:line="276" w:lineRule="auto"/>
        <w:ind w:hanging="6169"/>
        <w:jc w:val="both"/>
        <w:rPr>
          <w:color w:val="4F81BD" w:themeColor="accent1"/>
        </w:rPr>
      </w:pPr>
      <w:r w:rsidRPr="001D679B">
        <w:rPr>
          <w:b/>
          <w:i/>
        </w:rPr>
        <w:t>болнична медицинска помощ –</w:t>
      </w:r>
      <w:r w:rsidRPr="001D679B">
        <w:t xml:space="preserve"> 3 243,0 млн. лева.</w:t>
      </w:r>
      <w:r w:rsidRPr="001C502D">
        <w:rPr>
          <w:color w:val="4F81BD" w:themeColor="accent1"/>
        </w:rPr>
        <w:tab/>
        <w:t xml:space="preserve"> </w:t>
      </w:r>
    </w:p>
    <w:p w14:paraId="31C67351" w14:textId="77777777" w:rsidR="003B0AE3" w:rsidRPr="001C502D" w:rsidRDefault="003B0AE3" w:rsidP="003B0AE3">
      <w:pPr>
        <w:numPr>
          <w:ilvl w:val="0"/>
          <w:numId w:val="12"/>
        </w:numPr>
        <w:tabs>
          <w:tab w:val="num" w:pos="0"/>
          <w:tab w:val="left" w:pos="720"/>
          <w:tab w:val="left" w:pos="1134"/>
        </w:tabs>
        <w:spacing w:line="276" w:lineRule="auto"/>
        <w:ind w:hanging="6169"/>
        <w:jc w:val="both"/>
        <w:rPr>
          <w:color w:val="4F81BD" w:themeColor="accent1"/>
        </w:rPr>
      </w:pPr>
      <w:r w:rsidRPr="001D679B">
        <w:rPr>
          <w:b/>
          <w:i/>
        </w:rPr>
        <w:t xml:space="preserve">други здравноосигурителни плащания </w:t>
      </w:r>
      <w:r w:rsidRPr="001D679B">
        <w:t>– 72,9 млн. лева.</w:t>
      </w:r>
    </w:p>
    <w:p w14:paraId="2542BA87" w14:textId="77777777" w:rsidR="003B0AE3" w:rsidRPr="00950DA6" w:rsidRDefault="003B0AE3" w:rsidP="003B0AE3">
      <w:pPr>
        <w:spacing w:before="120"/>
        <w:ind w:firstLine="567"/>
        <w:jc w:val="both"/>
      </w:pPr>
      <w:r w:rsidRPr="00583435">
        <w:t xml:space="preserve">Като здравноосигурителни плащания следва да се третират и преведените 167,3 млн. лв. трансфери по договори за извършване на медицински услуги към бюджетни организации, в структурата на които има лечебни заведения по чл. 5 от Закона за лечебните заведения. Заедно с преведените трансфери усвоените средства за </w:t>
      </w:r>
      <w:r w:rsidRPr="00950DA6">
        <w:t>здравноосигурителни плащания възлизат на 6 911,0 млн. лв.</w:t>
      </w:r>
    </w:p>
    <w:p w14:paraId="0BFA8731" w14:textId="77777777" w:rsidR="003B0AE3" w:rsidRPr="00950DA6" w:rsidRDefault="003B0AE3" w:rsidP="003B0AE3">
      <w:pPr>
        <w:ind w:firstLine="567"/>
        <w:jc w:val="both"/>
      </w:pPr>
      <w:r w:rsidRPr="00950DA6">
        <w:t>За периода са отчетени плащания в размер на 125,6 млн. лв. за дейности за здравно неосигурени лица, лекарствени продукти, потребителска такса, медицински изделия за хората с увреждания и за лечение на лица до 18</w:t>
      </w:r>
      <w:r w:rsidRPr="00950DA6">
        <w:rPr>
          <w:lang w:val="ru-RU"/>
        </w:rPr>
        <w:t>-</w:t>
      </w:r>
      <w:r w:rsidRPr="00950DA6">
        <w:t>годишна възраст по чл.</w:t>
      </w:r>
      <w:r w:rsidRPr="00950DA6">
        <w:rPr>
          <w:lang w:val="ru-RU"/>
        </w:rPr>
        <w:t xml:space="preserve"> </w:t>
      </w:r>
      <w:r w:rsidRPr="00950DA6">
        <w:t>82, ал.</w:t>
      </w:r>
      <w:r w:rsidRPr="00950DA6">
        <w:rPr>
          <w:lang w:val="ru-RU"/>
        </w:rPr>
        <w:t xml:space="preserve"> </w:t>
      </w:r>
      <w:r w:rsidRPr="00950DA6">
        <w:t>1а, 3 и 6 от Закона за здравето и на лица над 18</w:t>
      </w:r>
      <w:r w:rsidRPr="00950DA6">
        <w:rPr>
          <w:lang w:val="ru-RU"/>
        </w:rPr>
        <w:t>-</w:t>
      </w:r>
      <w:r w:rsidRPr="00950DA6">
        <w:t>годишна възраст по чл.82, ал.1а и 6.</w:t>
      </w:r>
    </w:p>
    <w:p w14:paraId="3E05EBB8" w14:textId="08E7FA4E" w:rsidR="00F86B8F" w:rsidRPr="007975CA" w:rsidRDefault="003B0AE3" w:rsidP="003B0AE3">
      <w:pPr>
        <w:ind w:firstLine="567"/>
        <w:jc w:val="both"/>
        <w:rPr>
          <w:color w:val="0070C0"/>
        </w:rPr>
      </w:pPr>
      <w:r w:rsidRPr="009F5060">
        <w:t>За девет</w:t>
      </w:r>
      <w:r w:rsidR="00CC4FE0">
        <w:t>те</w:t>
      </w:r>
      <w:r w:rsidRPr="009F5060">
        <w:t xml:space="preserve"> месеца на годината са отчетени 88,5 млн. лв. за административни </w:t>
      </w:r>
      <w:r w:rsidRPr="00974000">
        <w:t>разходи на институцията, които включват разходите за персонал, за текуща издръжка и лихвени плащания. Усвоените средства за административни разходи заемат 1,3 на сто в структурата на общите разходи за отчетния период. Отчетените капиталови разходи за периода възлизат на 1,3</w:t>
      </w:r>
      <w:r w:rsidRPr="00974000">
        <w:rPr>
          <w:lang w:val="en-US"/>
        </w:rPr>
        <w:t> </w:t>
      </w:r>
      <w:r w:rsidRPr="00974000">
        <w:t>млн. лева.</w:t>
      </w:r>
    </w:p>
    <w:p w14:paraId="7E4637E2" w14:textId="49778680" w:rsidR="003C218F" w:rsidRPr="00174693" w:rsidRDefault="00CB29B4" w:rsidP="00457468">
      <w:pPr>
        <w:pStyle w:val="Heading1"/>
        <w:numPr>
          <w:ilvl w:val="1"/>
          <w:numId w:val="8"/>
        </w:numPr>
        <w:spacing w:before="240" w:after="120"/>
        <w:ind w:left="788" w:right="-108" w:hanging="431"/>
        <w:jc w:val="both"/>
        <w:rPr>
          <w:sz w:val="24"/>
        </w:rPr>
      </w:pPr>
      <w:r w:rsidRPr="00174693">
        <w:rPr>
          <w:sz w:val="24"/>
        </w:rPr>
        <w:t>Общински бюджети</w:t>
      </w:r>
    </w:p>
    <w:p w14:paraId="618F5E95" w14:textId="77777777" w:rsidR="00174693" w:rsidRPr="00677658" w:rsidRDefault="00174693" w:rsidP="00174693">
      <w:pPr>
        <w:numPr>
          <w:ilvl w:val="0"/>
          <w:numId w:val="20"/>
        </w:numPr>
        <w:tabs>
          <w:tab w:val="left" w:pos="851"/>
        </w:tabs>
        <w:spacing w:before="120" w:line="276" w:lineRule="auto"/>
        <w:ind w:left="533" w:firstLine="34"/>
        <w:jc w:val="both"/>
        <w:rPr>
          <w:b/>
        </w:rPr>
      </w:pPr>
      <w:r w:rsidRPr="00677658">
        <w:rPr>
          <w:b/>
        </w:rPr>
        <w:t>Приходи</w:t>
      </w:r>
    </w:p>
    <w:p w14:paraId="542C61D4" w14:textId="35643E9D" w:rsidR="00174693" w:rsidRPr="002807FE" w:rsidRDefault="00174693" w:rsidP="00174693">
      <w:pPr>
        <w:tabs>
          <w:tab w:val="center" w:pos="4153"/>
          <w:tab w:val="right" w:pos="8306"/>
        </w:tabs>
        <w:ind w:firstLine="567"/>
        <w:jc w:val="both"/>
        <w:rPr>
          <w:color w:val="0070C0"/>
        </w:rPr>
      </w:pPr>
      <w:r w:rsidRPr="00A75269">
        <w:rPr>
          <w:b/>
        </w:rPr>
        <w:t>Приходите</w:t>
      </w:r>
      <w:r w:rsidRPr="00A75269">
        <w:t xml:space="preserve"> по бюджетите на общините към 30.09.2025 г. са в размер на 3</w:t>
      </w:r>
      <w:r w:rsidRPr="00A75269">
        <w:rPr>
          <w:lang w:val="ru-RU"/>
        </w:rPr>
        <w:t xml:space="preserve"> </w:t>
      </w:r>
      <w:r w:rsidRPr="00174693">
        <w:rPr>
          <w:lang w:val="ru-RU"/>
        </w:rPr>
        <w:t>085</w:t>
      </w:r>
      <w:r w:rsidRPr="00A75269">
        <w:t xml:space="preserve">,4 млн. лв., което представлява </w:t>
      </w:r>
      <w:r w:rsidRPr="00174693">
        <w:rPr>
          <w:lang w:val="ru-RU"/>
        </w:rPr>
        <w:t>72</w:t>
      </w:r>
      <w:r w:rsidRPr="00A75269">
        <w:t xml:space="preserve">,8 % от разчетените към ЗДБРБ за 2025 г. постъпления в размер на </w:t>
      </w:r>
      <w:r w:rsidRPr="00A75269">
        <w:rPr>
          <w:bCs/>
        </w:rPr>
        <w:t xml:space="preserve">4 </w:t>
      </w:r>
      <w:r w:rsidRPr="00A75269">
        <w:rPr>
          <w:bCs/>
          <w:lang w:val="ru-RU"/>
        </w:rPr>
        <w:t>240</w:t>
      </w:r>
      <w:r w:rsidRPr="00A75269">
        <w:rPr>
          <w:bCs/>
        </w:rPr>
        <w:t>,4</w:t>
      </w:r>
      <w:r w:rsidRPr="00A75269">
        <w:t xml:space="preserve"> млн. лв. и с </w:t>
      </w:r>
      <w:r w:rsidRPr="00174693">
        <w:rPr>
          <w:lang w:val="ru-RU"/>
        </w:rPr>
        <w:t>424</w:t>
      </w:r>
      <w:r w:rsidRPr="00A75269">
        <w:t>,8 млн. лв.</w:t>
      </w:r>
      <w:r w:rsidRPr="00A75269">
        <w:rPr>
          <w:lang w:val="ru-RU"/>
        </w:rPr>
        <w:t xml:space="preserve"> </w:t>
      </w:r>
      <w:r w:rsidRPr="00A75269">
        <w:t xml:space="preserve">или с 16,0 %  повече спрямо събраните за същия период на 2025 г. </w:t>
      </w:r>
      <w:r w:rsidRPr="00A75269">
        <w:rPr>
          <w:i/>
        </w:rPr>
        <w:t>Данъчните приходи</w:t>
      </w:r>
      <w:r w:rsidRPr="00A75269">
        <w:t xml:space="preserve"> по общинските бюджети са в размер на 1 </w:t>
      </w:r>
      <w:r w:rsidRPr="00174693">
        <w:rPr>
          <w:lang w:val="ru-RU"/>
        </w:rPr>
        <w:t>413</w:t>
      </w:r>
      <w:r w:rsidRPr="00A75269">
        <w:t xml:space="preserve">,8  млн. лв. или </w:t>
      </w:r>
      <w:r w:rsidRPr="00174693">
        <w:rPr>
          <w:lang w:val="ru-RU"/>
        </w:rPr>
        <w:t>83</w:t>
      </w:r>
      <w:r w:rsidRPr="00A75269">
        <w:rPr>
          <w:lang w:val="ru-RU"/>
        </w:rPr>
        <w:t>,5</w:t>
      </w:r>
      <w:r w:rsidRPr="00A75269">
        <w:t> %  от годишните разчети към ЗДБРБ за 2025 г. и с 15,1 % (</w:t>
      </w:r>
      <w:r w:rsidRPr="00174693">
        <w:rPr>
          <w:lang w:val="ru-RU"/>
        </w:rPr>
        <w:t>185</w:t>
      </w:r>
      <w:r w:rsidRPr="00A75269">
        <w:t xml:space="preserve">,9 млн. лв.) повече спрямо тези за предходната година. </w:t>
      </w:r>
      <w:r w:rsidRPr="00A75269">
        <w:rPr>
          <w:i/>
        </w:rPr>
        <w:t>Неданъчните приходи и помощите</w:t>
      </w:r>
      <w:r w:rsidRPr="00A75269">
        <w:t xml:space="preserve"> възлизат на </w:t>
      </w:r>
      <w:r w:rsidRPr="00A75269">
        <w:rPr>
          <w:lang w:val="ru-RU"/>
        </w:rPr>
        <w:t xml:space="preserve">1 </w:t>
      </w:r>
      <w:r w:rsidRPr="00174693">
        <w:rPr>
          <w:lang w:val="ru-RU"/>
        </w:rPr>
        <w:t>671</w:t>
      </w:r>
      <w:r w:rsidRPr="00A75269">
        <w:t xml:space="preserve">,6 млн. лв. или </w:t>
      </w:r>
      <w:r w:rsidRPr="00174693">
        <w:rPr>
          <w:lang w:val="ru-RU"/>
        </w:rPr>
        <w:t>65</w:t>
      </w:r>
      <w:r w:rsidRPr="00A75269">
        <w:t xml:space="preserve">,6 % от разчетите и </w:t>
      </w:r>
      <w:r w:rsidRPr="00A75269">
        <w:rPr>
          <w:lang w:val="ru-RU"/>
        </w:rPr>
        <w:t>238</w:t>
      </w:r>
      <w:r w:rsidRPr="00A75269">
        <w:t>,9 млн. лв. повече спрямо деветте месеца на предходната година. От имуществени данъци в общинските бюджети към 30.09.2025 г. са постъпили 1 40</w:t>
      </w:r>
      <w:r w:rsidRPr="0012199F">
        <w:t>3,8 млн. лв., което представлява ръст от 15,2 % спрямо същия период на миналата година. С най-значителен дял в приходите от имуществени данъци е данъкът върху придобиването на имущество п</w:t>
      </w:r>
      <w:r w:rsidR="00CC4FE0">
        <w:t>о дарения и възмезден начин – 39,2</w:t>
      </w:r>
      <w:r w:rsidRPr="0012199F">
        <w:t xml:space="preserve"> %, следван от данъка върху недвижимите имоти – 29,7 %, данъка върху превозните средства – 29,1 % и туристическия данък – 2,0 %. Към 30.09.2025 г. по бюджетите на общините са постъпили 10,0 млн. лв. от патентен данък и данък върху таксиметров превоз на пътници. </w:t>
      </w:r>
    </w:p>
    <w:p w14:paraId="45B1EAD7" w14:textId="66695FE4" w:rsidR="00174693" w:rsidRPr="0012199F" w:rsidRDefault="00174693" w:rsidP="00174693">
      <w:pPr>
        <w:tabs>
          <w:tab w:val="center" w:pos="4153"/>
          <w:tab w:val="right" w:pos="8306"/>
        </w:tabs>
        <w:ind w:firstLine="567"/>
        <w:jc w:val="both"/>
      </w:pPr>
      <w:r w:rsidRPr="0012199F">
        <w:t xml:space="preserve">Общият размер на </w:t>
      </w:r>
      <w:r w:rsidRPr="00450AA2">
        <w:rPr>
          <w:i/>
        </w:rPr>
        <w:t>неданъчните приходи</w:t>
      </w:r>
      <w:r w:rsidRPr="0012199F">
        <w:t>, постъпили по местните бюджети към 30.09.2025</w:t>
      </w:r>
      <w:r w:rsidR="00797A09">
        <w:rPr>
          <w:lang w:val="en-US"/>
        </w:rPr>
        <w:t> </w:t>
      </w:r>
      <w:r w:rsidRPr="0012199F">
        <w:t>г., е 1 647,1 млн. лв. Най-голям относителен дял от неданъчните приходи в общинските бюджети заемат приходите от общински такси (</w:t>
      </w:r>
      <w:r w:rsidRPr="00174693">
        <w:rPr>
          <w:lang w:val="ru-RU"/>
        </w:rPr>
        <w:t>1 029</w:t>
      </w:r>
      <w:r w:rsidRPr="0012199F">
        <w:t>,3 млн. лв.) или 62,5 %, следват приходите и доходите от собственост (332,5 млн. лв.) – 20,2 %, постъпленията от продажба на нефинансови активи (163,5 млн. лв.) – 9,9 %, постъпленията от глоби, санкции и наказателни лихви (78,0 млн. лв.) – 4,7 %, приходите от концесии (68,9 млн. лв.) – 4,2 % и други неданъчни приходи (23,3 млн. лв.) – 1,4 %. Съпоставени със същия период на предходната 2024</w:t>
      </w:r>
      <w:r w:rsidR="00784CD2">
        <w:t> </w:t>
      </w:r>
      <w:r w:rsidRPr="0012199F">
        <w:t>г. постъплен</w:t>
      </w:r>
      <w:r>
        <w:t>ията от неданъчни приходи са с 234,9</w:t>
      </w:r>
      <w:r w:rsidRPr="0012199F">
        <w:t xml:space="preserve"> млн. лв. повече, като се наблюдава ръст във всички неданъчни приходи. </w:t>
      </w:r>
    </w:p>
    <w:p w14:paraId="558B185D" w14:textId="77777777" w:rsidR="00174693" w:rsidRPr="0012199F" w:rsidRDefault="00174693" w:rsidP="00174693">
      <w:pPr>
        <w:tabs>
          <w:tab w:val="center" w:pos="4153"/>
          <w:tab w:val="right" w:pos="8306"/>
        </w:tabs>
        <w:ind w:firstLine="567"/>
        <w:jc w:val="both"/>
      </w:pPr>
      <w:r w:rsidRPr="0012199F">
        <w:t xml:space="preserve">Към 30.09.2025 г. по общинските бюджети са постъпили 24,5 млн. лв. </w:t>
      </w:r>
      <w:r w:rsidRPr="00450AA2">
        <w:rPr>
          <w:i/>
        </w:rPr>
        <w:t>приходи от помощи и дарения</w:t>
      </w:r>
      <w:r w:rsidRPr="0012199F">
        <w:t>, които са с 4,1 млн. лв. повече спрямо размера им за същия период на миналата година.</w:t>
      </w:r>
    </w:p>
    <w:p w14:paraId="543294F4" w14:textId="77777777" w:rsidR="00174693" w:rsidRPr="0012199F" w:rsidRDefault="00174693" w:rsidP="00174693">
      <w:pPr>
        <w:numPr>
          <w:ilvl w:val="0"/>
          <w:numId w:val="20"/>
        </w:numPr>
        <w:tabs>
          <w:tab w:val="left" w:pos="851"/>
        </w:tabs>
        <w:spacing w:before="120" w:line="276" w:lineRule="auto"/>
        <w:ind w:left="533" w:firstLine="34"/>
        <w:jc w:val="both"/>
        <w:rPr>
          <w:b/>
        </w:rPr>
      </w:pPr>
      <w:r w:rsidRPr="0012199F">
        <w:rPr>
          <w:b/>
        </w:rPr>
        <w:lastRenderedPageBreak/>
        <w:t>Разходи</w:t>
      </w:r>
    </w:p>
    <w:p w14:paraId="3389476F" w14:textId="1903A0D0" w:rsidR="00174693" w:rsidRPr="002807FE" w:rsidRDefault="00174693" w:rsidP="00174693">
      <w:pPr>
        <w:ind w:firstLine="533"/>
        <w:jc w:val="both"/>
        <w:rPr>
          <w:color w:val="0070C0"/>
        </w:rPr>
      </w:pPr>
      <w:r w:rsidRPr="0012199F">
        <w:t xml:space="preserve">Към 30.09.2025 г. общините са отчели общо </w:t>
      </w:r>
      <w:r w:rsidRPr="0012199F">
        <w:rPr>
          <w:b/>
        </w:rPr>
        <w:t>разходи</w:t>
      </w:r>
      <w:r w:rsidRPr="0012199F">
        <w:t xml:space="preserve"> в размер на </w:t>
      </w:r>
      <w:r w:rsidRPr="00174693">
        <w:rPr>
          <w:lang w:val="ru-RU"/>
        </w:rPr>
        <w:t>10</w:t>
      </w:r>
      <w:r w:rsidRPr="0012199F">
        <w:t> </w:t>
      </w:r>
      <w:r w:rsidRPr="00174693">
        <w:rPr>
          <w:lang w:val="ru-RU"/>
        </w:rPr>
        <w:t>930</w:t>
      </w:r>
      <w:r w:rsidRPr="0012199F">
        <w:t>,</w:t>
      </w:r>
      <w:r w:rsidRPr="0012199F">
        <w:rPr>
          <w:lang w:val="ru-RU"/>
        </w:rPr>
        <w:t xml:space="preserve">2 </w:t>
      </w:r>
      <w:r w:rsidRPr="0012199F">
        <w:t xml:space="preserve">млн. лв., включително за сметка на предоставени допълнителни трансфери главно от държавния бюджет, и представляват </w:t>
      </w:r>
      <w:r w:rsidRPr="00174693">
        <w:rPr>
          <w:lang w:val="ru-RU"/>
        </w:rPr>
        <w:t>92</w:t>
      </w:r>
      <w:r w:rsidRPr="0012199F">
        <w:t>,4 % от разчетите по ЗДБРБ за 2025 г. и</w:t>
      </w:r>
      <w:r w:rsidRPr="0012199F">
        <w:rPr>
          <w:lang w:val="ru-RU"/>
        </w:rPr>
        <w:t xml:space="preserve"> </w:t>
      </w:r>
      <w:r w:rsidRPr="0012199F">
        <w:t xml:space="preserve">с </w:t>
      </w:r>
      <w:r w:rsidRPr="00174693">
        <w:rPr>
          <w:lang w:val="ru-RU"/>
        </w:rPr>
        <w:t>11</w:t>
      </w:r>
      <w:r w:rsidRPr="0012199F">
        <w:rPr>
          <w:lang w:val="ru-RU"/>
        </w:rPr>
        <w:t>,6 % (</w:t>
      </w:r>
      <w:r w:rsidRPr="00174693">
        <w:rPr>
          <w:lang w:val="ru-RU"/>
        </w:rPr>
        <w:t>1 140</w:t>
      </w:r>
      <w:r w:rsidRPr="0012199F">
        <w:rPr>
          <w:lang w:val="ru-RU"/>
        </w:rPr>
        <w:t xml:space="preserve">,0 </w:t>
      </w:r>
      <w:r w:rsidRPr="0012199F">
        <w:t>млн. лв.</w:t>
      </w:r>
      <w:r w:rsidRPr="0012199F">
        <w:rPr>
          <w:lang w:val="ru-RU"/>
        </w:rPr>
        <w:t>)</w:t>
      </w:r>
      <w:r w:rsidRPr="0012199F">
        <w:t xml:space="preserve"> повече от с</w:t>
      </w:r>
      <w:r w:rsidRPr="00744B15">
        <w:t>ъщия период на миналата година</w:t>
      </w:r>
      <w:r w:rsidRPr="00744B15">
        <w:rPr>
          <w:lang w:val="ru-RU"/>
        </w:rPr>
        <w:t xml:space="preserve">. </w:t>
      </w:r>
      <w:r w:rsidRPr="00744B15">
        <w:rPr>
          <w:i/>
        </w:rPr>
        <w:t>Нелихвените разходи</w:t>
      </w:r>
      <w:r w:rsidRPr="00744B15">
        <w:t xml:space="preserve"> възлизат на </w:t>
      </w:r>
      <w:r w:rsidRPr="00174693">
        <w:rPr>
          <w:lang w:val="ru-RU" w:eastAsia="bg-BG"/>
        </w:rPr>
        <w:t>10</w:t>
      </w:r>
      <w:r w:rsidRPr="00744B15">
        <w:rPr>
          <w:lang w:val="en-US" w:eastAsia="bg-BG"/>
        </w:rPr>
        <w:t> </w:t>
      </w:r>
      <w:r w:rsidRPr="00174693">
        <w:rPr>
          <w:lang w:val="ru-RU" w:eastAsia="bg-BG"/>
        </w:rPr>
        <w:t>890</w:t>
      </w:r>
      <w:r w:rsidRPr="00744B15">
        <w:rPr>
          <w:lang w:eastAsia="bg-BG"/>
        </w:rPr>
        <w:t>,1</w:t>
      </w:r>
      <w:r w:rsidRPr="00744B15">
        <w:rPr>
          <w:lang w:val="ru-RU" w:eastAsia="bg-BG"/>
        </w:rPr>
        <w:t xml:space="preserve"> </w:t>
      </w:r>
      <w:r w:rsidRPr="00744B15">
        <w:t>млн. лв.</w:t>
      </w:r>
      <w:r w:rsidRPr="00744B15">
        <w:rPr>
          <w:lang w:val="ru-RU"/>
        </w:rPr>
        <w:t xml:space="preserve"> С най-голям относителен дял са</w:t>
      </w:r>
      <w:r w:rsidRPr="00744B15">
        <w:t xml:space="preserve"> разходите за персонал (</w:t>
      </w:r>
      <w:r w:rsidRPr="00744B15">
        <w:rPr>
          <w:bCs/>
        </w:rPr>
        <w:t>заплати и възнаграждения, други възнаграждения и плащания за персонала и осигурителни вноски), които</w:t>
      </w:r>
      <w:r w:rsidRPr="00744B15">
        <w:t xml:space="preserve"> са в размер </w:t>
      </w:r>
      <w:r w:rsidRPr="00111BFE">
        <w:t xml:space="preserve">на </w:t>
      </w:r>
      <w:r w:rsidRPr="00111BFE">
        <w:rPr>
          <w:lang w:val="ru-RU"/>
        </w:rPr>
        <w:t>6</w:t>
      </w:r>
      <w:r w:rsidRPr="00111BFE">
        <w:t> </w:t>
      </w:r>
      <w:r w:rsidRPr="00111BFE">
        <w:rPr>
          <w:lang w:val="ru-RU"/>
        </w:rPr>
        <w:t>475</w:t>
      </w:r>
      <w:r w:rsidRPr="00111BFE">
        <w:t>,</w:t>
      </w:r>
      <w:r w:rsidRPr="00111BFE">
        <w:rPr>
          <w:lang w:val="ru-RU"/>
        </w:rPr>
        <w:t>1</w:t>
      </w:r>
      <w:r w:rsidR="00797A09">
        <w:rPr>
          <w:lang w:val="en-US"/>
        </w:rPr>
        <w:t> </w:t>
      </w:r>
      <w:r w:rsidRPr="00111BFE">
        <w:t xml:space="preserve">млн. лв. – </w:t>
      </w:r>
      <w:r w:rsidRPr="00174693">
        <w:rPr>
          <w:lang w:val="ru-RU"/>
        </w:rPr>
        <w:t>59</w:t>
      </w:r>
      <w:r w:rsidRPr="00111BFE">
        <w:t xml:space="preserve">,5 %, следвани от  разходите за издръжка </w:t>
      </w:r>
      <w:r w:rsidRPr="00111BFE">
        <w:rPr>
          <w:bCs/>
        </w:rPr>
        <w:t>(вкл. разходи за членски внос и участие в нетърговски организации и дейности, платени данъци, такси и административни санкции), които</w:t>
      </w:r>
      <w:r w:rsidRPr="00111BFE">
        <w:t xml:space="preserve"> са в размер на</w:t>
      </w:r>
      <w:r w:rsidRPr="00111BFE">
        <w:rPr>
          <w:lang w:val="ru-RU"/>
        </w:rPr>
        <w:t xml:space="preserve"> </w:t>
      </w:r>
      <w:r w:rsidRPr="00174693">
        <w:rPr>
          <w:lang w:val="ru-RU"/>
        </w:rPr>
        <w:t>2</w:t>
      </w:r>
      <w:r w:rsidRPr="00111BFE">
        <w:rPr>
          <w:lang w:val="ru-RU"/>
        </w:rPr>
        <w:t xml:space="preserve"> </w:t>
      </w:r>
      <w:r w:rsidRPr="00174693">
        <w:rPr>
          <w:lang w:val="ru-RU"/>
        </w:rPr>
        <w:t>230</w:t>
      </w:r>
      <w:r w:rsidRPr="00111BFE">
        <w:t>,9 млн. лв. – 20,5</w:t>
      </w:r>
      <w:r w:rsidRPr="00111BFE">
        <w:rPr>
          <w:lang w:val="en-US"/>
        </w:rPr>
        <w:t> </w:t>
      </w:r>
      <w:r w:rsidRPr="00111BFE">
        <w:t xml:space="preserve">%. Разходите за субсидии възлизат на </w:t>
      </w:r>
      <w:r w:rsidRPr="00174693">
        <w:rPr>
          <w:lang w:val="ru-RU"/>
        </w:rPr>
        <w:t>616</w:t>
      </w:r>
      <w:r w:rsidRPr="00111BFE">
        <w:rPr>
          <w:lang w:val="ru-RU"/>
        </w:rPr>
        <w:t>,</w:t>
      </w:r>
      <w:r w:rsidRPr="00111BFE">
        <w:t>9</w:t>
      </w:r>
      <w:r w:rsidR="00797A09">
        <w:rPr>
          <w:lang w:val="en-US"/>
        </w:rPr>
        <w:t> </w:t>
      </w:r>
      <w:r w:rsidRPr="00111BFE">
        <w:t xml:space="preserve">млн. лв. </w:t>
      </w:r>
      <w:r w:rsidRPr="00111BFE">
        <w:rPr>
          <w:lang w:eastAsia="bg-BG"/>
        </w:rPr>
        <w:t>В разходите за субсидии за нефинансови предприятия се отчитат предоставените от общините субсидии за вътрешноградски и междуселищни превози на транспортните фирми и дружества, които се планират в централния бюджет, както и тези, които се предоставят по решение на общинския съвет. Като разходи за субсидии за организации с нестопанска цел се отчитат отпусканите по решение на общинския съвет субсидии по реда на Закона за физкултурата и спорта за подпомагане дейността на спортните клубове в общините</w:t>
      </w:r>
      <w:r w:rsidRPr="00111BFE">
        <w:rPr>
          <w:lang w:val="ru-RU" w:eastAsia="bg-BG"/>
        </w:rPr>
        <w:t xml:space="preserve"> (</w:t>
      </w:r>
      <w:r w:rsidRPr="00111BFE">
        <w:rPr>
          <w:lang w:eastAsia="bg-BG"/>
        </w:rPr>
        <w:t>отчитат се в местните дейности</w:t>
      </w:r>
      <w:r w:rsidRPr="000F116C">
        <w:rPr>
          <w:lang w:val="ru-RU" w:eastAsia="bg-BG"/>
        </w:rPr>
        <w:t>)</w:t>
      </w:r>
      <w:r w:rsidRPr="000F116C">
        <w:rPr>
          <w:lang w:eastAsia="bg-BG"/>
        </w:rPr>
        <w:t>.</w:t>
      </w:r>
      <w:r w:rsidRPr="000F116C">
        <w:t xml:space="preserve"> </w:t>
      </w:r>
      <w:r w:rsidRPr="000F116C">
        <w:rPr>
          <w:bCs/>
        </w:rPr>
        <w:t>Социалните разходи (</w:t>
      </w:r>
      <w:r w:rsidRPr="000F116C">
        <w:t xml:space="preserve">текущи трансфери, обезщетения и помощи за домакинствата, </w:t>
      </w:r>
      <w:r w:rsidRPr="000F116C">
        <w:rPr>
          <w:bCs/>
        </w:rPr>
        <w:t>вкл. разходите за стипендии)</w:t>
      </w:r>
      <w:r w:rsidRPr="000F116C">
        <w:t xml:space="preserve"> са в размер на </w:t>
      </w:r>
      <w:r w:rsidRPr="00174693">
        <w:rPr>
          <w:lang w:val="ru-RU"/>
        </w:rPr>
        <w:t>264</w:t>
      </w:r>
      <w:r w:rsidRPr="000F116C">
        <w:t>,2 млн. лева.</w:t>
      </w:r>
    </w:p>
    <w:p w14:paraId="34862B4A" w14:textId="7DD96839" w:rsidR="00174693" w:rsidRPr="0063796A" w:rsidRDefault="00174693" w:rsidP="00174693">
      <w:pPr>
        <w:tabs>
          <w:tab w:val="center" w:pos="4153"/>
          <w:tab w:val="right" w:pos="8306"/>
        </w:tabs>
        <w:ind w:firstLine="567"/>
        <w:jc w:val="both"/>
      </w:pPr>
      <w:r w:rsidRPr="00DE4E6A">
        <w:t xml:space="preserve">Капиталовите разходи са в размер на </w:t>
      </w:r>
      <w:r w:rsidRPr="00174693">
        <w:rPr>
          <w:lang w:val="ru-RU"/>
        </w:rPr>
        <w:t>1 301</w:t>
      </w:r>
      <w:r w:rsidRPr="00DE4E6A">
        <w:t xml:space="preserve">,7 млн. лв. </w:t>
      </w:r>
      <w:r w:rsidRPr="0063796A">
        <w:t>и в сравнение със същия период на 2024 г. са по-малко със 27,6 млн. лв., което е в резултат от прилагане на разпоредбата на чл. 98 от Закона за публичните финанси през първото тримесечие на 2025 г. В общия размер на капиталовите разходи най-съществен дял – 50,1</w:t>
      </w:r>
      <w:r>
        <w:t xml:space="preserve"> </w:t>
      </w:r>
      <w:r w:rsidRPr="0063796A">
        <w:t>%, заемат разходите за основен ремонт – 651,9</w:t>
      </w:r>
      <w:r w:rsidR="00797A09">
        <w:rPr>
          <w:lang w:val="en-US"/>
        </w:rPr>
        <w:t> </w:t>
      </w:r>
      <w:r w:rsidRPr="0063796A">
        <w:t>млн. лв. и придобиване на ДМА – 47,0</w:t>
      </w:r>
      <w:r>
        <w:t xml:space="preserve"> </w:t>
      </w:r>
      <w:r w:rsidRPr="0063796A">
        <w:t>% дял, 611,7 млн. лева.</w:t>
      </w:r>
    </w:p>
    <w:p w14:paraId="1A37980B" w14:textId="77777777" w:rsidR="00174693" w:rsidRPr="0063796A" w:rsidRDefault="00174693" w:rsidP="00174693">
      <w:pPr>
        <w:tabs>
          <w:tab w:val="center" w:pos="4153"/>
          <w:tab w:val="right" w:pos="8306"/>
        </w:tabs>
        <w:ind w:firstLine="567"/>
        <w:jc w:val="both"/>
      </w:pPr>
      <w:r w:rsidRPr="00744B15">
        <w:rPr>
          <w:i/>
        </w:rPr>
        <w:t xml:space="preserve">Разходите за лихви </w:t>
      </w:r>
      <w:r w:rsidRPr="00744B15">
        <w:t>към</w:t>
      </w:r>
      <w:r w:rsidRPr="00744B15">
        <w:rPr>
          <w:i/>
        </w:rPr>
        <w:t xml:space="preserve"> </w:t>
      </w:r>
      <w:r w:rsidRPr="00744B15">
        <w:t xml:space="preserve">30.09.2025 г. възлизат на </w:t>
      </w:r>
      <w:r w:rsidRPr="00174693">
        <w:rPr>
          <w:lang w:val="ru-RU"/>
        </w:rPr>
        <w:t>40</w:t>
      </w:r>
      <w:r w:rsidRPr="00744B15">
        <w:t xml:space="preserve">,0 млн. лв. </w:t>
      </w:r>
      <w:r w:rsidRPr="0063796A">
        <w:t>Към същия период на 202</w:t>
      </w:r>
      <w:r w:rsidRPr="00174693">
        <w:rPr>
          <w:lang w:val="ru-RU"/>
        </w:rPr>
        <w:t>4</w:t>
      </w:r>
      <w:r w:rsidRPr="0063796A">
        <w:t xml:space="preserve"> г. те са били </w:t>
      </w:r>
      <w:r w:rsidRPr="00174693">
        <w:rPr>
          <w:lang w:val="ru-RU"/>
        </w:rPr>
        <w:t>39,2</w:t>
      </w:r>
      <w:r w:rsidRPr="0063796A">
        <w:t xml:space="preserve"> млн. лв. или с 0,9 млн. лв. по-малко.</w:t>
      </w:r>
      <w:r w:rsidRPr="00174693">
        <w:rPr>
          <w:lang w:val="ru-RU"/>
        </w:rPr>
        <w:t xml:space="preserve"> </w:t>
      </w:r>
      <w:r w:rsidRPr="00744B15">
        <w:t xml:space="preserve">Лихвените плащания за деветте месеца на тази година по заеми от чужбина са в размер на </w:t>
      </w:r>
      <w:r w:rsidRPr="0063796A">
        <w:t>1</w:t>
      </w:r>
      <w:r w:rsidRPr="00174693">
        <w:rPr>
          <w:lang w:val="ru-RU"/>
        </w:rPr>
        <w:t xml:space="preserve">8,4 </w:t>
      </w:r>
      <w:r>
        <w:t>млн. лв., при 13,2</w:t>
      </w:r>
      <w:r w:rsidRPr="0063796A">
        <w:t xml:space="preserve"> млн. лв. към същия период на миналата година, като най-голям размер е отчетен от Столична община (17,7 млн. лв.). </w:t>
      </w:r>
    </w:p>
    <w:p w14:paraId="543AA86C" w14:textId="1622FA8B" w:rsidR="00BA0B08" w:rsidRDefault="00174693" w:rsidP="00174693">
      <w:pPr>
        <w:widowControl w:val="0"/>
        <w:tabs>
          <w:tab w:val="center" w:pos="4153"/>
          <w:tab w:val="right" w:pos="8306"/>
        </w:tabs>
        <w:ind w:firstLine="567"/>
        <w:jc w:val="both"/>
      </w:pPr>
      <w:r w:rsidRPr="0063796A">
        <w:t>По облигационните заеми платените лихви от общините са 0,8 млн. лв., които са с 0,3 млн. лв. по-малко спрямо същия период на предходната година. По заеми към местни лица от страната (заеми от банки, заеми от „ФЛАГ</w:t>
      </w:r>
      <w:r w:rsidRPr="00174693">
        <w:rPr>
          <w:lang w:val="ru-RU"/>
        </w:rPr>
        <w:t>”</w:t>
      </w:r>
      <w:r w:rsidRPr="0063796A">
        <w:t xml:space="preserve"> ЕАД и др. местни лица) платените о</w:t>
      </w:r>
      <w:r w:rsidR="00310740">
        <w:t>т общините разходи за лихви са 8,0</w:t>
      </w:r>
      <w:r w:rsidRPr="0063796A">
        <w:t xml:space="preserve"> млн. лв., като при тях е отчетено намаление спрямо същия период на 2024 г. (към 30.09.2024 г. т</w:t>
      </w:r>
      <w:r w:rsidR="00310740">
        <w:t>е са били 9,6 млн. лв. или с 1,6</w:t>
      </w:r>
      <w:r w:rsidRPr="0063796A">
        <w:t xml:space="preserve"> млн. лв. повече)</w:t>
      </w:r>
      <w:r w:rsidR="00310740">
        <w:t>,</w:t>
      </w:r>
      <w:r w:rsidR="00310740" w:rsidRPr="00310740">
        <w:t xml:space="preserve"> </w:t>
      </w:r>
      <w:r w:rsidR="00310740">
        <w:t>а платените лихви по заеми от банки в страната са 10,0 млн. лв. (с 2,4 млн. лв. по-малко от предходната година)</w:t>
      </w:r>
      <w:r w:rsidRPr="0063796A">
        <w:t>. Отчетените лихвени</w:t>
      </w:r>
      <w:r w:rsidRPr="0063796A">
        <w:tab/>
        <w:t xml:space="preserve"> разходи по задължения, представляващи форми на общински дълг (лихви по финансов лизинг и търго</w:t>
      </w:r>
      <w:r w:rsidR="00310740">
        <w:t>вски кредити) са в размер на 0,2</w:t>
      </w:r>
      <w:r w:rsidRPr="0063796A">
        <w:t xml:space="preserve"> млн. лв. Платените от общините за </w:t>
      </w:r>
      <w:r w:rsidR="00CC4FE0">
        <w:t>деветмесечието</w:t>
      </w:r>
      <w:r w:rsidRPr="0063796A">
        <w:t xml:space="preserve"> на 2025</w:t>
      </w:r>
      <w:r w:rsidR="00CC4FE0">
        <w:t> </w:t>
      </w:r>
      <w:r w:rsidRPr="0063796A">
        <w:t xml:space="preserve">г. законни лихви по </w:t>
      </w:r>
      <w:r>
        <w:t>н</w:t>
      </w:r>
      <w:r w:rsidRPr="0063796A">
        <w:t>евъзстановени от тях в срок безлихвени заеми, предоставени им от централния бюджет за покриване на временен недостиг на средства и за финансово</w:t>
      </w:r>
      <w:r w:rsidR="00310740">
        <w:t xml:space="preserve"> оздравяване, са в размер на 0,7</w:t>
      </w:r>
      <w:r w:rsidRPr="0063796A">
        <w:t xml:space="preserve"> млн. лв. Общините отчитат и други разходи за лих</w:t>
      </w:r>
      <w:r w:rsidR="00310740">
        <w:t>ви към местни лица в размер на 1,9</w:t>
      </w:r>
      <w:r w:rsidRPr="0063796A">
        <w:t xml:space="preserve"> млн. л</w:t>
      </w:r>
      <w:r>
        <w:rPr>
          <w:lang w:val="en-US"/>
        </w:rPr>
        <w:t>e</w:t>
      </w:r>
      <w:r w:rsidRPr="0063796A">
        <w:t>в</w:t>
      </w:r>
      <w:r>
        <w:t>а</w:t>
      </w:r>
      <w:r w:rsidRPr="0063796A">
        <w:t>.</w:t>
      </w:r>
    </w:p>
    <w:p w14:paraId="61D08F86" w14:textId="7CB0855A" w:rsidR="00174693" w:rsidRPr="002807FE" w:rsidRDefault="00174693" w:rsidP="00174693">
      <w:pPr>
        <w:widowControl w:val="0"/>
        <w:tabs>
          <w:tab w:val="center" w:pos="4153"/>
          <w:tab w:val="right" w:pos="8306"/>
        </w:tabs>
        <w:ind w:firstLine="567"/>
        <w:jc w:val="both"/>
        <w:rPr>
          <w:rFonts w:eastAsia="Calibri"/>
          <w:color w:val="0070C0"/>
          <w:sz w:val="8"/>
        </w:rPr>
      </w:pPr>
      <w:r w:rsidRPr="002807FE">
        <w:rPr>
          <w:color w:val="0070C0"/>
        </w:rPr>
        <w:tab/>
      </w:r>
    </w:p>
    <w:p w14:paraId="191EE3FE" w14:textId="77777777" w:rsidR="00174693" w:rsidRDefault="00174693" w:rsidP="00174693">
      <w:pPr>
        <w:numPr>
          <w:ilvl w:val="0"/>
          <w:numId w:val="20"/>
        </w:numPr>
        <w:tabs>
          <w:tab w:val="left" w:pos="851"/>
        </w:tabs>
        <w:spacing w:before="120" w:line="276" w:lineRule="auto"/>
        <w:ind w:left="533" w:firstLine="34"/>
        <w:jc w:val="both"/>
        <w:rPr>
          <w:b/>
        </w:rPr>
      </w:pPr>
      <w:r w:rsidRPr="00DE4E6A">
        <w:rPr>
          <w:b/>
        </w:rPr>
        <w:t>Финансиране</w:t>
      </w:r>
    </w:p>
    <w:p w14:paraId="511D58B8" w14:textId="77777777" w:rsidR="00174693" w:rsidRPr="0063796A" w:rsidRDefault="00174693" w:rsidP="00174693">
      <w:pPr>
        <w:ind w:firstLine="708"/>
        <w:jc w:val="both"/>
        <w:rPr>
          <w:noProof/>
        </w:rPr>
      </w:pPr>
      <w:r w:rsidRPr="0063796A">
        <w:rPr>
          <w:noProof/>
        </w:rPr>
        <w:t>Към 30.09.2025 г. по общинските бюджети, от договори с чуждестранни кредитори, са получени заемни средства, в размер на 121,3 млн. лв. Основно средствата са отчетени от Столична община (117,3 млн. лв.), като те са за финансиране на проекти за осигуряване на транспортна свързаност и достъпна среда, както и за раз</w:t>
      </w:r>
      <w:r>
        <w:rPr>
          <w:noProof/>
        </w:rPr>
        <w:t>ширяване на метрото. Средства</w:t>
      </w:r>
      <w:r w:rsidRPr="0063796A">
        <w:rPr>
          <w:noProof/>
        </w:rPr>
        <w:t xml:space="preserve"> в размер</w:t>
      </w:r>
      <w:r>
        <w:rPr>
          <w:noProof/>
        </w:rPr>
        <w:t xml:space="preserve"> на 4,0 млн. лв.</w:t>
      </w:r>
      <w:r w:rsidRPr="0063796A">
        <w:rPr>
          <w:noProof/>
        </w:rPr>
        <w:t xml:space="preserve"> са отчетени от община Бургас и са предназначени за финансиране на проект по изграждане на Многопрофилна болница за активно лечение на детски болести – Бургас.</w:t>
      </w:r>
    </w:p>
    <w:p w14:paraId="6DE175B0" w14:textId="7C1A57C6" w:rsidR="00174693" w:rsidRPr="0063796A" w:rsidRDefault="00174693" w:rsidP="00174693">
      <w:pPr>
        <w:ind w:firstLine="708"/>
        <w:jc w:val="both"/>
        <w:rPr>
          <w:noProof/>
        </w:rPr>
      </w:pPr>
      <w:r w:rsidRPr="0063796A">
        <w:rPr>
          <w:noProof/>
        </w:rPr>
        <w:t>Изплатените главници от общинските бюджети по външните заеми от началото на годината до 30.09.2025 г. са в размер на 30,8 млн. лв.</w:t>
      </w:r>
      <w:r w:rsidR="0096512C">
        <w:rPr>
          <w:noProof/>
        </w:rPr>
        <w:t xml:space="preserve">  – основно от Столична община</w:t>
      </w:r>
      <w:r w:rsidRPr="0063796A">
        <w:rPr>
          <w:noProof/>
        </w:rPr>
        <w:t xml:space="preserve"> (27,6 млн. лв.). </w:t>
      </w:r>
    </w:p>
    <w:p w14:paraId="7D6CE1E3" w14:textId="479182FA" w:rsidR="00174693" w:rsidRPr="0063796A" w:rsidRDefault="00174693" w:rsidP="00174693">
      <w:pPr>
        <w:ind w:firstLine="708"/>
        <w:jc w:val="both"/>
        <w:rPr>
          <w:noProof/>
        </w:rPr>
      </w:pPr>
      <w:r w:rsidRPr="0063796A">
        <w:rPr>
          <w:noProof/>
        </w:rPr>
        <w:t xml:space="preserve">За </w:t>
      </w:r>
      <w:r>
        <w:rPr>
          <w:noProof/>
        </w:rPr>
        <w:t>деветмесечието</w:t>
      </w:r>
      <w:r w:rsidRPr="0063796A">
        <w:rPr>
          <w:noProof/>
        </w:rPr>
        <w:t xml:space="preserve"> на 2025 г. получените заемни средства от банки в страната, отчетени по общинските бюджети, са в размер на 61,5 млн. лв., а от други местни лица са 64,3 млн. лв. („ФЛАГ</w:t>
      </w:r>
      <w:r w:rsidRPr="00174693">
        <w:rPr>
          <w:noProof/>
          <w:lang w:val="ru-RU"/>
        </w:rPr>
        <w:t xml:space="preserve">” </w:t>
      </w:r>
      <w:r w:rsidRPr="0063796A">
        <w:rPr>
          <w:noProof/>
        </w:rPr>
        <w:t xml:space="preserve">ЕАД) или общо получените заемни средства от лица в страната са 125,8 млн. лв. </w:t>
      </w:r>
      <w:r w:rsidRPr="0063796A">
        <w:rPr>
          <w:noProof/>
        </w:rPr>
        <w:lastRenderedPageBreak/>
        <w:t>Изплатените от общините главници по банкови заеми от стр</w:t>
      </w:r>
      <w:r>
        <w:rPr>
          <w:noProof/>
        </w:rPr>
        <w:t>аната са отчетени в размер на 72,4</w:t>
      </w:r>
      <w:r w:rsidR="00797A09">
        <w:rPr>
          <w:noProof/>
          <w:lang w:val="en-US"/>
        </w:rPr>
        <w:t> </w:t>
      </w:r>
      <w:r w:rsidRPr="0063796A">
        <w:rPr>
          <w:noProof/>
        </w:rPr>
        <w:t>млн. лв. Погасените главници  по заеми от др. лица</w:t>
      </w:r>
      <w:r>
        <w:rPr>
          <w:noProof/>
        </w:rPr>
        <w:t xml:space="preserve"> от страната са 73,2</w:t>
      </w:r>
      <w:r w:rsidR="0096512C">
        <w:rPr>
          <w:noProof/>
        </w:rPr>
        <w:t xml:space="preserve"> млн. лв., в т.ч. 61,1</w:t>
      </w:r>
      <w:r w:rsidR="00797A09">
        <w:rPr>
          <w:noProof/>
          <w:lang w:val="en-US"/>
        </w:rPr>
        <w:t> </w:t>
      </w:r>
      <w:r w:rsidRPr="0063796A">
        <w:rPr>
          <w:noProof/>
        </w:rPr>
        <w:t>млн. лв. към „ФЛАГ</w:t>
      </w:r>
      <w:r w:rsidRPr="00174693">
        <w:rPr>
          <w:noProof/>
          <w:lang w:val="ru-RU"/>
        </w:rPr>
        <w:t>”</w:t>
      </w:r>
      <w:r w:rsidRPr="0063796A">
        <w:rPr>
          <w:noProof/>
        </w:rPr>
        <w:t xml:space="preserve"> ЕАД, а останалите са по заеми към Фонд „Енергийна ефективност и възобновяеми източници“ и към други кредитори по договори за заеми по финансов инструмент, управляван от „Фонд Мениджър на финансови инструменти в България“ ЕАД. Общият размер на погашенията за периода по заемите от страната (145,6 млн. лв.) е по-голям от получените заемни средства за същия период, поради което нетният размер на операциите по тези заеми за </w:t>
      </w:r>
      <w:r>
        <w:rPr>
          <w:noProof/>
        </w:rPr>
        <w:t>деветмесечието</w:t>
      </w:r>
      <w:r w:rsidRPr="0063796A">
        <w:rPr>
          <w:noProof/>
        </w:rPr>
        <w:t xml:space="preserve"> за 2025</w:t>
      </w:r>
      <w:r>
        <w:rPr>
          <w:noProof/>
        </w:rPr>
        <w:t> </w:t>
      </w:r>
      <w:r w:rsidRPr="0063796A">
        <w:rPr>
          <w:noProof/>
        </w:rPr>
        <w:t>г. е отрицателен (- 19,9) млн. лв. За същ</w:t>
      </w:r>
      <w:r w:rsidR="0096512C">
        <w:rPr>
          <w:noProof/>
        </w:rPr>
        <w:t>ия период на 2024</w:t>
      </w:r>
      <w:r w:rsidR="000379BC">
        <w:rPr>
          <w:noProof/>
        </w:rPr>
        <w:t> </w:t>
      </w:r>
      <w:r w:rsidR="0096512C">
        <w:rPr>
          <w:noProof/>
        </w:rPr>
        <w:t>г. общините</w:t>
      </w:r>
      <w:r w:rsidRPr="0063796A">
        <w:rPr>
          <w:noProof/>
        </w:rPr>
        <w:t xml:space="preserve"> </w:t>
      </w:r>
      <w:r w:rsidR="0096512C">
        <w:rPr>
          <w:noProof/>
        </w:rPr>
        <w:t xml:space="preserve"> също са </w:t>
      </w:r>
      <w:r w:rsidRPr="0063796A">
        <w:rPr>
          <w:noProof/>
        </w:rPr>
        <w:t xml:space="preserve">обслужвали повече дълг (платени са главници в размер на 213,2 млн. лв.), а получените от тях заемни средства от местни лица са били по-малко (117,1 млн. лв. ). </w:t>
      </w:r>
    </w:p>
    <w:p w14:paraId="5522B288" w14:textId="77777777" w:rsidR="00174693" w:rsidRPr="0063796A" w:rsidRDefault="00174693" w:rsidP="00174693">
      <w:pPr>
        <w:ind w:firstLine="708"/>
        <w:jc w:val="both"/>
        <w:rPr>
          <w:noProof/>
        </w:rPr>
      </w:pPr>
      <w:r w:rsidRPr="0063796A">
        <w:rPr>
          <w:noProof/>
        </w:rPr>
        <w:t xml:space="preserve">Погашенията за периода по емитирани през предходни периоди общински ценни книжа са отчетени в размер на 2,9 млн. лв. от 5 общини. </w:t>
      </w:r>
    </w:p>
    <w:p w14:paraId="2F27E8FE" w14:textId="77777777" w:rsidR="00174693" w:rsidRPr="0063796A" w:rsidRDefault="00174693" w:rsidP="00174693">
      <w:pPr>
        <w:ind w:firstLine="708"/>
        <w:jc w:val="both"/>
        <w:rPr>
          <w:noProof/>
        </w:rPr>
      </w:pPr>
      <w:r w:rsidRPr="0063796A">
        <w:rPr>
          <w:noProof/>
        </w:rPr>
        <w:t xml:space="preserve">За отчетния период няма емитиран нов общински дълг. </w:t>
      </w:r>
    </w:p>
    <w:p w14:paraId="29222D18" w14:textId="77777777" w:rsidR="00174693" w:rsidRPr="0063796A" w:rsidRDefault="00174693" w:rsidP="00174693">
      <w:pPr>
        <w:ind w:firstLine="708"/>
        <w:jc w:val="both"/>
        <w:rPr>
          <w:noProof/>
        </w:rPr>
      </w:pPr>
      <w:r w:rsidRPr="0063796A">
        <w:rPr>
          <w:noProof/>
        </w:rPr>
        <w:t xml:space="preserve">Другото финансиране /нето/ по общинските бюджети към 30.09.2025 г. е </w:t>
      </w:r>
      <w:r w:rsidRPr="00174693">
        <w:rPr>
          <w:noProof/>
          <w:lang w:val="ru-RU"/>
        </w:rPr>
        <w:t>(</w:t>
      </w:r>
      <w:r>
        <w:rPr>
          <w:noProof/>
        </w:rPr>
        <w:t>-</w:t>
      </w:r>
      <w:r w:rsidRPr="00174693">
        <w:rPr>
          <w:noProof/>
          <w:lang w:val="ru-RU"/>
        </w:rPr>
        <w:t xml:space="preserve"> 7,9) </w:t>
      </w:r>
      <w:r w:rsidRPr="0063796A">
        <w:rPr>
          <w:noProof/>
        </w:rPr>
        <w:t>млн. лв., като съществена част от него представляват отчетените операции по Закона за управление на отпадъците. Нетният размер за периода на задълженията и погашенията по финансов лизинг и търговски кредити, като форми на дълг, е в размер на около 1 млн. лв. (3,7 млн. лв. задължения и 2,7 млн. лв. погашения).</w:t>
      </w:r>
    </w:p>
    <w:p w14:paraId="1F28BCE0" w14:textId="77777777" w:rsidR="00174693" w:rsidRPr="0063796A" w:rsidRDefault="00174693" w:rsidP="00174693">
      <w:pPr>
        <w:ind w:firstLine="708"/>
        <w:jc w:val="both"/>
        <w:rPr>
          <w:noProof/>
        </w:rPr>
      </w:pPr>
      <w:r w:rsidRPr="0063796A">
        <w:rPr>
          <w:noProof/>
        </w:rPr>
        <w:t xml:space="preserve">Нетният размер на събраните средства и извършени плащания от общините за сметка на други бюджети, сметки и фондове е положителен и е в размер на </w:t>
      </w:r>
      <w:r w:rsidRPr="00174693">
        <w:rPr>
          <w:noProof/>
          <w:lang w:val="ru-RU"/>
        </w:rPr>
        <w:t>25</w:t>
      </w:r>
      <w:r>
        <w:rPr>
          <w:noProof/>
        </w:rPr>
        <w:t>,6</w:t>
      </w:r>
      <w:r w:rsidRPr="0063796A">
        <w:rPr>
          <w:noProof/>
        </w:rPr>
        <w:t xml:space="preserve"> млн. лв.</w:t>
      </w:r>
    </w:p>
    <w:p w14:paraId="78E297F7" w14:textId="77777777" w:rsidR="00174693" w:rsidRPr="0063796A" w:rsidRDefault="00174693" w:rsidP="00174693">
      <w:pPr>
        <w:ind w:firstLine="708"/>
        <w:jc w:val="both"/>
        <w:rPr>
          <w:noProof/>
        </w:rPr>
      </w:pPr>
      <w:r w:rsidRPr="0063796A">
        <w:rPr>
          <w:noProof/>
        </w:rPr>
        <w:t xml:space="preserve">Към 30.09.2025 г. отчетеният от общините нетен размер на операциите по придобиване на дялове, акции и съучастия е в размер на (-2,6) млн. лв. </w:t>
      </w:r>
    </w:p>
    <w:p w14:paraId="27ECE095" w14:textId="77777777" w:rsidR="00174693" w:rsidRPr="0063796A" w:rsidRDefault="00174693" w:rsidP="00174693">
      <w:pPr>
        <w:ind w:firstLine="708"/>
        <w:jc w:val="both"/>
        <w:rPr>
          <w:noProof/>
        </w:rPr>
      </w:pPr>
      <w:r w:rsidRPr="0063796A">
        <w:rPr>
          <w:noProof/>
        </w:rPr>
        <w:t>Средства по общинските бюджети от приватизация на дялове, акции и участия за п</w:t>
      </w:r>
      <w:r>
        <w:rPr>
          <w:noProof/>
        </w:rPr>
        <w:t>ериода са отчетени в размер на 0</w:t>
      </w:r>
      <w:r w:rsidRPr="0063796A">
        <w:rPr>
          <w:noProof/>
        </w:rPr>
        <w:t>,6 млн. лв.</w:t>
      </w:r>
    </w:p>
    <w:p w14:paraId="457085BA" w14:textId="77777777" w:rsidR="00174693" w:rsidRPr="0063796A" w:rsidRDefault="00174693" w:rsidP="00174693">
      <w:pPr>
        <w:ind w:firstLine="708"/>
        <w:jc w:val="both"/>
        <w:rPr>
          <w:noProof/>
        </w:rPr>
      </w:pPr>
      <w:r w:rsidRPr="0063796A">
        <w:rPr>
          <w:noProof/>
        </w:rPr>
        <w:t xml:space="preserve">Предоставените средства по възмездна финансова помощ за </w:t>
      </w:r>
      <w:r>
        <w:rPr>
          <w:noProof/>
        </w:rPr>
        <w:t>деветмесечието на 2025 г. са (-13,0</w:t>
      </w:r>
      <w:r w:rsidRPr="0063796A">
        <w:rPr>
          <w:noProof/>
        </w:rPr>
        <w:t xml:space="preserve">) млн. лв., а възстановените са 8,5 млн. лв. </w:t>
      </w:r>
    </w:p>
    <w:p w14:paraId="08C702FF" w14:textId="77777777" w:rsidR="00174693" w:rsidRPr="0063796A" w:rsidRDefault="00174693" w:rsidP="00174693">
      <w:pPr>
        <w:ind w:firstLine="708"/>
        <w:jc w:val="both"/>
        <w:rPr>
          <w:noProof/>
        </w:rPr>
      </w:pPr>
      <w:r w:rsidRPr="0063796A">
        <w:rPr>
          <w:noProof/>
        </w:rPr>
        <w:t>Нетният размер на отчете</w:t>
      </w:r>
      <w:r>
        <w:rPr>
          <w:noProof/>
        </w:rPr>
        <w:t>ните предоставени кредити е (-6,9</w:t>
      </w:r>
      <w:r w:rsidRPr="0063796A">
        <w:rPr>
          <w:noProof/>
        </w:rPr>
        <w:t>) млн. лв.</w:t>
      </w:r>
    </w:p>
    <w:p w14:paraId="55CA9C9E" w14:textId="77777777" w:rsidR="00174693" w:rsidRPr="0063796A" w:rsidRDefault="00174693" w:rsidP="00174693">
      <w:pPr>
        <w:ind w:firstLine="708"/>
        <w:jc w:val="both"/>
        <w:rPr>
          <w:noProof/>
        </w:rPr>
      </w:pPr>
      <w:r w:rsidRPr="0063796A">
        <w:rPr>
          <w:noProof/>
        </w:rPr>
        <w:t xml:space="preserve">Общините отчитат 1 922,8 млн. лв. бюджетен преходен остатък, а наличността към края на </w:t>
      </w:r>
      <w:r>
        <w:rPr>
          <w:noProof/>
        </w:rPr>
        <w:t>деветмесечието</w:t>
      </w:r>
      <w:r w:rsidRPr="0063796A">
        <w:rPr>
          <w:noProof/>
        </w:rPr>
        <w:t xml:space="preserve"> на 2025 г. (по банкови сметки и каса) </w:t>
      </w:r>
      <w:r>
        <w:rPr>
          <w:noProof/>
        </w:rPr>
        <w:t>нараства и е в размер на 2 678,2</w:t>
      </w:r>
      <w:r w:rsidRPr="0063796A">
        <w:rPr>
          <w:noProof/>
        </w:rPr>
        <w:t xml:space="preserve"> млн. лв. Част от наличността по общинските бюджети към 30.09.2025</w:t>
      </w:r>
      <w:r>
        <w:rPr>
          <w:noProof/>
        </w:rPr>
        <w:t> </w:t>
      </w:r>
      <w:r w:rsidRPr="0063796A">
        <w:rPr>
          <w:noProof/>
        </w:rPr>
        <w:t xml:space="preserve">г. е под формата на срочни депозити, които са отчетени в размер на 116,9 млн. лв., а 79,6 млн. лв. е левовата равностойност на остатъци по валутни сметки. Отчетената касова наличност (левова и валутна) 1,7 млн. лв. </w:t>
      </w:r>
      <w:r w:rsidRPr="0063796A">
        <w:rPr>
          <w:noProof/>
        </w:rPr>
        <w:tab/>
      </w:r>
    </w:p>
    <w:p w14:paraId="58E74B23" w14:textId="77777777" w:rsidR="00174693" w:rsidRPr="0063796A" w:rsidRDefault="00174693" w:rsidP="00174693">
      <w:pPr>
        <w:ind w:firstLine="708"/>
        <w:jc w:val="both"/>
        <w:rPr>
          <w:noProof/>
        </w:rPr>
      </w:pPr>
      <w:r w:rsidRPr="0063796A">
        <w:rPr>
          <w:noProof/>
        </w:rPr>
        <w:t>Отчетената наличност в делегираните от държавата дейности е 1 369,1 млн. лв. (51</w:t>
      </w:r>
      <w:r>
        <w:rPr>
          <w:noProof/>
        </w:rPr>
        <w:t xml:space="preserve">,1 </w:t>
      </w:r>
      <w:r w:rsidRPr="0063796A">
        <w:rPr>
          <w:noProof/>
        </w:rPr>
        <w:t>% от общата наличност), а в местните дейности е 1 309,0 млн. лв. (4</w:t>
      </w:r>
      <w:r>
        <w:rPr>
          <w:noProof/>
        </w:rPr>
        <w:t xml:space="preserve">8,9 </w:t>
      </w:r>
      <w:r w:rsidRPr="0063796A">
        <w:rPr>
          <w:noProof/>
        </w:rPr>
        <w:t xml:space="preserve">%). </w:t>
      </w:r>
    </w:p>
    <w:p w14:paraId="3C3A7394" w14:textId="4118DBB1" w:rsidR="00174693" w:rsidRPr="0063796A" w:rsidRDefault="00174693" w:rsidP="00174693">
      <w:pPr>
        <w:ind w:firstLine="708"/>
        <w:jc w:val="both"/>
        <w:rPr>
          <w:noProof/>
        </w:rPr>
      </w:pPr>
      <w:r w:rsidRPr="0063796A">
        <w:rPr>
          <w:noProof/>
        </w:rPr>
        <w:t>В държавните дейности наличността е формирана най-вече от получени от общините през текущата година средства от субсидии (</w:t>
      </w:r>
      <w:r w:rsidRPr="00174693">
        <w:rPr>
          <w:noProof/>
          <w:lang w:val="ru-RU"/>
        </w:rPr>
        <w:t>1</w:t>
      </w:r>
      <w:r w:rsidRPr="0063796A">
        <w:rPr>
          <w:noProof/>
          <w:lang w:val="en-US"/>
        </w:rPr>
        <w:t> </w:t>
      </w:r>
      <w:r w:rsidRPr="00174693">
        <w:rPr>
          <w:noProof/>
          <w:lang w:val="ru-RU"/>
        </w:rPr>
        <w:t>061,2</w:t>
      </w:r>
      <w:r w:rsidRPr="0063796A">
        <w:rPr>
          <w:noProof/>
        </w:rPr>
        <w:t xml:space="preserve"> млн. лв.). Следващата по размер наличност (187,1</w:t>
      </w:r>
      <w:r w:rsidR="00797A09">
        <w:rPr>
          <w:noProof/>
          <w:lang w:val="en-US"/>
        </w:rPr>
        <w:t> </w:t>
      </w:r>
      <w:r w:rsidRPr="0063796A">
        <w:rPr>
          <w:noProof/>
        </w:rPr>
        <w:t>млн. лв.) в тези дейности е с източник средства, получени от общините също под формата на субсидии, но през преходни години. На трето място е остатъка (</w:t>
      </w:r>
      <w:r w:rsidRPr="00174693">
        <w:rPr>
          <w:noProof/>
          <w:lang w:val="ru-RU"/>
        </w:rPr>
        <w:t>64,9</w:t>
      </w:r>
      <w:r w:rsidRPr="0063796A">
        <w:rPr>
          <w:noProof/>
        </w:rPr>
        <w:t xml:space="preserve"> млн. лв.) от получени средства от други бюджети и сметки за средства от ЕС. Остатъци са формирани и от неизразходвани приходи (от текущата и от предходни години, общо за </w:t>
      </w:r>
      <w:r w:rsidR="0096512C">
        <w:rPr>
          <w:noProof/>
          <w:lang w:val="ru-RU"/>
        </w:rPr>
        <w:t>11,7</w:t>
      </w:r>
      <w:r w:rsidRPr="0063796A">
        <w:rPr>
          <w:noProof/>
        </w:rPr>
        <w:t xml:space="preserve"> млн. лв.), както и от др. средства. </w:t>
      </w:r>
    </w:p>
    <w:p w14:paraId="23FB00A0" w14:textId="2ABB7D2C" w:rsidR="003C218F" w:rsidRPr="002807FE" w:rsidRDefault="00174693" w:rsidP="00174693">
      <w:pPr>
        <w:pStyle w:val="BodyText"/>
        <w:ind w:firstLine="567"/>
        <w:rPr>
          <w:color w:val="0070C0"/>
        </w:rPr>
      </w:pPr>
      <w:r w:rsidRPr="0063796A">
        <w:rPr>
          <w:noProof/>
        </w:rPr>
        <w:t xml:space="preserve"> Най-голяма част (</w:t>
      </w:r>
      <w:r w:rsidRPr="00174693">
        <w:rPr>
          <w:noProof/>
          <w:lang w:val="ru-RU"/>
        </w:rPr>
        <w:t>768,6</w:t>
      </w:r>
      <w:r w:rsidRPr="0063796A">
        <w:rPr>
          <w:noProof/>
        </w:rPr>
        <w:t xml:space="preserve"> млн. лв.) от наличността в местните дейности е формирана от средства, получени от общините през текущата година под формата на приходи и дарения. Голяма наличност, в размер на</w:t>
      </w:r>
      <w:r w:rsidRPr="00174693">
        <w:rPr>
          <w:noProof/>
          <w:lang w:val="ru-RU"/>
        </w:rPr>
        <w:t xml:space="preserve"> 320,3</w:t>
      </w:r>
      <w:r w:rsidRPr="0063796A">
        <w:rPr>
          <w:noProof/>
        </w:rPr>
        <w:t xml:space="preserve"> млн. лв., е формирана и от все още неизразходвани средства, получени от общините през предходни години. Остатъкът на получените пр</w:t>
      </w:r>
      <w:r w:rsidR="0096512C">
        <w:rPr>
          <w:noProof/>
        </w:rPr>
        <w:t>ез</w:t>
      </w:r>
      <w:r w:rsidRPr="0063796A">
        <w:rPr>
          <w:noProof/>
        </w:rPr>
        <w:t xml:space="preserve"> </w:t>
      </w:r>
      <w:r w:rsidR="002B2551">
        <w:rPr>
          <w:noProof/>
        </w:rPr>
        <w:t>деветмесечието</w:t>
      </w:r>
      <w:r w:rsidRPr="0063796A">
        <w:rPr>
          <w:noProof/>
        </w:rPr>
        <w:t xml:space="preserve"> на 2025 г. средства от субсидии  е 93,5 млн. лв., а остатъкът от получени средства от други бюджети и сметки за средства от ЕС, от възстановени отчисления от РИОСВ, от неизразходвани средства от дълг и др.</w:t>
      </w:r>
      <w:r w:rsidRPr="0063796A" w:rsidDel="005A0CC8">
        <w:rPr>
          <w:noProof/>
        </w:rPr>
        <w:t xml:space="preserve"> </w:t>
      </w:r>
      <w:r w:rsidRPr="0063796A">
        <w:rPr>
          <w:noProof/>
        </w:rPr>
        <w:t>е общо 126,5 млн. л</w:t>
      </w:r>
      <w:r>
        <w:rPr>
          <w:noProof/>
        </w:rPr>
        <w:t>е</w:t>
      </w:r>
      <w:r w:rsidRPr="0063796A">
        <w:rPr>
          <w:noProof/>
        </w:rPr>
        <w:t>в</w:t>
      </w:r>
      <w:r>
        <w:rPr>
          <w:noProof/>
        </w:rPr>
        <w:t>а</w:t>
      </w:r>
      <w:r w:rsidRPr="0063796A">
        <w:rPr>
          <w:noProof/>
        </w:rPr>
        <w:t>.</w:t>
      </w:r>
      <w:r w:rsidR="003C218F" w:rsidRPr="002807FE">
        <w:rPr>
          <w:color w:val="0070C0"/>
        </w:rPr>
        <w:t xml:space="preserve"> </w:t>
      </w:r>
    </w:p>
    <w:p w14:paraId="51434F9F" w14:textId="77777777" w:rsidR="002C4D33" w:rsidRPr="002807FE" w:rsidRDefault="002C4D33" w:rsidP="00FD362E">
      <w:pPr>
        <w:pStyle w:val="BodyText"/>
        <w:spacing w:after="120"/>
        <w:ind w:firstLine="567"/>
        <w:rPr>
          <w:color w:val="0070C0"/>
          <w:sz w:val="18"/>
          <w:szCs w:val="12"/>
        </w:rPr>
      </w:pPr>
    </w:p>
    <w:p w14:paraId="7BE35C65" w14:textId="77777777" w:rsidR="00983F71" w:rsidRPr="00D2757B" w:rsidRDefault="00983F71" w:rsidP="00983F71">
      <w:pPr>
        <w:pStyle w:val="Heading1"/>
        <w:numPr>
          <w:ilvl w:val="1"/>
          <w:numId w:val="8"/>
        </w:numPr>
        <w:spacing w:before="120"/>
        <w:ind w:left="788" w:right="-108" w:hanging="431"/>
        <w:jc w:val="both"/>
        <w:rPr>
          <w:sz w:val="24"/>
        </w:rPr>
      </w:pPr>
      <w:bookmarkStart w:id="89" w:name="_Toc109906108"/>
      <w:r w:rsidRPr="00D2757B">
        <w:rPr>
          <w:sz w:val="24"/>
        </w:rPr>
        <w:t>Бюджети на Българската национална телевизия, Българското национално радио и Българската телеграфна агенция</w:t>
      </w:r>
      <w:bookmarkEnd w:id="89"/>
      <w:r w:rsidRPr="00D2757B">
        <w:rPr>
          <w:sz w:val="24"/>
        </w:rPr>
        <w:t xml:space="preserve"> </w:t>
      </w:r>
    </w:p>
    <w:p w14:paraId="7AEC0BF1" w14:textId="3FADD345" w:rsidR="000F0610" w:rsidRPr="00A41EE2" w:rsidRDefault="000F0610" w:rsidP="000F0610">
      <w:pPr>
        <w:spacing w:before="240"/>
        <w:ind w:firstLine="567"/>
        <w:jc w:val="both"/>
      </w:pPr>
      <w:r w:rsidRPr="00D2757B">
        <w:rPr>
          <w:b/>
        </w:rPr>
        <w:t xml:space="preserve">Приходите на Българската национална телевизия (БНТ) </w:t>
      </w:r>
      <w:r w:rsidRPr="00D2757B">
        <w:t>към 30.0</w:t>
      </w:r>
      <w:r w:rsidR="00D2757B" w:rsidRPr="00D2757B">
        <w:t>9</w:t>
      </w:r>
      <w:r w:rsidRPr="00D2757B">
        <w:t xml:space="preserve">.2025 г. са в размер на </w:t>
      </w:r>
      <w:r w:rsidR="00D2757B" w:rsidRPr="00D2757B">
        <w:t>5,1</w:t>
      </w:r>
      <w:r w:rsidRPr="00D2757B">
        <w:t xml:space="preserve"> млн. лв., което представлява </w:t>
      </w:r>
      <w:r w:rsidR="00D2757B" w:rsidRPr="00D2757B">
        <w:t>50,8</w:t>
      </w:r>
      <w:r w:rsidRPr="00D2757B">
        <w:rPr>
          <w:lang w:val="ru-RU"/>
        </w:rPr>
        <w:t xml:space="preserve"> </w:t>
      </w:r>
      <w:r w:rsidRPr="00D2757B">
        <w:t xml:space="preserve">% изпълнение на заложените приходи в разчетите към </w:t>
      </w:r>
      <w:r w:rsidRPr="00D2757B">
        <w:lastRenderedPageBreak/>
        <w:t>ЗДБРБ за 2025 г. (10,0 млн. лв.).</w:t>
      </w:r>
      <w:r w:rsidR="00D2757B" w:rsidRPr="00D2757B">
        <w:t xml:space="preserve"> Ниският процент изпълнение на приходите се дължи на отчетени по-ниски постъпления от реклама, които формират основния дял приходи по бюджета на обществената медия.</w:t>
      </w:r>
      <w:r w:rsidR="00D2757B">
        <w:t xml:space="preserve"> </w:t>
      </w:r>
      <w:r w:rsidR="00D2757B" w:rsidRPr="00D2757B">
        <w:t xml:space="preserve">Отчетените приходи са постъпления от продажба на услуги, стоки и </w:t>
      </w:r>
      <w:r w:rsidR="00D2757B" w:rsidRPr="00A41EE2">
        <w:t>продукция (реклама, технически услуги, продажба на програми, приходи от почивно дело), наеми на имущество и други неданъчни приходи.</w:t>
      </w:r>
    </w:p>
    <w:p w14:paraId="4C93035A" w14:textId="06F16C69" w:rsidR="000F0610" w:rsidRPr="00A41EE2" w:rsidRDefault="000F0610" w:rsidP="000F0610">
      <w:pPr>
        <w:pStyle w:val="Title"/>
        <w:ind w:firstLine="567"/>
        <w:jc w:val="both"/>
        <w:rPr>
          <w:b w:val="0"/>
          <w:szCs w:val="24"/>
          <w:lang w:eastAsia="bg-BG"/>
        </w:rPr>
      </w:pPr>
      <w:r w:rsidRPr="00A41EE2">
        <w:rPr>
          <w:b w:val="0"/>
          <w:szCs w:val="24"/>
          <w:lang w:eastAsia="bg-BG"/>
        </w:rPr>
        <w:t xml:space="preserve">Отчетените </w:t>
      </w:r>
      <w:r w:rsidRPr="00A41EE2">
        <w:rPr>
          <w:szCs w:val="24"/>
          <w:lang w:eastAsia="bg-BG"/>
        </w:rPr>
        <w:t>разходи</w:t>
      </w:r>
      <w:r w:rsidRPr="00A41EE2">
        <w:rPr>
          <w:b w:val="0"/>
          <w:szCs w:val="24"/>
          <w:lang w:eastAsia="bg-BG"/>
        </w:rPr>
        <w:t xml:space="preserve"> по бюджета на БНТ са в размер на</w:t>
      </w:r>
      <w:r w:rsidRPr="00A41EE2">
        <w:rPr>
          <w:b w:val="0"/>
        </w:rPr>
        <w:t xml:space="preserve"> </w:t>
      </w:r>
      <w:r w:rsidR="00623E83" w:rsidRPr="00A41EE2">
        <w:rPr>
          <w:b w:val="0"/>
        </w:rPr>
        <w:t>74,1</w:t>
      </w:r>
      <w:r w:rsidRPr="00A41EE2">
        <w:rPr>
          <w:b w:val="0"/>
        </w:rPr>
        <w:t xml:space="preserve"> млн. лв., което представлява 7</w:t>
      </w:r>
      <w:r w:rsidR="00A41EE2" w:rsidRPr="00A41EE2">
        <w:rPr>
          <w:b w:val="0"/>
        </w:rPr>
        <w:t>0</w:t>
      </w:r>
      <w:r w:rsidRPr="00A41EE2">
        <w:rPr>
          <w:b w:val="0"/>
        </w:rPr>
        <w:t>,</w:t>
      </w:r>
      <w:r w:rsidR="00A41EE2" w:rsidRPr="00A41EE2">
        <w:rPr>
          <w:b w:val="0"/>
        </w:rPr>
        <w:t>5</w:t>
      </w:r>
      <w:r w:rsidR="005D6890" w:rsidRPr="00A41EE2">
        <w:rPr>
          <w:b w:val="0"/>
        </w:rPr>
        <w:t xml:space="preserve"> </w:t>
      </w:r>
      <w:r w:rsidRPr="00A41EE2">
        <w:rPr>
          <w:b w:val="0"/>
        </w:rPr>
        <w:t>% от предвидените разходи в разчетите към ЗДБРБ за 2025 г. – 105,2 млн. лв.</w:t>
      </w:r>
      <w:r w:rsidRPr="00A41EE2">
        <w:rPr>
          <w:b w:val="0"/>
          <w:lang w:val="ru-RU"/>
        </w:rPr>
        <w:t xml:space="preserve"> </w:t>
      </w:r>
      <w:r w:rsidRPr="00A41EE2">
        <w:rPr>
          <w:b w:val="0"/>
          <w:szCs w:val="24"/>
          <w:lang w:eastAsia="bg-BG"/>
        </w:rPr>
        <w:t xml:space="preserve">Българската национална телевизия съставя, изпълнява, приключва и отчита бюджет, съгласно чл. 70, ал. 1 от Закона за радиото и телевизията (ЗРТ). За периода са отчетени </w:t>
      </w:r>
      <w:r w:rsidR="00A41EE2" w:rsidRPr="00A41EE2">
        <w:rPr>
          <w:b w:val="0"/>
          <w:szCs w:val="24"/>
          <w:lang w:eastAsia="bg-BG"/>
        </w:rPr>
        <w:t>65,7</w:t>
      </w:r>
      <w:r w:rsidRPr="00A41EE2">
        <w:rPr>
          <w:b w:val="0"/>
          <w:szCs w:val="24"/>
          <w:lang w:eastAsia="bg-BG"/>
        </w:rPr>
        <w:t xml:space="preserve"> млн. лв. текущи разходи и </w:t>
      </w:r>
      <w:r w:rsidR="00A41EE2" w:rsidRPr="00A41EE2">
        <w:rPr>
          <w:b w:val="0"/>
          <w:szCs w:val="24"/>
          <w:lang w:eastAsia="bg-BG"/>
        </w:rPr>
        <w:t>8,4</w:t>
      </w:r>
      <w:r w:rsidR="00412681" w:rsidRPr="00A41EE2">
        <w:rPr>
          <w:b w:val="0"/>
          <w:szCs w:val="24"/>
          <w:lang w:val="en-US" w:eastAsia="bg-BG"/>
        </w:rPr>
        <w:t> </w:t>
      </w:r>
      <w:r w:rsidRPr="00A41EE2">
        <w:rPr>
          <w:b w:val="0"/>
          <w:szCs w:val="24"/>
          <w:lang w:eastAsia="bg-BG"/>
        </w:rPr>
        <w:t xml:space="preserve">млн. лв. капиталови разходи. Общият размер на отчетените текущи разходи включва: </w:t>
      </w:r>
      <w:r w:rsidR="00A41EE2" w:rsidRPr="00A41EE2">
        <w:rPr>
          <w:b w:val="0"/>
          <w:szCs w:val="24"/>
          <w:lang w:eastAsia="bg-BG"/>
        </w:rPr>
        <w:t>36,6</w:t>
      </w:r>
      <w:r w:rsidR="00412681" w:rsidRPr="00A41EE2">
        <w:rPr>
          <w:b w:val="0"/>
          <w:szCs w:val="24"/>
          <w:lang w:val="en-US" w:eastAsia="bg-BG"/>
        </w:rPr>
        <w:t> </w:t>
      </w:r>
      <w:r w:rsidRPr="00A41EE2">
        <w:rPr>
          <w:b w:val="0"/>
          <w:szCs w:val="24"/>
          <w:lang w:eastAsia="bg-BG"/>
        </w:rPr>
        <w:t>млн. лв. разходи за персонал и 2</w:t>
      </w:r>
      <w:r w:rsidR="00A41EE2" w:rsidRPr="00A41EE2">
        <w:rPr>
          <w:b w:val="0"/>
          <w:szCs w:val="24"/>
          <w:lang w:eastAsia="bg-BG"/>
        </w:rPr>
        <w:t>9,1</w:t>
      </w:r>
      <w:r w:rsidRPr="00A41EE2">
        <w:rPr>
          <w:b w:val="0"/>
          <w:szCs w:val="24"/>
          <w:lang w:eastAsia="bg-BG"/>
        </w:rPr>
        <w:t xml:space="preserve"> млн. лв. разходи за издръжка (вкл. разходи за членски внос, платени данъци, такси и административни санкции). Отчетените разходи за персонал </w:t>
      </w:r>
      <w:r w:rsidR="005D6890" w:rsidRPr="00A41EE2">
        <w:rPr>
          <w:b w:val="0"/>
          <w:szCs w:val="24"/>
          <w:lang w:eastAsia="bg-BG"/>
        </w:rPr>
        <w:t>заемат дял от</w:t>
      </w:r>
      <w:r w:rsidRPr="00A41EE2">
        <w:rPr>
          <w:b w:val="0"/>
          <w:szCs w:val="24"/>
          <w:lang w:eastAsia="bg-BG"/>
        </w:rPr>
        <w:t xml:space="preserve"> 49</w:t>
      </w:r>
      <w:r w:rsidR="00A41EE2" w:rsidRPr="00A41EE2">
        <w:rPr>
          <w:b w:val="0"/>
          <w:szCs w:val="24"/>
          <w:lang w:eastAsia="bg-BG"/>
        </w:rPr>
        <w:t>,4</w:t>
      </w:r>
      <w:r w:rsidRPr="00A41EE2">
        <w:rPr>
          <w:b w:val="0"/>
          <w:szCs w:val="24"/>
          <w:lang w:val="en-US" w:eastAsia="bg-BG"/>
        </w:rPr>
        <w:t> </w:t>
      </w:r>
      <w:r w:rsidRPr="00A41EE2">
        <w:rPr>
          <w:b w:val="0"/>
          <w:szCs w:val="24"/>
          <w:lang w:eastAsia="bg-BG"/>
        </w:rPr>
        <w:t xml:space="preserve">% </w:t>
      </w:r>
      <w:r w:rsidR="005D6890" w:rsidRPr="00A41EE2">
        <w:rPr>
          <w:b w:val="0"/>
          <w:szCs w:val="24"/>
          <w:lang w:eastAsia="bg-BG"/>
        </w:rPr>
        <w:t>в</w:t>
      </w:r>
      <w:r w:rsidRPr="00A41EE2">
        <w:rPr>
          <w:b w:val="0"/>
          <w:szCs w:val="24"/>
          <w:lang w:eastAsia="bg-BG"/>
        </w:rPr>
        <w:t xml:space="preserve"> о</w:t>
      </w:r>
      <w:r w:rsidR="005D6890" w:rsidRPr="00A41EE2">
        <w:rPr>
          <w:b w:val="0"/>
          <w:szCs w:val="24"/>
          <w:lang w:eastAsia="bg-BG"/>
        </w:rPr>
        <w:t>бщия размер на разходите</w:t>
      </w:r>
      <w:r w:rsidRPr="00A41EE2">
        <w:rPr>
          <w:b w:val="0"/>
          <w:szCs w:val="24"/>
          <w:lang w:eastAsia="bg-BG"/>
        </w:rPr>
        <w:t xml:space="preserve"> за периода.</w:t>
      </w:r>
    </w:p>
    <w:p w14:paraId="3EF475A1" w14:textId="77777777" w:rsidR="000F0610" w:rsidRPr="00A41EE2" w:rsidRDefault="000F0610" w:rsidP="000F0610">
      <w:pPr>
        <w:pStyle w:val="Title"/>
        <w:ind w:firstLine="567"/>
        <w:jc w:val="both"/>
      </w:pPr>
      <w:r w:rsidRPr="00A41EE2">
        <w:rPr>
          <w:b w:val="0"/>
          <w:szCs w:val="24"/>
          <w:lang w:eastAsia="bg-BG"/>
        </w:rPr>
        <w:t>За отчетния период средствата са усвоени за реализирането на основните цели и дейности на БНТ по подготовката, създаването и разпространението на телевизионни програми съгласно разпоредбите на Закона за радиото и телевизията.</w:t>
      </w:r>
      <w:r w:rsidRPr="00A41EE2">
        <w:t xml:space="preserve"> </w:t>
      </w:r>
    </w:p>
    <w:p w14:paraId="43516479" w14:textId="48423E4B" w:rsidR="000F0610" w:rsidRPr="00BC5185" w:rsidRDefault="000F0610" w:rsidP="000F0610">
      <w:pPr>
        <w:pStyle w:val="Title"/>
        <w:ind w:firstLine="567"/>
        <w:jc w:val="both"/>
        <w:rPr>
          <w:b w:val="0"/>
        </w:rPr>
      </w:pPr>
      <w:r w:rsidRPr="00BC5185">
        <w:t xml:space="preserve">Бюджетни взаимоотношения на БНТ </w:t>
      </w:r>
      <w:r w:rsidRPr="00BC5185">
        <w:rPr>
          <w:b w:val="0"/>
        </w:rPr>
        <w:t xml:space="preserve">с централния бюджет са 93,7 млн. лв. съгласно чл. 50, т. 2 от ЗДБРБ за 2025 г. За отчетния период е усвоена сума в размер на </w:t>
      </w:r>
      <w:r w:rsidR="00BC5185" w:rsidRPr="00BC5185">
        <w:rPr>
          <w:b w:val="0"/>
          <w:lang w:val="ru-RU"/>
        </w:rPr>
        <w:t>70,1</w:t>
      </w:r>
      <w:r w:rsidRPr="00BC5185">
        <w:rPr>
          <w:b w:val="0"/>
        </w:rPr>
        <w:t xml:space="preserve"> млн. лв. или </w:t>
      </w:r>
      <w:r w:rsidR="00BC5185" w:rsidRPr="00BC5185">
        <w:rPr>
          <w:b w:val="0"/>
          <w:lang w:val="ru-RU"/>
        </w:rPr>
        <w:t>74,9</w:t>
      </w:r>
      <w:r w:rsidR="00412681" w:rsidRPr="00BC5185">
        <w:rPr>
          <w:b w:val="0"/>
        </w:rPr>
        <w:t> </w:t>
      </w:r>
      <w:r w:rsidRPr="00BC5185">
        <w:rPr>
          <w:b w:val="0"/>
        </w:rPr>
        <w:t>% от размера на определените със закона бюджетни взаимоотношения на БНТ с централния бюджет.</w:t>
      </w:r>
    </w:p>
    <w:p w14:paraId="24885EA2" w14:textId="26D7F847" w:rsidR="000F0610" w:rsidRPr="00347982" w:rsidRDefault="000F0610" w:rsidP="000F0610">
      <w:pPr>
        <w:pStyle w:val="Title"/>
        <w:ind w:firstLine="567"/>
        <w:jc w:val="both"/>
        <w:rPr>
          <w:b w:val="0"/>
        </w:rPr>
      </w:pPr>
      <w:r w:rsidRPr="00347982">
        <w:t>Приходите по бюджета на Българското национално радио (БНР)</w:t>
      </w:r>
      <w:r w:rsidRPr="00347982">
        <w:rPr>
          <w:b w:val="0"/>
        </w:rPr>
        <w:t xml:space="preserve"> към 30.0</w:t>
      </w:r>
      <w:r w:rsidR="00BC5185" w:rsidRPr="00347982">
        <w:rPr>
          <w:b w:val="0"/>
        </w:rPr>
        <w:t>9</w:t>
      </w:r>
      <w:r w:rsidRPr="00347982">
        <w:rPr>
          <w:b w:val="0"/>
        </w:rPr>
        <w:t>.2025 г. са в размер на 1,</w:t>
      </w:r>
      <w:r w:rsidR="00347982" w:rsidRPr="00347982">
        <w:rPr>
          <w:b w:val="0"/>
        </w:rPr>
        <w:t>6</w:t>
      </w:r>
      <w:r w:rsidRPr="00347982">
        <w:rPr>
          <w:b w:val="0"/>
        </w:rPr>
        <w:t xml:space="preserve"> млн. лв., което представлява </w:t>
      </w:r>
      <w:r w:rsidR="00347982" w:rsidRPr="00347982">
        <w:rPr>
          <w:b w:val="0"/>
        </w:rPr>
        <w:t>89,6</w:t>
      </w:r>
      <w:r w:rsidRPr="00347982">
        <w:rPr>
          <w:b w:val="0"/>
          <w:lang w:val="ru-RU"/>
        </w:rPr>
        <w:t xml:space="preserve"> </w:t>
      </w:r>
      <w:r w:rsidRPr="00347982">
        <w:rPr>
          <w:b w:val="0"/>
        </w:rPr>
        <w:t>% изпълнение на заложените приходи в разчетите към ЗДБРБ за 2025 г. (1,8 млн. лв.).</w:t>
      </w:r>
    </w:p>
    <w:p w14:paraId="1EA33D2D" w14:textId="77777777" w:rsidR="000F0610" w:rsidRPr="00347982" w:rsidRDefault="000F0610" w:rsidP="000F0610">
      <w:pPr>
        <w:pStyle w:val="Title"/>
        <w:ind w:firstLine="567"/>
        <w:jc w:val="both"/>
        <w:rPr>
          <w:b w:val="0"/>
        </w:rPr>
      </w:pPr>
      <w:r w:rsidRPr="00347982">
        <w:rPr>
          <w:b w:val="0"/>
        </w:rPr>
        <w:t>Отчетените приходи са постъпления от продажба на услуги, стоки и продукция (реклама, спонсорство, технически услуги, съвместни продукции, приходи от концертна дейност), наеми на имущество и други неданъчни приходи.</w:t>
      </w:r>
    </w:p>
    <w:p w14:paraId="6D5832BB" w14:textId="441E4D07" w:rsidR="000F0610" w:rsidRPr="00701BBC" w:rsidRDefault="000F0610" w:rsidP="000F0610">
      <w:pPr>
        <w:pStyle w:val="Title"/>
        <w:ind w:firstLine="567"/>
        <w:jc w:val="both"/>
        <w:rPr>
          <w:b w:val="0"/>
          <w:color w:val="000000" w:themeColor="text1"/>
        </w:rPr>
      </w:pPr>
      <w:r w:rsidRPr="004E0C7A">
        <w:rPr>
          <w:b w:val="0"/>
        </w:rPr>
        <w:t xml:space="preserve">Изпълнението на </w:t>
      </w:r>
      <w:r w:rsidRPr="004E0C7A">
        <w:t>разходите</w:t>
      </w:r>
      <w:r w:rsidRPr="004E0C7A">
        <w:rPr>
          <w:b w:val="0"/>
        </w:rPr>
        <w:t xml:space="preserve"> по бюджета на БНР възлиза на </w:t>
      </w:r>
      <w:r w:rsidR="004E0C7A" w:rsidRPr="004E0C7A">
        <w:rPr>
          <w:b w:val="0"/>
        </w:rPr>
        <w:t>50,0</w:t>
      </w:r>
      <w:r w:rsidRPr="004E0C7A">
        <w:rPr>
          <w:b w:val="0"/>
        </w:rPr>
        <w:t xml:space="preserve"> млн. лв., което представлява </w:t>
      </w:r>
      <w:r w:rsidR="00CC4FE0">
        <w:rPr>
          <w:b w:val="0"/>
        </w:rPr>
        <w:t>72,0</w:t>
      </w:r>
      <w:r w:rsidRPr="004E0C7A">
        <w:rPr>
          <w:b w:val="0"/>
          <w:lang w:val="ru-RU"/>
        </w:rPr>
        <w:t xml:space="preserve"> </w:t>
      </w:r>
      <w:r w:rsidRPr="004E0C7A">
        <w:rPr>
          <w:b w:val="0"/>
        </w:rPr>
        <w:t xml:space="preserve">% от предвидените разходи в разчетите към ЗДБРБ за 2025 г. – 69,4 млн. </w:t>
      </w:r>
      <w:r w:rsidRPr="00701BBC">
        <w:rPr>
          <w:b w:val="0"/>
          <w:color w:val="000000" w:themeColor="text1"/>
        </w:rPr>
        <w:t>лв.</w:t>
      </w:r>
      <w:r w:rsidRPr="00701BBC">
        <w:rPr>
          <w:b w:val="0"/>
          <w:color w:val="000000" w:themeColor="text1"/>
          <w:lang w:val="ru-RU"/>
        </w:rPr>
        <w:t xml:space="preserve"> </w:t>
      </w:r>
      <w:r w:rsidRPr="00701BBC">
        <w:rPr>
          <w:b w:val="0"/>
          <w:color w:val="000000" w:themeColor="text1"/>
        </w:rPr>
        <w:t xml:space="preserve">За периода са отчетени </w:t>
      </w:r>
      <w:r w:rsidR="00701BBC" w:rsidRPr="00701BBC">
        <w:rPr>
          <w:b w:val="0"/>
          <w:color w:val="000000" w:themeColor="text1"/>
        </w:rPr>
        <w:t>47,7</w:t>
      </w:r>
      <w:r w:rsidRPr="00701BBC">
        <w:rPr>
          <w:b w:val="0"/>
          <w:color w:val="000000" w:themeColor="text1"/>
        </w:rPr>
        <w:t xml:space="preserve"> млн. лв. текущи разходи и </w:t>
      </w:r>
      <w:r w:rsidR="00701BBC" w:rsidRPr="00701BBC">
        <w:rPr>
          <w:b w:val="0"/>
          <w:color w:val="000000" w:themeColor="text1"/>
        </w:rPr>
        <w:t>2,3</w:t>
      </w:r>
      <w:r w:rsidRPr="00701BBC">
        <w:rPr>
          <w:b w:val="0"/>
          <w:color w:val="000000" w:themeColor="text1"/>
        </w:rPr>
        <w:t xml:space="preserve"> млн. лв. капиталови разходи. Общият размер на отчетените текущи разходи включва: </w:t>
      </w:r>
      <w:r w:rsidR="00701BBC" w:rsidRPr="00701BBC">
        <w:rPr>
          <w:b w:val="0"/>
          <w:color w:val="000000" w:themeColor="text1"/>
        </w:rPr>
        <w:t>3</w:t>
      </w:r>
      <w:r w:rsidRPr="00701BBC">
        <w:rPr>
          <w:b w:val="0"/>
          <w:color w:val="000000" w:themeColor="text1"/>
        </w:rPr>
        <w:t>1,6 млн. лв. разходи за персонал и 1</w:t>
      </w:r>
      <w:r w:rsidR="00701BBC" w:rsidRPr="00701BBC">
        <w:rPr>
          <w:b w:val="0"/>
          <w:color w:val="000000" w:themeColor="text1"/>
        </w:rPr>
        <w:t>6</w:t>
      </w:r>
      <w:r w:rsidRPr="00701BBC">
        <w:rPr>
          <w:b w:val="0"/>
          <w:color w:val="000000" w:themeColor="text1"/>
        </w:rPr>
        <w:t>,</w:t>
      </w:r>
      <w:r w:rsidR="00701BBC" w:rsidRPr="00701BBC">
        <w:rPr>
          <w:b w:val="0"/>
          <w:color w:val="000000" w:themeColor="text1"/>
        </w:rPr>
        <w:t>1</w:t>
      </w:r>
      <w:r w:rsidRPr="00701BBC">
        <w:rPr>
          <w:b w:val="0"/>
          <w:color w:val="000000" w:themeColor="text1"/>
        </w:rPr>
        <w:t xml:space="preserve"> млн. лв. разходи за издръжка (вкл. разходи за членски внос, платени данъци, такси и административни санкции). Отчетените разходи за персонал представляват 6</w:t>
      </w:r>
      <w:r w:rsidR="00701BBC" w:rsidRPr="00701BBC">
        <w:rPr>
          <w:b w:val="0"/>
          <w:color w:val="000000" w:themeColor="text1"/>
        </w:rPr>
        <w:t>3,2</w:t>
      </w:r>
      <w:r w:rsidRPr="00701BBC">
        <w:rPr>
          <w:b w:val="0"/>
          <w:color w:val="000000" w:themeColor="text1"/>
          <w:lang w:val="ru-RU"/>
        </w:rPr>
        <w:t xml:space="preserve"> </w:t>
      </w:r>
      <w:r w:rsidRPr="00701BBC">
        <w:rPr>
          <w:b w:val="0"/>
          <w:color w:val="000000" w:themeColor="text1"/>
        </w:rPr>
        <w:t>% от отчетените за периода разходи.</w:t>
      </w:r>
    </w:p>
    <w:p w14:paraId="6B9F1B74" w14:textId="77777777" w:rsidR="000F0610" w:rsidRPr="00701BBC" w:rsidRDefault="000F0610" w:rsidP="000F0610">
      <w:pPr>
        <w:ind w:firstLine="567"/>
        <w:jc w:val="both"/>
        <w:rPr>
          <w:b/>
          <w:color w:val="000000" w:themeColor="text1"/>
        </w:rPr>
      </w:pPr>
      <w:r w:rsidRPr="00701BBC">
        <w:rPr>
          <w:color w:val="000000" w:themeColor="text1"/>
        </w:rPr>
        <w:t>За отчетния период средствата са усвоени за реализирането на основните цели и дейности на БНР по подготовката, създаването и разпространението на национални и регионални програми съгласно разпоредбите на Закона за радиото и телевизията.</w:t>
      </w:r>
    </w:p>
    <w:p w14:paraId="51ED2428" w14:textId="1AA8B04B" w:rsidR="000F0610" w:rsidRPr="00701BBC" w:rsidRDefault="000F0610" w:rsidP="000F0610">
      <w:pPr>
        <w:pStyle w:val="Title"/>
        <w:spacing w:line="276" w:lineRule="auto"/>
        <w:ind w:firstLine="567"/>
        <w:jc w:val="both"/>
        <w:rPr>
          <w:b w:val="0"/>
          <w:color w:val="000000" w:themeColor="text1"/>
        </w:rPr>
      </w:pPr>
      <w:r w:rsidRPr="00701BBC">
        <w:rPr>
          <w:color w:val="000000" w:themeColor="text1"/>
          <w:szCs w:val="24"/>
        </w:rPr>
        <w:t>Бюджетни взаимоотношения</w:t>
      </w:r>
      <w:r w:rsidRPr="00701BBC">
        <w:rPr>
          <w:b w:val="0"/>
          <w:color w:val="000000" w:themeColor="text1"/>
          <w:szCs w:val="24"/>
        </w:rPr>
        <w:t xml:space="preserve"> </w:t>
      </w:r>
      <w:r w:rsidRPr="00701BBC">
        <w:rPr>
          <w:color w:val="000000" w:themeColor="text1"/>
          <w:szCs w:val="24"/>
        </w:rPr>
        <w:t>на БНР</w:t>
      </w:r>
      <w:r w:rsidRPr="00701BBC">
        <w:rPr>
          <w:b w:val="0"/>
          <w:color w:val="000000" w:themeColor="text1"/>
          <w:szCs w:val="24"/>
        </w:rPr>
        <w:t xml:space="preserve"> с централния бюджет са 66,1 млн. лв. съгласно чл. 50, т. 1 от ЗДБРБ за 2025 г. </w:t>
      </w:r>
      <w:r w:rsidRPr="00701BBC">
        <w:rPr>
          <w:b w:val="0"/>
          <w:color w:val="000000" w:themeColor="text1"/>
        </w:rPr>
        <w:t xml:space="preserve">За отчетния период е усвоена сума в размер на </w:t>
      </w:r>
      <w:r w:rsidR="00701BBC" w:rsidRPr="00701BBC">
        <w:rPr>
          <w:b w:val="0"/>
          <w:color w:val="000000" w:themeColor="text1"/>
        </w:rPr>
        <w:t>47,6</w:t>
      </w:r>
      <w:r w:rsidRPr="00701BBC">
        <w:rPr>
          <w:b w:val="0"/>
          <w:color w:val="000000" w:themeColor="text1"/>
        </w:rPr>
        <w:t xml:space="preserve"> млн. лв. или </w:t>
      </w:r>
      <w:r w:rsidR="00701BBC" w:rsidRPr="00701BBC">
        <w:rPr>
          <w:b w:val="0"/>
          <w:color w:val="000000" w:themeColor="text1"/>
        </w:rPr>
        <w:t>72</w:t>
      </w:r>
      <w:r w:rsidRPr="00701BBC">
        <w:rPr>
          <w:b w:val="0"/>
          <w:color w:val="000000" w:themeColor="text1"/>
        </w:rPr>
        <w:t>,0</w:t>
      </w:r>
      <w:r w:rsidRPr="00701BBC">
        <w:rPr>
          <w:b w:val="0"/>
          <w:color w:val="000000" w:themeColor="text1"/>
          <w:lang w:val="en-US"/>
        </w:rPr>
        <w:t> </w:t>
      </w:r>
      <w:r w:rsidRPr="00701BBC">
        <w:rPr>
          <w:b w:val="0"/>
          <w:color w:val="000000" w:themeColor="text1"/>
        </w:rPr>
        <w:t>% от размера на определените със закона бюджетни взаимоотношения на БНР с централния бюджет.</w:t>
      </w:r>
    </w:p>
    <w:p w14:paraId="1190E57B" w14:textId="59AC2319" w:rsidR="000F0610" w:rsidRPr="003E0086" w:rsidRDefault="000F0610" w:rsidP="003E0086">
      <w:pPr>
        <w:pStyle w:val="Title"/>
        <w:ind w:firstLine="562"/>
        <w:jc w:val="both"/>
        <w:rPr>
          <w:b w:val="0"/>
          <w:color w:val="000000" w:themeColor="text1"/>
        </w:rPr>
      </w:pPr>
      <w:r w:rsidRPr="003E0086">
        <w:rPr>
          <w:color w:val="000000" w:themeColor="text1"/>
        </w:rPr>
        <w:t xml:space="preserve">Приходите на Българската телеграфна агенция (БТА) </w:t>
      </w:r>
      <w:r w:rsidRPr="003E0086">
        <w:rPr>
          <w:b w:val="0"/>
          <w:color w:val="000000" w:themeColor="text1"/>
        </w:rPr>
        <w:t>към 30.0</w:t>
      </w:r>
      <w:r w:rsidR="00B240E7" w:rsidRPr="003E0086">
        <w:rPr>
          <w:b w:val="0"/>
          <w:color w:val="000000" w:themeColor="text1"/>
          <w:lang w:val="ru-RU"/>
        </w:rPr>
        <w:t>9</w:t>
      </w:r>
      <w:r w:rsidRPr="003E0086">
        <w:rPr>
          <w:b w:val="0"/>
          <w:color w:val="000000" w:themeColor="text1"/>
        </w:rPr>
        <w:t>.2025 г.</w:t>
      </w:r>
      <w:r w:rsidRPr="003E0086">
        <w:rPr>
          <w:color w:val="000000" w:themeColor="text1"/>
        </w:rPr>
        <w:t xml:space="preserve"> </w:t>
      </w:r>
      <w:r w:rsidRPr="003E0086">
        <w:rPr>
          <w:b w:val="0"/>
          <w:color w:val="000000" w:themeColor="text1"/>
        </w:rPr>
        <w:t>са в размер на 0,</w:t>
      </w:r>
      <w:r w:rsidR="003E0086" w:rsidRPr="003E0086">
        <w:rPr>
          <w:b w:val="0"/>
          <w:color w:val="000000" w:themeColor="text1"/>
          <w:lang w:val="ru-RU"/>
        </w:rPr>
        <w:t>7</w:t>
      </w:r>
      <w:r w:rsidRPr="003E0086">
        <w:rPr>
          <w:b w:val="0"/>
          <w:color w:val="000000" w:themeColor="text1"/>
        </w:rPr>
        <w:t xml:space="preserve"> млн. лв., </w:t>
      </w:r>
      <w:r w:rsidR="003E0086" w:rsidRPr="003E0086">
        <w:rPr>
          <w:b w:val="0"/>
          <w:color w:val="000000" w:themeColor="text1"/>
        </w:rPr>
        <w:t>при</w:t>
      </w:r>
      <w:r w:rsidRPr="003E0086">
        <w:rPr>
          <w:b w:val="0"/>
          <w:color w:val="000000" w:themeColor="text1"/>
        </w:rPr>
        <w:t xml:space="preserve"> заложени в разчетите към ЗДБРБ за 2025</w:t>
      </w:r>
      <w:r w:rsidRPr="003E0086">
        <w:rPr>
          <w:b w:val="0"/>
          <w:color w:val="000000" w:themeColor="text1"/>
          <w:lang w:val="en-US"/>
        </w:rPr>
        <w:t> </w:t>
      </w:r>
      <w:r w:rsidRPr="003E0086">
        <w:rPr>
          <w:b w:val="0"/>
          <w:color w:val="000000" w:themeColor="text1"/>
        </w:rPr>
        <w:t>г. 0,6 млн. л</w:t>
      </w:r>
      <w:r w:rsidR="003E0086" w:rsidRPr="003E0086">
        <w:rPr>
          <w:b w:val="0"/>
          <w:color w:val="000000" w:themeColor="text1"/>
        </w:rPr>
        <w:t>е</w:t>
      </w:r>
      <w:r w:rsidRPr="003E0086">
        <w:rPr>
          <w:b w:val="0"/>
          <w:color w:val="000000" w:themeColor="text1"/>
        </w:rPr>
        <w:t>в</w:t>
      </w:r>
      <w:r w:rsidR="003E0086" w:rsidRPr="003E0086">
        <w:rPr>
          <w:b w:val="0"/>
          <w:color w:val="000000" w:themeColor="text1"/>
        </w:rPr>
        <w:t>а</w:t>
      </w:r>
      <w:r w:rsidRPr="003E0086">
        <w:rPr>
          <w:b w:val="0"/>
          <w:color w:val="000000" w:themeColor="text1"/>
        </w:rPr>
        <w:t>. Отчетените приходи са постъпления от продажба на услуги, стоки и продукция (реклама, технически услуги, продажба на продукция), наеми на имущество и др.</w:t>
      </w:r>
    </w:p>
    <w:p w14:paraId="7EC05614" w14:textId="63A65851" w:rsidR="000F0610" w:rsidRPr="003E0086" w:rsidRDefault="000F0610" w:rsidP="000F0610">
      <w:pPr>
        <w:pStyle w:val="Title"/>
        <w:ind w:firstLine="567"/>
        <w:jc w:val="both"/>
        <w:rPr>
          <w:b w:val="0"/>
          <w:color w:val="000000" w:themeColor="text1"/>
        </w:rPr>
      </w:pPr>
      <w:r w:rsidRPr="003E0086">
        <w:rPr>
          <w:color w:val="000000" w:themeColor="text1"/>
        </w:rPr>
        <w:t xml:space="preserve">Отчетените разходи по бюджета на БТА </w:t>
      </w:r>
      <w:r w:rsidRPr="003E0086">
        <w:rPr>
          <w:b w:val="0"/>
          <w:color w:val="000000" w:themeColor="text1"/>
        </w:rPr>
        <w:t>са в размер на</w:t>
      </w:r>
      <w:r w:rsidRPr="003E0086">
        <w:rPr>
          <w:color w:val="000000" w:themeColor="text1"/>
        </w:rPr>
        <w:t xml:space="preserve"> </w:t>
      </w:r>
      <w:r w:rsidR="003E0086" w:rsidRPr="00CC4FE0">
        <w:rPr>
          <w:b w:val="0"/>
          <w:color w:val="000000" w:themeColor="text1"/>
        </w:rPr>
        <w:t>12,4</w:t>
      </w:r>
      <w:r w:rsidRPr="003E0086">
        <w:rPr>
          <w:b w:val="0"/>
          <w:color w:val="000000" w:themeColor="text1"/>
        </w:rPr>
        <w:t xml:space="preserve"> млн. лв., което представлява </w:t>
      </w:r>
      <w:r w:rsidRPr="003E0086">
        <w:rPr>
          <w:b w:val="0"/>
          <w:color w:val="000000" w:themeColor="text1"/>
          <w:lang w:val="ru-RU"/>
        </w:rPr>
        <w:t>7</w:t>
      </w:r>
      <w:r w:rsidR="00CC4FE0">
        <w:rPr>
          <w:b w:val="0"/>
          <w:color w:val="000000" w:themeColor="text1"/>
          <w:lang w:val="ru-RU"/>
        </w:rPr>
        <w:t>6,0</w:t>
      </w:r>
      <w:r w:rsidRPr="003E0086">
        <w:rPr>
          <w:b w:val="0"/>
          <w:color w:val="000000" w:themeColor="text1"/>
        </w:rPr>
        <w:t xml:space="preserve"> % от предвидените разходи в разчетите към ЗДБРБ за 2025 г. – 16,3 млн. лв.</w:t>
      </w:r>
    </w:p>
    <w:p w14:paraId="33B33886" w14:textId="77777777" w:rsidR="000F0610" w:rsidRPr="003E0086" w:rsidRDefault="000F0610" w:rsidP="000F0610">
      <w:pPr>
        <w:pStyle w:val="Title"/>
        <w:ind w:firstLine="567"/>
        <w:jc w:val="both"/>
        <w:rPr>
          <w:b w:val="0"/>
          <w:color w:val="000000" w:themeColor="text1"/>
        </w:rPr>
      </w:pPr>
      <w:r w:rsidRPr="003E0086">
        <w:rPr>
          <w:b w:val="0"/>
          <w:color w:val="000000" w:themeColor="text1"/>
        </w:rPr>
        <w:t>Българската телеграфна агенция съставя, изпълнява, приключва и отчита бюджет, съгласно чл. 19, ал. 1 от Закона за Българска телеграфна агенция (ЗБТА). В разпределението на разходите по бюджета на агенцията е включен преходния остатък за 2024 г. (съгл. чл. 20, ал. 3 от ЗБТА) в размер на 0,45 млн. лв.</w:t>
      </w:r>
    </w:p>
    <w:p w14:paraId="7D8C3EDF" w14:textId="77777777" w:rsidR="000F0610" w:rsidRPr="003E0086" w:rsidRDefault="000F0610" w:rsidP="000F0610">
      <w:pPr>
        <w:ind w:firstLine="567"/>
        <w:jc w:val="both"/>
        <w:rPr>
          <w:color w:val="000000" w:themeColor="text1"/>
          <w:szCs w:val="20"/>
        </w:rPr>
      </w:pPr>
      <w:r w:rsidRPr="003E0086">
        <w:rPr>
          <w:color w:val="000000" w:themeColor="text1"/>
        </w:rPr>
        <w:t>За отчетния период средствата са усвоени за реализирането на основните цели и дейности на БТА като национален независим информационен институт на Република България, съгласно разпоредбите на Закона за Българска телеграфна агенция.</w:t>
      </w:r>
    </w:p>
    <w:p w14:paraId="0854FB2F" w14:textId="05EF09AB" w:rsidR="000F0610" w:rsidRPr="002B490A" w:rsidRDefault="000F0610" w:rsidP="000F0610">
      <w:pPr>
        <w:pStyle w:val="Title"/>
        <w:ind w:firstLine="567"/>
        <w:jc w:val="both"/>
        <w:rPr>
          <w:b w:val="0"/>
          <w:color w:val="000000" w:themeColor="text1"/>
        </w:rPr>
      </w:pPr>
      <w:r w:rsidRPr="002B490A">
        <w:rPr>
          <w:b w:val="0"/>
          <w:color w:val="000000" w:themeColor="text1"/>
        </w:rPr>
        <w:lastRenderedPageBreak/>
        <w:t xml:space="preserve">За периода са отчетени </w:t>
      </w:r>
      <w:r w:rsidR="003E0086" w:rsidRPr="002B490A">
        <w:rPr>
          <w:b w:val="0"/>
          <w:color w:val="000000" w:themeColor="text1"/>
        </w:rPr>
        <w:t>12</w:t>
      </w:r>
      <w:r w:rsidRPr="002B490A">
        <w:rPr>
          <w:b w:val="0"/>
          <w:color w:val="000000" w:themeColor="text1"/>
        </w:rPr>
        <w:t>,3 млн. лв. текущи разходи и 0,</w:t>
      </w:r>
      <w:r w:rsidR="003E0086" w:rsidRPr="002B490A">
        <w:rPr>
          <w:b w:val="0"/>
          <w:color w:val="000000" w:themeColor="text1"/>
        </w:rPr>
        <w:t>1</w:t>
      </w:r>
      <w:r w:rsidRPr="002B490A">
        <w:rPr>
          <w:b w:val="0"/>
          <w:color w:val="000000" w:themeColor="text1"/>
        </w:rPr>
        <w:t xml:space="preserve"> млн. лв. капиталови разходи. Общият размер на отчетените текущи разходи включва: </w:t>
      </w:r>
      <w:r w:rsidR="003E0086" w:rsidRPr="002B490A">
        <w:rPr>
          <w:b w:val="0"/>
          <w:color w:val="000000" w:themeColor="text1"/>
        </w:rPr>
        <w:t>9,0</w:t>
      </w:r>
      <w:r w:rsidRPr="002B490A">
        <w:rPr>
          <w:b w:val="0"/>
          <w:color w:val="000000" w:themeColor="text1"/>
        </w:rPr>
        <w:t xml:space="preserve"> млн. лв. разходи за персонал и </w:t>
      </w:r>
      <w:r w:rsidR="003E0086" w:rsidRPr="002B490A">
        <w:rPr>
          <w:b w:val="0"/>
          <w:color w:val="000000" w:themeColor="text1"/>
        </w:rPr>
        <w:t>3,4</w:t>
      </w:r>
      <w:r w:rsidR="00412681" w:rsidRPr="002B490A">
        <w:rPr>
          <w:b w:val="0"/>
          <w:color w:val="000000" w:themeColor="text1"/>
        </w:rPr>
        <w:t> </w:t>
      </w:r>
      <w:r w:rsidRPr="002B490A">
        <w:rPr>
          <w:b w:val="0"/>
          <w:color w:val="000000" w:themeColor="text1"/>
        </w:rPr>
        <w:t>млн. лв. разходи за издръжка (вкл. разходи за членски внос, платени данъци, такси и административни санкции). Отчетените разходи за персонал представляват 7</w:t>
      </w:r>
      <w:r w:rsidR="003E0086" w:rsidRPr="002B490A">
        <w:rPr>
          <w:b w:val="0"/>
          <w:color w:val="000000" w:themeColor="text1"/>
        </w:rPr>
        <w:t>2,7</w:t>
      </w:r>
      <w:r w:rsidRPr="002B490A">
        <w:rPr>
          <w:b w:val="0"/>
          <w:color w:val="000000" w:themeColor="text1"/>
        </w:rPr>
        <w:t xml:space="preserve"> % от отчетените </w:t>
      </w:r>
      <w:r w:rsidR="00E43C0A" w:rsidRPr="002B490A">
        <w:rPr>
          <w:b w:val="0"/>
          <w:color w:val="000000" w:themeColor="text1"/>
        </w:rPr>
        <w:t>общо</w:t>
      </w:r>
      <w:r w:rsidRPr="002B490A">
        <w:rPr>
          <w:b w:val="0"/>
          <w:color w:val="000000" w:themeColor="text1"/>
        </w:rPr>
        <w:t xml:space="preserve"> разходи.</w:t>
      </w:r>
    </w:p>
    <w:p w14:paraId="3F34EB74" w14:textId="62E2CEEE" w:rsidR="000F0610" w:rsidRPr="002B490A" w:rsidRDefault="000F0610" w:rsidP="000F0610">
      <w:pPr>
        <w:pStyle w:val="Title"/>
        <w:ind w:firstLine="567"/>
        <w:jc w:val="both"/>
        <w:rPr>
          <w:b w:val="0"/>
          <w:color w:val="000000" w:themeColor="text1"/>
        </w:rPr>
      </w:pPr>
      <w:r w:rsidRPr="002B490A">
        <w:rPr>
          <w:color w:val="000000" w:themeColor="text1"/>
        </w:rPr>
        <w:t xml:space="preserve"> Бюджетни взаимоотношения на БТА </w:t>
      </w:r>
      <w:r w:rsidRPr="002B490A">
        <w:rPr>
          <w:b w:val="0"/>
          <w:color w:val="000000" w:themeColor="text1"/>
        </w:rPr>
        <w:t>с централния бюджет са 15,7 млн. лв. съгласно чл. 50, т. 3 от ЗДБРБ за 2025 г.</w:t>
      </w:r>
      <w:r w:rsidRPr="002B490A">
        <w:rPr>
          <w:color w:val="000000" w:themeColor="text1"/>
        </w:rPr>
        <w:t xml:space="preserve"> </w:t>
      </w:r>
      <w:r w:rsidRPr="002B490A">
        <w:rPr>
          <w:b w:val="0"/>
          <w:color w:val="000000" w:themeColor="text1"/>
        </w:rPr>
        <w:t xml:space="preserve">За отчетния период е усвоена сума в размер на </w:t>
      </w:r>
      <w:r w:rsidR="00CC4FE0">
        <w:rPr>
          <w:b w:val="0"/>
          <w:color w:val="000000" w:themeColor="text1"/>
        </w:rPr>
        <w:t>11</w:t>
      </w:r>
      <w:r w:rsidR="002B490A" w:rsidRPr="002B490A">
        <w:rPr>
          <w:b w:val="0"/>
          <w:color w:val="000000" w:themeColor="text1"/>
        </w:rPr>
        <w:t>,8</w:t>
      </w:r>
      <w:r w:rsidRPr="002B490A">
        <w:rPr>
          <w:b w:val="0"/>
          <w:color w:val="000000" w:themeColor="text1"/>
        </w:rPr>
        <w:t xml:space="preserve"> млн. лв. от размера на бюджетните взаимоотношения на БТА с централния бюджет.</w:t>
      </w:r>
    </w:p>
    <w:p w14:paraId="6F433375" w14:textId="2CFF9ADC" w:rsidR="00753D5A" w:rsidRPr="00746832" w:rsidRDefault="00746832" w:rsidP="00746832">
      <w:pPr>
        <w:pStyle w:val="Heading1"/>
        <w:numPr>
          <w:ilvl w:val="0"/>
          <w:numId w:val="8"/>
        </w:numPr>
        <w:spacing w:before="360"/>
        <w:ind w:right="-108"/>
        <w:jc w:val="both"/>
        <w:rPr>
          <w:sz w:val="24"/>
        </w:rPr>
      </w:pPr>
      <w:r w:rsidRPr="00746832">
        <w:rPr>
          <w:sz w:val="24"/>
        </w:rPr>
        <w:t>Информация за разходите по програмите за компенсиране на разходите на потребителите на електрическа енергия</w:t>
      </w:r>
      <w:r w:rsidR="00753D5A" w:rsidRPr="00746832">
        <w:rPr>
          <w:sz w:val="24"/>
        </w:rPr>
        <w:t xml:space="preserve"> </w:t>
      </w:r>
    </w:p>
    <w:p w14:paraId="001A04C5" w14:textId="67CE40AE" w:rsidR="00753D5A" w:rsidRPr="00E438C5" w:rsidRDefault="00753D5A" w:rsidP="00753D5A">
      <w:pPr>
        <w:spacing w:before="120"/>
        <w:jc w:val="both"/>
        <w:outlineLvl w:val="0"/>
      </w:pPr>
      <w:r w:rsidRPr="00E438C5">
        <w:rPr>
          <w:b/>
        </w:rPr>
        <w:t xml:space="preserve">Извършените разходи </w:t>
      </w:r>
      <w:r w:rsidRPr="00E438C5">
        <w:t>за деветмесечието на 2025 г. по Програма за компенсиране на разходите на небитови крайни клиенти за електрическа енергия за периода от 1 юли 2024 г. до 31 март 2025 г., одобрената с РМС № 546 от 2024 г. (актуализирана с РМС № 654 от 2024 г. и РМС № 30 от 2025 г. и изменена с РМС № 235 от 2025 г.) са в размер на 593,0 млн. л</w:t>
      </w:r>
      <w:r>
        <w:t>е</w:t>
      </w:r>
      <w:r w:rsidRPr="00E438C5">
        <w:t>в</w:t>
      </w:r>
      <w:r>
        <w:t>а</w:t>
      </w:r>
      <w:r w:rsidRPr="00E438C5">
        <w:t xml:space="preserve">. </w:t>
      </w:r>
    </w:p>
    <w:p w14:paraId="0135B763" w14:textId="32F083BE" w:rsidR="00753D5A" w:rsidRPr="002F7920" w:rsidRDefault="00753D5A" w:rsidP="00753D5A">
      <w:pPr>
        <w:tabs>
          <w:tab w:val="left" w:pos="0"/>
          <w:tab w:val="left" w:pos="1134"/>
        </w:tabs>
        <w:contextualSpacing/>
        <w:jc w:val="both"/>
      </w:pPr>
      <w:r w:rsidRPr="002F7920">
        <w:rPr>
          <w:b/>
        </w:rPr>
        <w:t>Постъпленията</w:t>
      </w:r>
      <w:r w:rsidRPr="002F7920">
        <w:t xml:space="preserve"> към 30.09.2025 г. във фонд „Сигурност на електроенергийната система“ от целеви вноски по § 2, ал. 1, 3, 4 и 5 от заключителните разпоредби на Закона за събирането на приходи и извършването на разходи през 2025 г. до приемането на Закона за държавния бюджет на Република България за 2025 г., Закона за бюджета на държавното обществено осигуряване за 2025 г. и Закона за бюджета на Националната здравноосигурителна каса за 2025 г., предназначени за покриване на разходи по одобрени от МС програми за компенсиране високите цени на енергията са в размер на 438,1 млн. л</w:t>
      </w:r>
      <w:r>
        <w:t>е</w:t>
      </w:r>
      <w:r w:rsidRPr="002F7920">
        <w:t>в</w:t>
      </w:r>
      <w:r>
        <w:t>а</w:t>
      </w:r>
      <w:r w:rsidRPr="002F7920">
        <w:t xml:space="preserve">.  </w:t>
      </w:r>
    </w:p>
    <w:p w14:paraId="5EE0094F" w14:textId="77777777" w:rsidR="00446778" w:rsidRPr="002807FE" w:rsidRDefault="00446778" w:rsidP="007C1025">
      <w:pPr>
        <w:pStyle w:val="Title"/>
        <w:jc w:val="both"/>
        <w:rPr>
          <w:color w:val="0070C0"/>
        </w:rPr>
      </w:pPr>
    </w:p>
    <w:p w14:paraId="53D2002D" w14:textId="77777777" w:rsidR="00001ABF" w:rsidRPr="00701BBC" w:rsidRDefault="00001ABF" w:rsidP="007C1025">
      <w:pPr>
        <w:pStyle w:val="Title"/>
        <w:jc w:val="both"/>
        <w:rPr>
          <w:color w:val="000000" w:themeColor="text1"/>
        </w:rPr>
      </w:pPr>
    </w:p>
    <w:p w14:paraId="36F9F4B3" w14:textId="4D624003" w:rsidR="0050598A" w:rsidRPr="002807FE" w:rsidRDefault="007C1025" w:rsidP="0050598A">
      <w:pPr>
        <w:pStyle w:val="Title"/>
        <w:jc w:val="both"/>
        <w:rPr>
          <w:color w:val="0070C0"/>
        </w:rPr>
      </w:pPr>
      <w:r w:rsidRPr="00701BBC">
        <w:rPr>
          <w:color w:val="000000" w:themeColor="text1"/>
        </w:rPr>
        <w:t xml:space="preserve">Министерство на финансите, </w:t>
      </w:r>
      <w:r w:rsidR="008F6CD8" w:rsidRPr="00A80BBE">
        <w:rPr>
          <w:color w:val="000000" w:themeColor="text1"/>
        </w:rPr>
        <w:t>ноември</w:t>
      </w:r>
      <w:r w:rsidR="00931C83" w:rsidRPr="00701BBC">
        <w:rPr>
          <w:color w:val="000000" w:themeColor="text1"/>
        </w:rPr>
        <w:t xml:space="preserve"> </w:t>
      </w:r>
      <w:r w:rsidRPr="00701BBC">
        <w:rPr>
          <w:color w:val="000000" w:themeColor="text1"/>
        </w:rPr>
        <w:t>202</w:t>
      </w:r>
      <w:r w:rsidR="00716094" w:rsidRPr="00701BBC">
        <w:rPr>
          <w:color w:val="000000" w:themeColor="text1"/>
          <w:lang w:val="ru-RU"/>
        </w:rPr>
        <w:t xml:space="preserve">5 </w:t>
      </w:r>
      <w:r w:rsidRPr="00701BBC">
        <w:rPr>
          <w:color w:val="000000" w:themeColor="text1"/>
        </w:rPr>
        <w:t>г.</w:t>
      </w:r>
      <w:r w:rsidR="00014355" w:rsidRPr="002807FE">
        <w:rPr>
          <w:color w:val="0070C0"/>
        </w:rPr>
        <w:tab/>
      </w:r>
      <w:r w:rsidR="00014355" w:rsidRPr="002807FE">
        <w:rPr>
          <w:color w:val="0070C0"/>
        </w:rPr>
        <w:tab/>
      </w:r>
      <w:r w:rsidR="00014355" w:rsidRPr="002807FE">
        <w:rPr>
          <w:color w:val="0070C0"/>
        </w:rPr>
        <w:tab/>
      </w:r>
    </w:p>
    <w:sectPr w:rsidR="0050598A" w:rsidRPr="002807FE" w:rsidSect="00033525">
      <w:footerReference w:type="even" r:id="rId11"/>
      <w:footerReference w:type="default" r:id="rId12"/>
      <w:endnotePr>
        <w:numFmt w:val="decimal"/>
      </w:endnotePr>
      <w:type w:val="continuous"/>
      <w:pgSz w:w="11906" w:h="16838"/>
      <w:pgMar w:top="709" w:right="849" w:bottom="42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A9E20" w14:textId="77777777" w:rsidR="00C17F22" w:rsidRDefault="00C17F22">
      <w:r>
        <w:separator/>
      </w:r>
    </w:p>
  </w:endnote>
  <w:endnote w:type="continuationSeparator" w:id="0">
    <w:p w14:paraId="6A21447A" w14:textId="77777777" w:rsidR="00C17F22" w:rsidRDefault="00C17F22">
      <w:r>
        <w:continuationSeparator/>
      </w:r>
    </w:p>
  </w:endnote>
  <w:endnote w:type="continuationNotice" w:id="1">
    <w:p w14:paraId="3863DF28" w14:textId="77777777" w:rsidR="00C17F22" w:rsidRDefault="00C17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utura Bk">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D87D" w14:textId="77777777" w:rsidR="003A7320" w:rsidRDefault="003A7320"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D1DD0" w14:textId="77777777" w:rsidR="003A7320" w:rsidRDefault="003A7320" w:rsidP="00A741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DF7" w14:textId="1C686E32" w:rsidR="003A7320" w:rsidRDefault="003A7320"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1237">
      <w:rPr>
        <w:rStyle w:val="PageNumber"/>
        <w:noProof/>
      </w:rPr>
      <w:t>5</w:t>
    </w:r>
    <w:r>
      <w:rPr>
        <w:rStyle w:val="PageNumber"/>
      </w:rPr>
      <w:fldChar w:fldCharType="end"/>
    </w:r>
  </w:p>
  <w:p w14:paraId="1AE9BAAA" w14:textId="77777777" w:rsidR="003A7320" w:rsidRDefault="003A7320" w:rsidP="00A741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069A" w14:textId="77777777" w:rsidR="00C17F22" w:rsidRDefault="00C17F22">
      <w:r>
        <w:separator/>
      </w:r>
    </w:p>
  </w:footnote>
  <w:footnote w:type="continuationSeparator" w:id="0">
    <w:p w14:paraId="75870502" w14:textId="77777777" w:rsidR="00C17F22" w:rsidRDefault="00C17F22">
      <w:r>
        <w:continuationSeparator/>
      </w:r>
    </w:p>
  </w:footnote>
  <w:footnote w:type="continuationNotice" w:id="1">
    <w:p w14:paraId="1682E1EC" w14:textId="77777777" w:rsidR="00C17F22" w:rsidRDefault="00C17F22"/>
  </w:footnote>
  <w:footnote w:id="2">
    <w:p w14:paraId="68DE6BCC" w14:textId="6DE9F35B" w:rsidR="003A7320" w:rsidRPr="00D94DB2" w:rsidRDefault="003A7320">
      <w:pPr>
        <w:pStyle w:val="FootnoteText"/>
        <w:rPr>
          <w:lang w:val="ru-RU"/>
        </w:rPr>
      </w:pPr>
      <w:r>
        <w:rPr>
          <w:rStyle w:val="FootnoteReference"/>
        </w:rPr>
        <w:footnoteRef/>
      </w:r>
      <w:r w:rsidRPr="00D94DB2">
        <w:rPr>
          <w:lang w:val="ru-RU"/>
        </w:rPr>
        <w:t xml:space="preserve"> </w:t>
      </w:r>
      <w:r w:rsidRPr="00D70DED">
        <w:rPr>
          <w:rFonts w:eastAsia="Calibri"/>
          <w:lang w:val="bg-BG" w:eastAsia="bg-BG"/>
        </w:rPr>
        <w:t>Базисната инфлация включва услуги и неенергийни промишлени стоки.</w:t>
      </w:r>
    </w:p>
  </w:footnote>
  <w:footnote w:id="3">
    <w:p w14:paraId="4308BC51" w14:textId="0D3D7D55" w:rsidR="003A7320" w:rsidRPr="00A66FAF" w:rsidRDefault="003A7320" w:rsidP="006B0BAB">
      <w:pPr>
        <w:pStyle w:val="FootnoteText"/>
        <w:rPr>
          <w:lang w:val="bg-BG"/>
        </w:rPr>
      </w:pPr>
      <w:r>
        <w:rPr>
          <w:rStyle w:val="FootnoteReference"/>
        </w:rPr>
        <w:footnoteRef/>
      </w:r>
      <w:r w:rsidRPr="00D94DB2">
        <w:rPr>
          <w:lang w:val="ru-RU"/>
        </w:rPr>
        <w:t xml:space="preserve"> </w:t>
      </w:r>
      <w:r w:rsidRPr="00173EB6">
        <w:rPr>
          <w:rFonts w:eastAsia="Calibri"/>
          <w:sz w:val="18"/>
          <w:szCs w:val="18"/>
          <w:lang w:val="ru-RU"/>
        </w:rPr>
        <w:t xml:space="preserve">През </w:t>
      </w:r>
      <w:r w:rsidRPr="000A6DB7">
        <w:rPr>
          <w:rFonts w:eastAsia="Calibri"/>
          <w:sz w:val="18"/>
          <w:szCs w:val="18"/>
          <w:lang w:val="bg-BG"/>
        </w:rPr>
        <w:t>месец</w:t>
      </w:r>
      <w:r w:rsidRPr="00173EB6">
        <w:rPr>
          <w:rFonts w:eastAsia="Calibri"/>
          <w:sz w:val="18"/>
          <w:szCs w:val="18"/>
          <w:lang w:val="ru-RU"/>
        </w:rPr>
        <w:t xml:space="preserve"> </w:t>
      </w:r>
      <w:r w:rsidRPr="003B3E0B">
        <w:rPr>
          <w:rFonts w:eastAsia="Calibri"/>
          <w:sz w:val="18"/>
          <w:szCs w:val="18"/>
          <w:lang w:val="ru-RU"/>
        </w:rPr>
        <w:t>февруари</w:t>
      </w:r>
      <w:r w:rsidRPr="00173EB6">
        <w:rPr>
          <w:rFonts w:eastAsia="Calibri"/>
          <w:sz w:val="18"/>
          <w:szCs w:val="18"/>
          <w:lang w:val="ru-RU"/>
        </w:rPr>
        <w:t xml:space="preserve"> 2024 г. в изпълнение на чл. 71, ал.1 от Постановление № 13 на Министерския съвет от 2024</w:t>
      </w:r>
      <w:r w:rsidRPr="00173EB6">
        <w:rPr>
          <w:rFonts w:eastAsia="Calibri"/>
          <w:sz w:val="18"/>
          <w:szCs w:val="18"/>
        </w:rPr>
        <w:t> </w:t>
      </w:r>
      <w:r w:rsidRPr="00173EB6">
        <w:rPr>
          <w:rFonts w:eastAsia="Calibri"/>
          <w:sz w:val="18"/>
          <w:szCs w:val="18"/>
          <w:lang w:val="ru-RU"/>
        </w:rPr>
        <w:t xml:space="preserve">г. от сметката за чужди средства по бюджета на Министерството на регионалното развитие и благоустройството бяха възстановени средства в общ размер на 1 200,0 млн. лв., които съгласно бюджетната методология се отчитат като възстановени </w:t>
      </w:r>
      <w:r w:rsidRPr="005D6890">
        <w:rPr>
          <w:rFonts w:eastAsia="Calibri"/>
          <w:sz w:val="18"/>
          <w:szCs w:val="18"/>
          <w:lang w:val="ru-RU"/>
        </w:rPr>
        <w:t xml:space="preserve">(отрицателни) </w:t>
      </w:r>
      <w:r w:rsidRPr="00173EB6">
        <w:rPr>
          <w:rFonts w:eastAsia="Calibri"/>
          <w:sz w:val="18"/>
          <w:szCs w:val="18"/>
          <w:lang w:val="ru-RU"/>
        </w:rPr>
        <w:t>разходи</w:t>
      </w:r>
      <w:r>
        <w:rPr>
          <w:rFonts w:eastAsia="Calibri"/>
          <w:sz w:val="18"/>
          <w:szCs w:val="18"/>
          <w:lang w:val="ru-RU"/>
        </w:rPr>
        <w:t>. С оглед на съпоставимост на данните с 2025 г., ефектът от тази трансакция е елиминиран в 2024 г.</w:t>
      </w:r>
    </w:p>
  </w:footnote>
  <w:footnote w:id="4">
    <w:p w14:paraId="54214BA9" w14:textId="77777777" w:rsidR="003A7320" w:rsidRPr="007D18FE" w:rsidRDefault="003A7320" w:rsidP="008969AB">
      <w:pPr>
        <w:pStyle w:val="FootnoteText"/>
        <w:jc w:val="both"/>
        <w:rPr>
          <w:sz w:val="18"/>
          <w:szCs w:val="18"/>
          <w:lang w:val="bg-BG"/>
        </w:rPr>
      </w:pPr>
      <w:r w:rsidRPr="007D18FE">
        <w:rPr>
          <w:rStyle w:val="FootnoteReference"/>
          <w:sz w:val="18"/>
          <w:szCs w:val="18"/>
        </w:rPr>
        <w:footnoteRef/>
      </w:r>
      <w:r w:rsidRPr="001953AC">
        <w:rPr>
          <w:sz w:val="18"/>
          <w:szCs w:val="18"/>
          <w:lang w:val="ru-RU"/>
        </w:rPr>
        <w:t xml:space="preserve"> </w:t>
      </w:r>
      <w:r w:rsidRPr="007D18FE">
        <w:rPr>
          <w:sz w:val="18"/>
          <w:szCs w:val="18"/>
          <w:lang w:val="bg-BG"/>
        </w:rPr>
        <w:t>Обхваща държавния бюджет и бюджетите на общините, социалноосигурителните фондове, ДВУ, БАН, БНР, БНТ, БТА, бюджетите по чл.1</w:t>
      </w:r>
      <w:r>
        <w:rPr>
          <w:sz w:val="18"/>
          <w:szCs w:val="18"/>
          <w:lang w:val="bg-BG"/>
        </w:rPr>
        <w:t>3</w:t>
      </w:r>
      <w:r w:rsidRPr="007D18FE">
        <w:rPr>
          <w:sz w:val="18"/>
          <w:szCs w:val="18"/>
          <w:lang w:val="bg-BG"/>
        </w:rPr>
        <w:t>, ал.4 от ЗПФ, както и сметките за средствата от ЕС и сметките за чужди средства на бюджетните организации. Данните за текущата година са на база месечни отчети, а тези за предходната година - на база тримесечни отчети на ПРБ.</w:t>
      </w:r>
    </w:p>
  </w:footnote>
  <w:footnote w:id="5">
    <w:p w14:paraId="1C607B12" w14:textId="77777777" w:rsidR="003A7320" w:rsidRPr="007D18FE" w:rsidRDefault="003A7320" w:rsidP="008969AB">
      <w:pPr>
        <w:pStyle w:val="FootnoteText"/>
        <w:jc w:val="both"/>
        <w:rPr>
          <w:sz w:val="18"/>
          <w:szCs w:val="18"/>
          <w:lang w:val="bg-BG"/>
        </w:rPr>
      </w:pPr>
      <w:r w:rsidRPr="007D18FE">
        <w:rPr>
          <w:rStyle w:val="FootnoteReference"/>
          <w:sz w:val="18"/>
          <w:szCs w:val="18"/>
        </w:rPr>
        <w:footnoteRef/>
      </w:r>
      <w:r w:rsidRPr="007D18FE">
        <w:rPr>
          <w:sz w:val="18"/>
          <w:szCs w:val="18"/>
          <w:lang w:val="bg-BG"/>
        </w:rPr>
        <w:t xml:space="preserve"> Поради извършено закръгление в млн. лв., някои сумарни позиции в Таблица №1, Таблица  №2 и в текста не се изчерпват от съставните им числа.</w:t>
      </w:r>
    </w:p>
  </w:footnote>
  <w:footnote w:id="6">
    <w:p w14:paraId="3C5E31DD" w14:textId="77777777" w:rsidR="003A7320" w:rsidRPr="00D13ABE" w:rsidRDefault="003A7320" w:rsidP="008969AB">
      <w:pPr>
        <w:pStyle w:val="FootnoteText"/>
        <w:rPr>
          <w:lang w:val="bg-BG"/>
        </w:rPr>
      </w:pPr>
      <w:r w:rsidRPr="0018152A">
        <w:rPr>
          <w:rStyle w:val="FootnoteReference"/>
        </w:rPr>
        <w:footnoteRef/>
      </w:r>
      <w:r w:rsidRPr="0018152A">
        <w:rPr>
          <w:lang w:val="bg-BG"/>
        </w:rPr>
        <w:t xml:space="preserve"> </w:t>
      </w:r>
      <w:r w:rsidRPr="0018152A">
        <w:rPr>
          <w:sz w:val="18"/>
          <w:szCs w:val="18"/>
          <w:lang w:val="bg-BG"/>
        </w:rPr>
        <w:t>Разчети към ЗДБРБ за 202</w:t>
      </w:r>
      <w:r w:rsidRPr="0018152A">
        <w:rPr>
          <w:sz w:val="18"/>
          <w:szCs w:val="18"/>
          <w:lang w:val="ru-RU"/>
        </w:rPr>
        <w:t>5</w:t>
      </w:r>
      <w:r w:rsidRPr="0018152A">
        <w:rPr>
          <w:sz w:val="18"/>
          <w:szCs w:val="18"/>
          <w:lang w:val="bg-BG"/>
        </w:rPr>
        <w:t xml:space="preserve"> г. (</w:t>
      </w:r>
      <w:proofErr w:type="spellStart"/>
      <w:r w:rsidRPr="0018152A">
        <w:rPr>
          <w:sz w:val="18"/>
          <w:szCs w:val="18"/>
          <w:lang w:val="bg-BG"/>
        </w:rPr>
        <w:t>oбн</w:t>
      </w:r>
      <w:proofErr w:type="spellEnd"/>
      <w:r w:rsidRPr="0018152A">
        <w:rPr>
          <w:sz w:val="18"/>
          <w:szCs w:val="18"/>
          <w:lang w:val="bg-BG"/>
        </w:rPr>
        <w:t xml:space="preserve">., ДВ., бр. </w:t>
      </w:r>
      <w:r w:rsidRPr="0018152A">
        <w:rPr>
          <w:sz w:val="18"/>
          <w:szCs w:val="18"/>
          <w:lang w:val="ru-RU"/>
        </w:rPr>
        <w:t>2</w:t>
      </w:r>
      <w:r w:rsidRPr="0018152A">
        <w:rPr>
          <w:sz w:val="18"/>
          <w:szCs w:val="18"/>
          <w:lang w:val="bg-BG"/>
        </w:rPr>
        <w:t xml:space="preserve">6 от </w:t>
      </w:r>
      <w:r w:rsidRPr="0018152A">
        <w:rPr>
          <w:sz w:val="18"/>
          <w:szCs w:val="18"/>
          <w:lang w:val="ru-RU"/>
        </w:rPr>
        <w:t>27</w:t>
      </w:r>
      <w:r w:rsidRPr="0018152A">
        <w:rPr>
          <w:sz w:val="18"/>
          <w:szCs w:val="18"/>
          <w:lang w:val="bg-BG"/>
        </w:rPr>
        <w:t>.</w:t>
      </w:r>
      <w:r w:rsidRPr="0018152A">
        <w:rPr>
          <w:sz w:val="18"/>
          <w:szCs w:val="18"/>
          <w:lang w:val="ru-RU"/>
        </w:rPr>
        <w:t>03</w:t>
      </w:r>
      <w:r w:rsidRPr="0018152A">
        <w:rPr>
          <w:sz w:val="18"/>
          <w:szCs w:val="18"/>
          <w:lang w:val="bg-BG"/>
        </w:rPr>
        <w:t>.202</w:t>
      </w:r>
      <w:r w:rsidRPr="0018152A">
        <w:rPr>
          <w:sz w:val="18"/>
          <w:szCs w:val="18"/>
          <w:lang w:val="ru-RU"/>
        </w:rPr>
        <w:t>5</w:t>
      </w:r>
      <w:r w:rsidRPr="0018152A">
        <w:rPr>
          <w:sz w:val="18"/>
          <w:szCs w:val="18"/>
          <w:lang w:val="bg-BG"/>
        </w:rPr>
        <w:t xml:space="preserve"> г.).</w:t>
      </w:r>
    </w:p>
  </w:footnote>
  <w:footnote w:id="7">
    <w:p w14:paraId="59FB378B" w14:textId="77777777" w:rsidR="003A7320" w:rsidRPr="00E74802" w:rsidRDefault="003A7320" w:rsidP="001E2C12">
      <w:pPr>
        <w:pStyle w:val="FootnoteText"/>
        <w:jc w:val="both"/>
        <w:rPr>
          <w:sz w:val="18"/>
          <w:szCs w:val="18"/>
          <w:lang w:val="bg-BG"/>
        </w:rPr>
      </w:pPr>
      <w:r w:rsidRPr="00E74802">
        <w:rPr>
          <w:rStyle w:val="FootnoteReference"/>
          <w:sz w:val="18"/>
          <w:szCs w:val="18"/>
          <w:lang w:val="bg-BG"/>
        </w:rPr>
        <w:footnoteRef/>
      </w:r>
      <w:r w:rsidRPr="00E74802">
        <w:rPr>
          <w:sz w:val="18"/>
          <w:szCs w:val="18"/>
          <w:lang w:val="bg-BG"/>
        </w:rPr>
        <w:t xml:space="preserve"> </w:t>
      </w:r>
      <w:r w:rsidRPr="004D0661">
        <w:rPr>
          <w:sz w:val="18"/>
          <w:szCs w:val="18"/>
          <w:lang w:val="bg-BG"/>
        </w:rPr>
        <w:t>Обхватът на показателя фискален резерв е в съответствие с §1, т. 41 от Допълнителните разпоредби на Закона за публичните финанси.</w:t>
      </w:r>
    </w:p>
  </w:footnote>
  <w:footnote w:id="8">
    <w:p w14:paraId="375F511A" w14:textId="77777777" w:rsidR="003A7320" w:rsidRPr="006544D0" w:rsidRDefault="003A7320" w:rsidP="008969AB">
      <w:pPr>
        <w:pStyle w:val="FootnoteText"/>
        <w:rPr>
          <w:lang w:val="bg-BG"/>
        </w:rPr>
      </w:pPr>
      <w:r w:rsidRPr="00886376">
        <w:rPr>
          <w:rStyle w:val="FootnoteReference"/>
          <w:sz w:val="18"/>
          <w:lang w:val="bg-BG"/>
        </w:rPr>
        <w:footnoteRef/>
      </w:r>
      <w:r w:rsidRPr="006544D0">
        <w:rPr>
          <w:lang w:val="bg-BG"/>
        </w:rPr>
        <w:t xml:space="preserve"> </w:t>
      </w:r>
      <w:r w:rsidRPr="006544D0">
        <w:rPr>
          <w:sz w:val="18"/>
          <w:szCs w:val="16"/>
          <w:lang w:val="bg-BG"/>
        </w:rPr>
        <w:t>Държавният бюджет включва централен бюджет, бюджетите на НС, съдебната власт, министерствата и ведомствата.</w:t>
      </w:r>
    </w:p>
  </w:footnote>
  <w:footnote w:id="9">
    <w:p w14:paraId="127C386E" w14:textId="77777777" w:rsidR="003A7320" w:rsidRPr="00162970" w:rsidRDefault="003A7320" w:rsidP="00676777">
      <w:pPr>
        <w:pStyle w:val="FootnoteText"/>
        <w:jc w:val="both"/>
        <w:rPr>
          <w:sz w:val="18"/>
          <w:szCs w:val="18"/>
          <w:lang w:val="bg-BG"/>
        </w:rPr>
      </w:pPr>
      <w:r w:rsidRPr="004D68B9">
        <w:rPr>
          <w:rStyle w:val="FootnoteReference"/>
          <w:sz w:val="18"/>
          <w:lang w:val="bg-BG"/>
        </w:rPr>
        <w:footnoteRef/>
      </w:r>
      <w:r w:rsidRPr="00162970">
        <w:rPr>
          <w:sz w:val="18"/>
          <w:szCs w:val="18"/>
          <w:lang w:val="bg-BG"/>
        </w:rPr>
        <w:t xml:space="preserve"> Поради извършено закръгление в млн. лв., някои сумарни позиции в Таблица № 1 и в текста не се изчерпват от съставните им числа.</w:t>
      </w:r>
    </w:p>
  </w:footnote>
  <w:footnote w:id="10">
    <w:p w14:paraId="428D973F" w14:textId="77777777" w:rsidR="003A7320" w:rsidRPr="00162970" w:rsidRDefault="003A7320" w:rsidP="00676777">
      <w:pPr>
        <w:pStyle w:val="FootnoteText"/>
        <w:jc w:val="both"/>
        <w:rPr>
          <w:sz w:val="18"/>
          <w:szCs w:val="18"/>
          <w:lang w:val="bg-BG"/>
        </w:rPr>
      </w:pPr>
      <w:r w:rsidRPr="00162970">
        <w:rPr>
          <w:rStyle w:val="FootnoteReference"/>
          <w:sz w:val="18"/>
          <w:szCs w:val="18"/>
          <w:lang w:val="bg-BG"/>
        </w:rPr>
        <w:footnoteRef/>
      </w:r>
      <w:r w:rsidRPr="00162970">
        <w:rPr>
          <w:sz w:val="18"/>
          <w:szCs w:val="18"/>
          <w:lang w:val="bg-BG"/>
        </w:rPr>
        <w:t xml:space="preserve"> В позицията "Резерв за непредвидени и неотложни разходи" се посочват само данните по разчет. Разходите по отчет се отразяват по съответните разходни позиции, към които се отнасят извършените разходи.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0E0"/>
    <w:multiLevelType w:val="hybridMultilevel"/>
    <w:tmpl w:val="94142DF6"/>
    <w:lvl w:ilvl="0" w:tplc="CA968970">
      <w:start w:val="43"/>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 w15:restartNumberingAfterBreak="0">
    <w:nsid w:val="03127CD0"/>
    <w:multiLevelType w:val="hybridMultilevel"/>
    <w:tmpl w:val="5AC6FB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194083D"/>
    <w:multiLevelType w:val="hybridMultilevel"/>
    <w:tmpl w:val="08701446"/>
    <w:lvl w:ilvl="0" w:tplc="425291B8">
      <w:numFmt w:val="bullet"/>
      <w:lvlText w:val="-"/>
      <w:lvlJc w:val="left"/>
      <w:pPr>
        <w:tabs>
          <w:tab w:val="num" w:pos="1500"/>
        </w:tabs>
        <w:ind w:left="1500" w:hanging="360"/>
      </w:pPr>
      <w:rPr>
        <w:rFonts w:ascii="Times New Roman" w:eastAsia="Times New Roman" w:hAnsi="Times New Roman" w:cs="Times New Roman"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F34A1"/>
    <w:multiLevelType w:val="hybridMultilevel"/>
    <w:tmpl w:val="769814B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4105CA9"/>
    <w:multiLevelType w:val="hybridMultilevel"/>
    <w:tmpl w:val="2D5A56EE"/>
    <w:lvl w:ilvl="0" w:tplc="88C42E5E">
      <w:start w:val="1"/>
      <w:numFmt w:val="decimal"/>
      <w:pStyle w:val="ParagraphNumbering"/>
      <w:lvlText w:val="%1.     "/>
      <w:lvlJc w:val="left"/>
      <w:pPr>
        <w:tabs>
          <w:tab w:val="num" w:pos="1260"/>
        </w:tabs>
        <w:ind w:left="540" w:firstLine="0"/>
      </w:pPr>
      <w:rPr>
        <w:rFonts w:hint="default"/>
        <w:b/>
      </w:rPr>
    </w:lvl>
    <w:lvl w:ilvl="1" w:tplc="F6E687FE">
      <w:start w:val="1"/>
      <w:numFmt w:val="upperRoman"/>
      <w:lvlText w:val="%2."/>
      <w:lvlJc w:val="right"/>
      <w:pPr>
        <w:tabs>
          <w:tab w:val="num" w:pos="1260"/>
        </w:tabs>
        <w:ind w:left="1260" w:hanging="18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rPr>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71A683C"/>
    <w:multiLevelType w:val="hybridMultilevel"/>
    <w:tmpl w:val="20DC1140"/>
    <w:lvl w:ilvl="0" w:tplc="B8089F6A">
      <w:start w:val="1"/>
      <w:numFmt w:val="bullet"/>
      <w:lvlText w:val=""/>
      <w:lvlJc w:val="left"/>
      <w:pPr>
        <w:tabs>
          <w:tab w:val="num" w:pos="417"/>
        </w:tabs>
        <w:ind w:left="417" w:hanging="357"/>
      </w:pPr>
      <w:rPr>
        <w:rFonts w:ascii="Wingdings" w:hAnsi="Wingdings" w:hint="default"/>
        <w:color w:val="auto"/>
        <w:sz w:val="28"/>
        <w:u w:color="FFFFFF"/>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372835"/>
    <w:multiLevelType w:val="multilevel"/>
    <w:tmpl w:val="7B586E5A"/>
    <w:lvl w:ilvl="0">
      <w:start w:val="1"/>
      <w:numFmt w:val="bullet"/>
      <w:lvlText w:val=""/>
      <w:lvlJc w:val="left"/>
      <w:pPr>
        <w:tabs>
          <w:tab w:val="num" w:pos="532"/>
        </w:tabs>
        <w:ind w:left="532" w:hanging="390"/>
      </w:pPr>
      <w:rPr>
        <w:rFonts w:ascii="Wingdings" w:hAnsi="Wingding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7" w15:restartNumberingAfterBreak="0">
    <w:nsid w:val="20EE040C"/>
    <w:multiLevelType w:val="hybridMultilevel"/>
    <w:tmpl w:val="DF5C7CEA"/>
    <w:lvl w:ilvl="0" w:tplc="04020005">
      <w:start w:val="1"/>
      <w:numFmt w:val="bullet"/>
      <w:lvlText w:val=""/>
      <w:lvlJc w:val="left"/>
      <w:pPr>
        <w:tabs>
          <w:tab w:val="num" w:pos="360"/>
        </w:tabs>
        <w:ind w:left="360" w:hanging="360"/>
      </w:pPr>
      <w:rPr>
        <w:rFonts w:ascii="Wingdings" w:hAnsi="Wingdings" w:hint="default"/>
        <w:color w:val="auto"/>
        <w:sz w:val="28"/>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F11F5"/>
    <w:multiLevelType w:val="hybridMultilevel"/>
    <w:tmpl w:val="1EE24D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88D6CFF"/>
    <w:multiLevelType w:val="hybridMultilevel"/>
    <w:tmpl w:val="8E9EC7B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6531B"/>
    <w:multiLevelType w:val="hybridMultilevel"/>
    <w:tmpl w:val="8B6EA6A0"/>
    <w:lvl w:ilvl="0" w:tplc="EF702B0E">
      <w:start w:val="1"/>
      <w:numFmt w:val="bullet"/>
      <w:lvlText w:val=""/>
      <w:lvlJc w:val="left"/>
      <w:pPr>
        <w:ind w:left="1571" w:hanging="360"/>
      </w:pPr>
      <w:rPr>
        <w:rFonts w:ascii="Wingdings" w:hAnsi="Wingdings"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F8B1941"/>
    <w:multiLevelType w:val="hybridMultilevel"/>
    <w:tmpl w:val="269A2F3C"/>
    <w:lvl w:ilvl="0" w:tplc="1AC8DDA4">
      <w:start w:val="1"/>
      <w:numFmt w:val="bullet"/>
      <w:lvlText w:val=""/>
      <w:lvlJc w:val="left"/>
      <w:pPr>
        <w:tabs>
          <w:tab w:val="num" w:pos="1440"/>
        </w:tabs>
        <w:ind w:left="740" w:firstLine="340"/>
      </w:pPr>
      <w:rPr>
        <w:rFonts w:ascii="Wingdings" w:hAnsi="Wingdings" w:hint="default"/>
        <w:sz w:val="24"/>
        <w:szCs w:val="24"/>
      </w:rPr>
    </w:lvl>
    <w:lvl w:ilvl="1" w:tplc="B8089F6A">
      <w:start w:val="1"/>
      <w:numFmt w:val="bullet"/>
      <w:lvlText w:val=""/>
      <w:lvlJc w:val="left"/>
      <w:pPr>
        <w:tabs>
          <w:tab w:val="num" w:pos="1437"/>
        </w:tabs>
        <w:ind w:left="1437" w:hanging="357"/>
      </w:pPr>
      <w:rPr>
        <w:rFonts w:ascii="Wingdings" w:hAnsi="Wingdings" w:hint="default"/>
        <w:color w:val="auto"/>
        <w:sz w:val="28"/>
        <w:szCs w:val="24"/>
        <w:u w:color="FFFFFF"/>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240B4"/>
    <w:multiLevelType w:val="hybridMultilevel"/>
    <w:tmpl w:val="08CCBC84"/>
    <w:lvl w:ilvl="0" w:tplc="0682000E">
      <w:start w:val="1"/>
      <w:numFmt w:val="bullet"/>
      <w:lvlText w:val="-"/>
      <w:lvlJc w:val="left"/>
      <w:pPr>
        <w:ind w:left="720" w:hanging="360"/>
      </w:pPr>
      <w:rPr>
        <w:rFonts w:ascii="Times New Roman" w:eastAsia="Times New Roman" w:hAnsi="Times New Roman" w:cs="Times New Roman" w:hint="default"/>
        <w:b/>
        <w:i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DCB4556"/>
    <w:multiLevelType w:val="hybridMultilevel"/>
    <w:tmpl w:val="4CFCC9E0"/>
    <w:lvl w:ilvl="0" w:tplc="04020003">
      <w:start w:val="1"/>
      <w:numFmt w:val="bullet"/>
      <w:lvlText w:val="o"/>
      <w:lvlJc w:val="left"/>
      <w:pPr>
        <w:tabs>
          <w:tab w:val="num" w:pos="1346"/>
        </w:tabs>
        <w:ind w:left="984" w:firstLine="96"/>
      </w:pPr>
      <w:rPr>
        <w:rFonts w:ascii="Courier New" w:hAnsi="Courier New" w:cs="Courier New" w:hint="default"/>
        <w:color w:val="auto"/>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14" w15:restartNumberingAfterBreak="0">
    <w:nsid w:val="42E21440"/>
    <w:multiLevelType w:val="hybridMultilevel"/>
    <w:tmpl w:val="07F2493E"/>
    <w:lvl w:ilvl="0" w:tplc="A314B01C">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48843DC3"/>
    <w:multiLevelType w:val="hybridMultilevel"/>
    <w:tmpl w:val="59487C1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89254F4"/>
    <w:multiLevelType w:val="hybridMultilevel"/>
    <w:tmpl w:val="A78E9870"/>
    <w:lvl w:ilvl="0" w:tplc="0409000B">
      <w:start w:val="1"/>
      <w:numFmt w:val="bullet"/>
      <w:lvlText w:val=""/>
      <w:lvlJc w:val="left"/>
      <w:pPr>
        <w:tabs>
          <w:tab w:val="num" w:pos="360"/>
        </w:tabs>
        <w:ind w:left="360" w:hanging="360"/>
      </w:pPr>
      <w:rPr>
        <w:rFonts w:ascii="Wingdings" w:hAnsi="Wingdings" w:hint="default"/>
      </w:rPr>
    </w:lvl>
    <w:lvl w:ilvl="1" w:tplc="8DDE1D3E">
      <w:start w:val="1"/>
      <w:numFmt w:val="bullet"/>
      <w:lvlText w:val=""/>
      <w:lvlJc w:val="left"/>
      <w:pPr>
        <w:tabs>
          <w:tab w:val="num" w:pos="1383"/>
        </w:tabs>
        <w:ind w:left="683" w:firstLine="340"/>
      </w:pPr>
      <w:rPr>
        <w:rFonts w:ascii="Wingdings" w:hAnsi="Wingdings"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7" w15:restartNumberingAfterBreak="0">
    <w:nsid w:val="4A5F564A"/>
    <w:multiLevelType w:val="hybridMultilevel"/>
    <w:tmpl w:val="19C03E34"/>
    <w:lvl w:ilvl="0" w:tplc="B8089F6A">
      <w:start w:val="1"/>
      <w:numFmt w:val="bullet"/>
      <w:lvlText w:val=""/>
      <w:lvlJc w:val="left"/>
      <w:pPr>
        <w:tabs>
          <w:tab w:val="num" w:pos="6878"/>
        </w:tabs>
        <w:ind w:left="6878" w:hanging="357"/>
      </w:pPr>
      <w:rPr>
        <w:rFonts w:ascii="Wingdings" w:hAnsi="Wingdings" w:hint="default"/>
        <w:color w:val="auto"/>
        <w:sz w:val="28"/>
        <w:u w:color="FFFFF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1C3D5E"/>
    <w:multiLevelType w:val="hybridMultilevel"/>
    <w:tmpl w:val="05085AC2"/>
    <w:lvl w:ilvl="0" w:tplc="EDA44120">
      <w:start w:val="1"/>
      <w:numFmt w:val="bullet"/>
      <w:lvlText w:val="-"/>
      <w:lvlJc w:val="left"/>
      <w:pPr>
        <w:tabs>
          <w:tab w:val="num" w:pos="700"/>
        </w:tabs>
        <w:ind w:left="700" w:hanging="360"/>
      </w:pPr>
      <w:rPr>
        <w:rFonts w:ascii="Mangal" w:hAnsi="Manga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EB1EBB"/>
    <w:multiLevelType w:val="hybridMultilevel"/>
    <w:tmpl w:val="00982DA8"/>
    <w:lvl w:ilvl="0" w:tplc="F5B6D06A">
      <w:start w:val="1"/>
      <w:numFmt w:val="bullet"/>
      <w:lvlText w:val=""/>
      <w:lvlJc w:val="left"/>
      <w:pPr>
        <w:tabs>
          <w:tab w:val="num" w:pos="540"/>
        </w:tabs>
        <w:ind w:left="540" w:hanging="360"/>
      </w:pPr>
      <w:rPr>
        <w:rFonts w:ascii="Wingdings" w:hAnsi="Wingdings" w:hint="default"/>
        <w:color w:val="auto"/>
        <w:sz w:val="24"/>
      </w:rPr>
    </w:lvl>
    <w:lvl w:ilvl="1" w:tplc="60389F1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9D2FCE"/>
    <w:multiLevelType w:val="hybridMultilevel"/>
    <w:tmpl w:val="6DD4EA66"/>
    <w:lvl w:ilvl="0" w:tplc="0682000E">
      <w:start w:val="1"/>
      <w:numFmt w:val="bullet"/>
      <w:lvlText w:val="-"/>
      <w:lvlJc w:val="left"/>
      <w:pPr>
        <w:ind w:left="720" w:hanging="360"/>
      </w:pPr>
      <w:rPr>
        <w:rFonts w:ascii="Times New Roman" w:eastAsia="Times New Roman" w:hAnsi="Times New Roman" w:cs="Times New Roman" w:hint="default"/>
        <w:b/>
        <w:i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ED05421"/>
    <w:multiLevelType w:val="hybridMultilevel"/>
    <w:tmpl w:val="82BC036E"/>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53A41434"/>
    <w:multiLevelType w:val="hybridMultilevel"/>
    <w:tmpl w:val="D4069CA2"/>
    <w:lvl w:ilvl="0" w:tplc="AB6E2D68">
      <w:start w:val="1"/>
      <w:numFmt w:val="bullet"/>
      <w:lvlText w:val=""/>
      <w:lvlJc w:val="left"/>
      <w:pPr>
        <w:tabs>
          <w:tab w:val="num" w:pos="7650"/>
        </w:tabs>
        <w:ind w:left="7650" w:hanging="360"/>
      </w:pPr>
      <w:rPr>
        <w:rFonts w:ascii="Wingdings" w:hAnsi="Wingdings" w:hint="default"/>
        <w:color w:val="auto"/>
        <w:sz w:val="24"/>
        <w:szCs w:val="24"/>
      </w:rPr>
    </w:lvl>
    <w:lvl w:ilvl="1" w:tplc="7DDCFFB6">
      <w:start w:val="1"/>
      <w:numFmt w:val="bullet"/>
      <w:lvlText w:val=""/>
      <w:lvlJc w:val="left"/>
      <w:pPr>
        <w:tabs>
          <w:tab w:val="num" w:pos="1440"/>
        </w:tabs>
        <w:ind w:left="1440"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92F24"/>
    <w:multiLevelType w:val="hybridMultilevel"/>
    <w:tmpl w:val="C3E23384"/>
    <w:lvl w:ilvl="0" w:tplc="0402000D">
      <w:start w:val="1"/>
      <w:numFmt w:val="bullet"/>
      <w:lvlText w:val=""/>
      <w:lvlJc w:val="left"/>
      <w:pPr>
        <w:ind w:left="2250" w:hanging="360"/>
      </w:pPr>
      <w:rPr>
        <w:rFonts w:ascii="Wingdings" w:hAnsi="Wingdings" w:hint="default"/>
      </w:rPr>
    </w:lvl>
    <w:lvl w:ilvl="1" w:tplc="04020003" w:tentative="1">
      <w:start w:val="1"/>
      <w:numFmt w:val="bullet"/>
      <w:lvlText w:val="o"/>
      <w:lvlJc w:val="left"/>
      <w:pPr>
        <w:ind w:left="2040" w:hanging="360"/>
      </w:pPr>
      <w:rPr>
        <w:rFonts w:ascii="Courier New" w:hAnsi="Courier New" w:cs="Courier New" w:hint="default"/>
      </w:rPr>
    </w:lvl>
    <w:lvl w:ilvl="2" w:tplc="04020005" w:tentative="1">
      <w:start w:val="1"/>
      <w:numFmt w:val="bullet"/>
      <w:lvlText w:val=""/>
      <w:lvlJc w:val="left"/>
      <w:pPr>
        <w:ind w:left="2760" w:hanging="360"/>
      </w:pPr>
      <w:rPr>
        <w:rFonts w:ascii="Wingdings" w:hAnsi="Wingdings" w:hint="default"/>
      </w:rPr>
    </w:lvl>
    <w:lvl w:ilvl="3" w:tplc="04020001" w:tentative="1">
      <w:start w:val="1"/>
      <w:numFmt w:val="bullet"/>
      <w:lvlText w:val=""/>
      <w:lvlJc w:val="left"/>
      <w:pPr>
        <w:ind w:left="3480" w:hanging="360"/>
      </w:pPr>
      <w:rPr>
        <w:rFonts w:ascii="Symbol" w:hAnsi="Symbol" w:hint="default"/>
      </w:rPr>
    </w:lvl>
    <w:lvl w:ilvl="4" w:tplc="04020003" w:tentative="1">
      <w:start w:val="1"/>
      <w:numFmt w:val="bullet"/>
      <w:lvlText w:val="o"/>
      <w:lvlJc w:val="left"/>
      <w:pPr>
        <w:ind w:left="4200" w:hanging="360"/>
      </w:pPr>
      <w:rPr>
        <w:rFonts w:ascii="Courier New" w:hAnsi="Courier New" w:cs="Courier New" w:hint="default"/>
      </w:rPr>
    </w:lvl>
    <w:lvl w:ilvl="5" w:tplc="04020005" w:tentative="1">
      <w:start w:val="1"/>
      <w:numFmt w:val="bullet"/>
      <w:lvlText w:val=""/>
      <w:lvlJc w:val="left"/>
      <w:pPr>
        <w:ind w:left="4920" w:hanging="360"/>
      </w:pPr>
      <w:rPr>
        <w:rFonts w:ascii="Wingdings" w:hAnsi="Wingdings" w:hint="default"/>
      </w:rPr>
    </w:lvl>
    <w:lvl w:ilvl="6" w:tplc="04020001" w:tentative="1">
      <w:start w:val="1"/>
      <w:numFmt w:val="bullet"/>
      <w:lvlText w:val=""/>
      <w:lvlJc w:val="left"/>
      <w:pPr>
        <w:ind w:left="5640" w:hanging="360"/>
      </w:pPr>
      <w:rPr>
        <w:rFonts w:ascii="Symbol" w:hAnsi="Symbol" w:hint="default"/>
      </w:rPr>
    </w:lvl>
    <w:lvl w:ilvl="7" w:tplc="04020003" w:tentative="1">
      <w:start w:val="1"/>
      <w:numFmt w:val="bullet"/>
      <w:lvlText w:val="o"/>
      <w:lvlJc w:val="left"/>
      <w:pPr>
        <w:ind w:left="6360" w:hanging="360"/>
      </w:pPr>
      <w:rPr>
        <w:rFonts w:ascii="Courier New" w:hAnsi="Courier New" w:cs="Courier New" w:hint="default"/>
      </w:rPr>
    </w:lvl>
    <w:lvl w:ilvl="8" w:tplc="04020005" w:tentative="1">
      <w:start w:val="1"/>
      <w:numFmt w:val="bullet"/>
      <w:lvlText w:val=""/>
      <w:lvlJc w:val="left"/>
      <w:pPr>
        <w:ind w:left="7080" w:hanging="360"/>
      </w:pPr>
      <w:rPr>
        <w:rFonts w:ascii="Wingdings" w:hAnsi="Wingdings" w:hint="default"/>
      </w:rPr>
    </w:lvl>
  </w:abstractNum>
  <w:abstractNum w:abstractNumId="24" w15:restartNumberingAfterBreak="0">
    <w:nsid w:val="582840DF"/>
    <w:multiLevelType w:val="hybridMultilevel"/>
    <w:tmpl w:val="E5E2C32C"/>
    <w:lvl w:ilvl="0" w:tplc="B6B24238">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582E15B7"/>
    <w:multiLevelType w:val="hybridMultilevel"/>
    <w:tmpl w:val="B862F89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6" w15:restartNumberingAfterBreak="0">
    <w:nsid w:val="5B68790D"/>
    <w:multiLevelType w:val="hybridMultilevel"/>
    <w:tmpl w:val="93D84A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37F5E06"/>
    <w:multiLevelType w:val="hybridMultilevel"/>
    <w:tmpl w:val="18803A0C"/>
    <w:lvl w:ilvl="0" w:tplc="F934C166">
      <w:numFmt w:val="bullet"/>
      <w:lvlText w:val="-"/>
      <w:lvlJc w:val="left"/>
      <w:pPr>
        <w:ind w:left="898" w:hanging="360"/>
      </w:pPr>
      <w:rPr>
        <w:rFonts w:ascii="Times New Roman" w:eastAsia="Times New Roman" w:hAnsi="Times New Roman" w:cs="Times New Roman" w:hint="default"/>
      </w:rPr>
    </w:lvl>
    <w:lvl w:ilvl="1" w:tplc="04020003" w:tentative="1">
      <w:start w:val="1"/>
      <w:numFmt w:val="bullet"/>
      <w:lvlText w:val="o"/>
      <w:lvlJc w:val="left"/>
      <w:pPr>
        <w:ind w:left="1618" w:hanging="360"/>
      </w:pPr>
      <w:rPr>
        <w:rFonts w:ascii="Courier New" w:hAnsi="Courier New" w:cs="Courier New" w:hint="default"/>
      </w:rPr>
    </w:lvl>
    <w:lvl w:ilvl="2" w:tplc="04020005" w:tentative="1">
      <w:start w:val="1"/>
      <w:numFmt w:val="bullet"/>
      <w:lvlText w:val=""/>
      <w:lvlJc w:val="left"/>
      <w:pPr>
        <w:ind w:left="2338" w:hanging="360"/>
      </w:pPr>
      <w:rPr>
        <w:rFonts w:ascii="Wingdings" w:hAnsi="Wingdings" w:hint="default"/>
      </w:rPr>
    </w:lvl>
    <w:lvl w:ilvl="3" w:tplc="04020001" w:tentative="1">
      <w:start w:val="1"/>
      <w:numFmt w:val="bullet"/>
      <w:lvlText w:val=""/>
      <w:lvlJc w:val="left"/>
      <w:pPr>
        <w:ind w:left="3058" w:hanging="360"/>
      </w:pPr>
      <w:rPr>
        <w:rFonts w:ascii="Symbol" w:hAnsi="Symbol" w:hint="default"/>
      </w:rPr>
    </w:lvl>
    <w:lvl w:ilvl="4" w:tplc="04020003" w:tentative="1">
      <w:start w:val="1"/>
      <w:numFmt w:val="bullet"/>
      <w:lvlText w:val="o"/>
      <w:lvlJc w:val="left"/>
      <w:pPr>
        <w:ind w:left="3778" w:hanging="360"/>
      </w:pPr>
      <w:rPr>
        <w:rFonts w:ascii="Courier New" w:hAnsi="Courier New" w:cs="Courier New" w:hint="default"/>
      </w:rPr>
    </w:lvl>
    <w:lvl w:ilvl="5" w:tplc="04020005" w:tentative="1">
      <w:start w:val="1"/>
      <w:numFmt w:val="bullet"/>
      <w:lvlText w:val=""/>
      <w:lvlJc w:val="left"/>
      <w:pPr>
        <w:ind w:left="4498" w:hanging="360"/>
      </w:pPr>
      <w:rPr>
        <w:rFonts w:ascii="Wingdings" w:hAnsi="Wingdings" w:hint="default"/>
      </w:rPr>
    </w:lvl>
    <w:lvl w:ilvl="6" w:tplc="04020001" w:tentative="1">
      <w:start w:val="1"/>
      <w:numFmt w:val="bullet"/>
      <w:lvlText w:val=""/>
      <w:lvlJc w:val="left"/>
      <w:pPr>
        <w:ind w:left="5218" w:hanging="360"/>
      </w:pPr>
      <w:rPr>
        <w:rFonts w:ascii="Symbol" w:hAnsi="Symbol" w:hint="default"/>
      </w:rPr>
    </w:lvl>
    <w:lvl w:ilvl="7" w:tplc="04020003" w:tentative="1">
      <w:start w:val="1"/>
      <w:numFmt w:val="bullet"/>
      <w:lvlText w:val="o"/>
      <w:lvlJc w:val="left"/>
      <w:pPr>
        <w:ind w:left="5938" w:hanging="360"/>
      </w:pPr>
      <w:rPr>
        <w:rFonts w:ascii="Courier New" w:hAnsi="Courier New" w:cs="Courier New" w:hint="default"/>
      </w:rPr>
    </w:lvl>
    <w:lvl w:ilvl="8" w:tplc="04020005" w:tentative="1">
      <w:start w:val="1"/>
      <w:numFmt w:val="bullet"/>
      <w:lvlText w:val=""/>
      <w:lvlJc w:val="left"/>
      <w:pPr>
        <w:ind w:left="6658" w:hanging="360"/>
      </w:pPr>
      <w:rPr>
        <w:rFonts w:ascii="Wingdings" w:hAnsi="Wingdings" w:hint="default"/>
      </w:rPr>
    </w:lvl>
  </w:abstractNum>
  <w:abstractNum w:abstractNumId="28" w15:restartNumberingAfterBreak="0">
    <w:nsid w:val="64170BFC"/>
    <w:multiLevelType w:val="hybridMultilevel"/>
    <w:tmpl w:val="C726B8C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43A5E75"/>
    <w:multiLevelType w:val="hybridMultilevel"/>
    <w:tmpl w:val="EDD48416"/>
    <w:lvl w:ilvl="0" w:tplc="D1B81C84">
      <w:start w:val="1"/>
      <w:numFmt w:val="bullet"/>
      <w:lvlText w:val=""/>
      <w:lvlJc w:val="left"/>
      <w:pPr>
        <w:tabs>
          <w:tab w:val="num" w:pos="1101"/>
        </w:tabs>
        <w:ind w:left="1101" w:hanging="360"/>
      </w:pPr>
      <w:rPr>
        <w:rFonts w:ascii="Symbol" w:hAnsi="Symbol" w:hint="default"/>
        <w:color w:val="auto"/>
      </w:rPr>
    </w:lvl>
    <w:lvl w:ilvl="1" w:tplc="04020003">
      <w:start w:val="1"/>
      <w:numFmt w:val="bullet"/>
      <w:lvlText w:val="o"/>
      <w:lvlJc w:val="left"/>
      <w:pPr>
        <w:tabs>
          <w:tab w:val="num" w:pos="1821"/>
        </w:tabs>
        <w:ind w:left="1821" w:hanging="360"/>
      </w:pPr>
      <w:rPr>
        <w:rFonts w:ascii="Courier New" w:hAnsi="Courier New" w:cs="Courier New" w:hint="default"/>
      </w:rPr>
    </w:lvl>
    <w:lvl w:ilvl="2" w:tplc="04020005" w:tentative="1">
      <w:start w:val="1"/>
      <w:numFmt w:val="bullet"/>
      <w:lvlText w:val=""/>
      <w:lvlJc w:val="left"/>
      <w:pPr>
        <w:tabs>
          <w:tab w:val="num" w:pos="2541"/>
        </w:tabs>
        <w:ind w:left="2541" w:hanging="360"/>
      </w:pPr>
      <w:rPr>
        <w:rFonts w:ascii="Wingdings" w:hAnsi="Wingdings" w:hint="default"/>
      </w:rPr>
    </w:lvl>
    <w:lvl w:ilvl="3" w:tplc="04020001" w:tentative="1">
      <w:start w:val="1"/>
      <w:numFmt w:val="bullet"/>
      <w:lvlText w:val=""/>
      <w:lvlJc w:val="left"/>
      <w:pPr>
        <w:tabs>
          <w:tab w:val="num" w:pos="3261"/>
        </w:tabs>
        <w:ind w:left="3261" w:hanging="360"/>
      </w:pPr>
      <w:rPr>
        <w:rFonts w:ascii="Symbol" w:hAnsi="Symbol" w:hint="default"/>
      </w:rPr>
    </w:lvl>
    <w:lvl w:ilvl="4" w:tplc="04020003" w:tentative="1">
      <w:start w:val="1"/>
      <w:numFmt w:val="bullet"/>
      <w:lvlText w:val="o"/>
      <w:lvlJc w:val="left"/>
      <w:pPr>
        <w:tabs>
          <w:tab w:val="num" w:pos="3981"/>
        </w:tabs>
        <w:ind w:left="3981" w:hanging="360"/>
      </w:pPr>
      <w:rPr>
        <w:rFonts w:ascii="Courier New" w:hAnsi="Courier New" w:cs="Courier New" w:hint="default"/>
      </w:rPr>
    </w:lvl>
    <w:lvl w:ilvl="5" w:tplc="04020005" w:tentative="1">
      <w:start w:val="1"/>
      <w:numFmt w:val="bullet"/>
      <w:lvlText w:val=""/>
      <w:lvlJc w:val="left"/>
      <w:pPr>
        <w:tabs>
          <w:tab w:val="num" w:pos="4701"/>
        </w:tabs>
        <w:ind w:left="4701" w:hanging="360"/>
      </w:pPr>
      <w:rPr>
        <w:rFonts w:ascii="Wingdings" w:hAnsi="Wingdings" w:hint="default"/>
      </w:rPr>
    </w:lvl>
    <w:lvl w:ilvl="6" w:tplc="04020001" w:tentative="1">
      <w:start w:val="1"/>
      <w:numFmt w:val="bullet"/>
      <w:lvlText w:val=""/>
      <w:lvlJc w:val="left"/>
      <w:pPr>
        <w:tabs>
          <w:tab w:val="num" w:pos="5421"/>
        </w:tabs>
        <w:ind w:left="5421" w:hanging="360"/>
      </w:pPr>
      <w:rPr>
        <w:rFonts w:ascii="Symbol" w:hAnsi="Symbol" w:hint="default"/>
      </w:rPr>
    </w:lvl>
    <w:lvl w:ilvl="7" w:tplc="04020003" w:tentative="1">
      <w:start w:val="1"/>
      <w:numFmt w:val="bullet"/>
      <w:lvlText w:val="o"/>
      <w:lvlJc w:val="left"/>
      <w:pPr>
        <w:tabs>
          <w:tab w:val="num" w:pos="6141"/>
        </w:tabs>
        <w:ind w:left="6141" w:hanging="360"/>
      </w:pPr>
      <w:rPr>
        <w:rFonts w:ascii="Courier New" w:hAnsi="Courier New" w:cs="Courier New" w:hint="default"/>
      </w:rPr>
    </w:lvl>
    <w:lvl w:ilvl="8" w:tplc="04020005" w:tentative="1">
      <w:start w:val="1"/>
      <w:numFmt w:val="bullet"/>
      <w:lvlText w:val=""/>
      <w:lvlJc w:val="left"/>
      <w:pPr>
        <w:tabs>
          <w:tab w:val="num" w:pos="6861"/>
        </w:tabs>
        <w:ind w:left="6861" w:hanging="360"/>
      </w:pPr>
      <w:rPr>
        <w:rFonts w:ascii="Wingdings" w:hAnsi="Wingdings" w:hint="default"/>
      </w:rPr>
    </w:lvl>
  </w:abstractNum>
  <w:abstractNum w:abstractNumId="30" w15:restartNumberingAfterBreak="0">
    <w:nsid w:val="65037E1C"/>
    <w:multiLevelType w:val="hybridMultilevel"/>
    <w:tmpl w:val="417A6ED8"/>
    <w:lvl w:ilvl="0" w:tplc="0402000D">
      <w:start w:val="1"/>
      <w:numFmt w:val="bullet"/>
      <w:lvlText w:val=""/>
      <w:lvlJc w:val="left"/>
      <w:pPr>
        <w:ind w:left="1494" w:hanging="360"/>
      </w:pPr>
      <w:rPr>
        <w:rFonts w:ascii="Wingdings" w:hAnsi="Wingdings"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1" w15:restartNumberingAfterBreak="0">
    <w:nsid w:val="65CD370F"/>
    <w:multiLevelType w:val="hybridMultilevel"/>
    <w:tmpl w:val="F0D23F02"/>
    <w:lvl w:ilvl="0" w:tplc="708AF0F2">
      <w:start w:val="1"/>
      <w:numFmt w:val="bullet"/>
      <w:lvlText w:val=""/>
      <w:lvlJc w:val="left"/>
      <w:pPr>
        <w:tabs>
          <w:tab w:val="num" w:pos="700"/>
        </w:tabs>
        <w:ind w:left="700" w:hanging="360"/>
      </w:pPr>
      <w:rPr>
        <w:rFonts w:ascii="Symbol" w:hAnsi="Symbo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BBC"/>
    <w:multiLevelType w:val="hybridMultilevel"/>
    <w:tmpl w:val="A3186A2C"/>
    <w:lvl w:ilvl="0" w:tplc="3B28C328">
      <w:start w:val="1"/>
      <w:numFmt w:val="bullet"/>
      <w:lvlText w:val="♦"/>
      <w:lvlJc w:val="left"/>
      <w:pPr>
        <w:tabs>
          <w:tab w:val="num" w:pos="2880"/>
        </w:tabs>
        <w:ind w:left="2880" w:hanging="360"/>
      </w:pPr>
      <w:rPr>
        <w:rFonts w:ascii="Courier New" w:hAnsi="Courier New" w:hint="default"/>
        <w:sz w:val="24"/>
        <w:szCs w:val="24"/>
      </w:rPr>
    </w:lvl>
    <w:lvl w:ilvl="1" w:tplc="8D0EC7F8">
      <w:start w:val="1"/>
      <w:numFmt w:val="bullet"/>
      <w:lvlText w:val=""/>
      <w:lvlJc w:val="left"/>
      <w:pPr>
        <w:tabs>
          <w:tab w:val="num" w:pos="2160"/>
        </w:tabs>
        <w:ind w:left="2160" w:hanging="360"/>
      </w:pPr>
      <w:rPr>
        <w:rFonts w:ascii="Wingdings" w:hAnsi="Wingdings" w:hint="default"/>
        <w:color w:val="auto"/>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82E6D57"/>
    <w:multiLevelType w:val="hybridMultilevel"/>
    <w:tmpl w:val="F2B004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8B65AC9"/>
    <w:multiLevelType w:val="hybridMultilevel"/>
    <w:tmpl w:val="313EA526"/>
    <w:lvl w:ilvl="0" w:tplc="257A31AA">
      <w:start w:val="1"/>
      <w:numFmt w:val="bullet"/>
      <w:lvlText w:val=""/>
      <w:lvlJc w:val="left"/>
      <w:pPr>
        <w:tabs>
          <w:tab w:val="num" w:pos="540"/>
        </w:tabs>
        <w:ind w:left="30" w:firstLine="1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04032"/>
    <w:multiLevelType w:val="hybridMultilevel"/>
    <w:tmpl w:val="5A7CE09A"/>
    <w:lvl w:ilvl="0" w:tplc="3B28C328">
      <w:start w:val="1"/>
      <w:numFmt w:val="bullet"/>
      <w:lvlText w:val="♦"/>
      <w:lvlJc w:val="left"/>
      <w:pPr>
        <w:tabs>
          <w:tab w:val="num" w:pos="2880"/>
        </w:tabs>
        <w:ind w:left="2880" w:hanging="360"/>
      </w:pPr>
      <w:rPr>
        <w:rFonts w:ascii="Courier New" w:hAnsi="Courier New" w:hint="default"/>
        <w:sz w:val="24"/>
        <w:szCs w:val="24"/>
      </w:rPr>
    </w:lvl>
    <w:lvl w:ilvl="1" w:tplc="7DDCFFB6">
      <w:start w:val="1"/>
      <w:numFmt w:val="bullet"/>
      <w:lvlText w:val=""/>
      <w:lvlJc w:val="left"/>
      <w:pPr>
        <w:tabs>
          <w:tab w:val="num" w:pos="2160"/>
        </w:tabs>
        <w:ind w:left="2160" w:hanging="360"/>
      </w:pPr>
      <w:rPr>
        <w:rFonts w:ascii="Wingdings" w:hAnsi="Wingdings" w:hint="default"/>
        <w:sz w:val="24"/>
        <w:szCs w:val="24"/>
      </w:rPr>
    </w:lvl>
    <w:lvl w:ilvl="2" w:tplc="F3BE7F08">
      <w:start w:val="1"/>
      <w:numFmt w:val="bullet"/>
      <w:lvlText w:val=""/>
      <w:lvlJc w:val="left"/>
      <w:pPr>
        <w:tabs>
          <w:tab w:val="num" w:pos="2880"/>
        </w:tabs>
        <w:ind w:left="2880" w:hanging="360"/>
      </w:pPr>
      <w:rPr>
        <w:rFonts w:ascii="Wingdings" w:hAnsi="Wingdings" w:hint="default"/>
        <w:color w:val="000000"/>
        <w:sz w:val="24"/>
        <w:szCs w:val="24"/>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D2B5869"/>
    <w:multiLevelType w:val="multilevel"/>
    <w:tmpl w:val="4418BF74"/>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440" w:hanging="72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1800" w:hanging="108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160" w:hanging="1440"/>
      </w:pPr>
      <w:rPr>
        <w:rFonts w:hint="default"/>
        <w:b/>
        <w:i/>
      </w:rPr>
    </w:lvl>
    <w:lvl w:ilvl="8">
      <w:start w:val="1"/>
      <w:numFmt w:val="decimal"/>
      <w:isLgl/>
      <w:lvlText w:val="%1.%2.%3.%4.%5.%6.%7.%8.%9"/>
      <w:lvlJc w:val="left"/>
      <w:pPr>
        <w:ind w:left="2520" w:hanging="1800"/>
      </w:pPr>
      <w:rPr>
        <w:rFonts w:hint="default"/>
        <w:b/>
        <w:i/>
      </w:rPr>
    </w:lvl>
  </w:abstractNum>
  <w:abstractNum w:abstractNumId="37" w15:restartNumberingAfterBreak="0">
    <w:nsid w:val="6E544B1C"/>
    <w:multiLevelType w:val="hybridMultilevel"/>
    <w:tmpl w:val="F19A58DE"/>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8" w15:restartNumberingAfterBreak="0">
    <w:nsid w:val="6F78209C"/>
    <w:multiLevelType w:val="hybridMultilevel"/>
    <w:tmpl w:val="5624217C"/>
    <w:lvl w:ilvl="0" w:tplc="CA968970">
      <w:start w:val="43"/>
      <w:numFmt w:val="bullet"/>
      <w:lvlText w:val="-"/>
      <w:lvlJc w:val="left"/>
      <w:pPr>
        <w:ind w:left="1429" w:hanging="360"/>
      </w:pPr>
      <w:rPr>
        <w:rFonts w:ascii="Times New Roman" w:eastAsia="Times New Roman" w:hAnsi="Times New Roman" w:cs="Times New Roman"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39" w15:restartNumberingAfterBreak="0">
    <w:nsid w:val="71812127"/>
    <w:multiLevelType w:val="multilevel"/>
    <w:tmpl w:val="FDE86A66"/>
    <w:lvl w:ilvl="0">
      <w:start w:val="1"/>
      <w:numFmt w:val="decimal"/>
      <w:lvlText w:val="%1."/>
      <w:lvlJc w:val="left"/>
      <w:pPr>
        <w:tabs>
          <w:tab w:val="num" w:pos="532"/>
        </w:tabs>
        <w:ind w:left="532" w:hanging="39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0" w15:restartNumberingAfterBreak="0">
    <w:nsid w:val="74896D38"/>
    <w:multiLevelType w:val="hybridMultilevel"/>
    <w:tmpl w:val="ADA8828A"/>
    <w:lvl w:ilvl="0" w:tplc="0402000D">
      <w:start w:val="1"/>
      <w:numFmt w:val="bullet"/>
      <w:lvlText w:val=""/>
      <w:lvlJc w:val="left"/>
      <w:pPr>
        <w:tabs>
          <w:tab w:val="num" w:pos="1500"/>
        </w:tabs>
        <w:ind w:left="1500" w:hanging="360"/>
      </w:pPr>
      <w:rPr>
        <w:rFonts w:ascii="Wingdings" w:hAnsi="Wingdings" w:hint="default"/>
      </w:rPr>
    </w:lvl>
    <w:lvl w:ilvl="1" w:tplc="04020003" w:tentative="1">
      <w:start w:val="1"/>
      <w:numFmt w:val="bullet"/>
      <w:lvlText w:val="o"/>
      <w:lvlJc w:val="left"/>
      <w:pPr>
        <w:tabs>
          <w:tab w:val="num" w:pos="2220"/>
        </w:tabs>
        <w:ind w:left="2220" w:hanging="360"/>
      </w:pPr>
      <w:rPr>
        <w:rFonts w:ascii="Courier New" w:hAnsi="Courier New" w:cs="Courier New" w:hint="default"/>
      </w:rPr>
    </w:lvl>
    <w:lvl w:ilvl="2" w:tplc="04020005" w:tentative="1">
      <w:start w:val="1"/>
      <w:numFmt w:val="bullet"/>
      <w:lvlText w:val=""/>
      <w:lvlJc w:val="left"/>
      <w:pPr>
        <w:tabs>
          <w:tab w:val="num" w:pos="2940"/>
        </w:tabs>
        <w:ind w:left="2940" w:hanging="360"/>
      </w:pPr>
      <w:rPr>
        <w:rFonts w:ascii="Wingdings" w:hAnsi="Wingdings" w:hint="default"/>
      </w:rPr>
    </w:lvl>
    <w:lvl w:ilvl="3" w:tplc="04020001" w:tentative="1">
      <w:start w:val="1"/>
      <w:numFmt w:val="bullet"/>
      <w:lvlText w:val=""/>
      <w:lvlJc w:val="left"/>
      <w:pPr>
        <w:tabs>
          <w:tab w:val="num" w:pos="3660"/>
        </w:tabs>
        <w:ind w:left="3660" w:hanging="360"/>
      </w:pPr>
      <w:rPr>
        <w:rFonts w:ascii="Symbol" w:hAnsi="Symbol" w:hint="default"/>
      </w:rPr>
    </w:lvl>
    <w:lvl w:ilvl="4" w:tplc="04020003" w:tentative="1">
      <w:start w:val="1"/>
      <w:numFmt w:val="bullet"/>
      <w:lvlText w:val="o"/>
      <w:lvlJc w:val="left"/>
      <w:pPr>
        <w:tabs>
          <w:tab w:val="num" w:pos="4380"/>
        </w:tabs>
        <w:ind w:left="4380" w:hanging="360"/>
      </w:pPr>
      <w:rPr>
        <w:rFonts w:ascii="Courier New" w:hAnsi="Courier New" w:cs="Courier New" w:hint="default"/>
      </w:rPr>
    </w:lvl>
    <w:lvl w:ilvl="5" w:tplc="04020005" w:tentative="1">
      <w:start w:val="1"/>
      <w:numFmt w:val="bullet"/>
      <w:lvlText w:val=""/>
      <w:lvlJc w:val="left"/>
      <w:pPr>
        <w:tabs>
          <w:tab w:val="num" w:pos="5100"/>
        </w:tabs>
        <w:ind w:left="5100" w:hanging="360"/>
      </w:pPr>
      <w:rPr>
        <w:rFonts w:ascii="Wingdings" w:hAnsi="Wingdings" w:hint="default"/>
      </w:rPr>
    </w:lvl>
    <w:lvl w:ilvl="6" w:tplc="04020001" w:tentative="1">
      <w:start w:val="1"/>
      <w:numFmt w:val="bullet"/>
      <w:lvlText w:val=""/>
      <w:lvlJc w:val="left"/>
      <w:pPr>
        <w:tabs>
          <w:tab w:val="num" w:pos="5820"/>
        </w:tabs>
        <w:ind w:left="5820" w:hanging="360"/>
      </w:pPr>
      <w:rPr>
        <w:rFonts w:ascii="Symbol" w:hAnsi="Symbol" w:hint="default"/>
      </w:rPr>
    </w:lvl>
    <w:lvl w:ilvl="7" w:tplc="04020003" w:tentative="1">
      <w:start w:val="1"/>
      <w:numFmt w:val="bullet"/>
      <w:lvlText w:val="o"/>
      <w:lvlJc w:val="left"/>
      <w:pPr>
        <w:tabs>
          <w:tab w:val="num" w:pos="6540"/>
        </w:tabs>
        <w:ind w:left="6540" w:hanging="360"/>
      </w:pPr>
      <w:rPr>
        <w:rFonts w:ascii="Courier New" w:hAnsi="Courier New" w:cs="Courier New" w:hint="default"/>
      </w:rPr>
    </w:lvl>
    <w:lvl w:ilvl="8" w:tplc="04020005" w:tentative="1">
      <w:start w:val="1"/>
      <w:numFmt w:val="bullet"/>
      <w:lvlText w:val=""/>
      <w:lvlJc w:val="left"/>
      <w:pPr>
        <w:tabs>
          <w:tab w:val="num" w:pos="7260"/>
        </w:tabs>
        <w:ind w:left="7260" w:hanging="360"/>
      </w:pPr>
      <w:rPr>
        <w:rFonts w:ascii="Wingdings" w:hAnsi="Wingdings" w:hint="default"/>
      </w:rPr>
    </w:lvl>
  </w:abstractNum>
  <w:abstractNum w:abstractNumId="41" w15:restartNumberingAfterBreak="0">
    <w:nsid w:val="76F030F1"/>
    <w:multiLevelType w:val="hybridMultilevel"/>
    <w:tmpl w:val="7FFC6D2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81E64B9"/>
    <w:multiLevelType w:val="hybridMultilevel"/>
    <w:tmpl w:val="C72EA580"/>
    <w:lvl w:ilvl="0" w:tplc="04020001">
      <w:numFmt w:val="bullet"/>
      <w:lvlText w:val=""/>
      <w:lvlJc w:val="left"/>
      <w:pPr>
        <w:tabs>
          <w:tab w:val="num" w:pos="720"/>
        </w:tabs>
        <w:ind w:left="720" w:hanging="360"/>
      </w:pPr>
      <w:rPr>
        <w:rFonts w:ascii="Symbol" w:eastAsia="Times New Roman" w:hAnsi="Symbol"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16cid:durableId="1856771097">
    <w:abstractNumId w:val="4"/>
  </w:num>
  <w:num w:numId="2" w16cid:durableId="251597142">
    <w:abstractNumId w:val="16"/>
  </w:num>
  <w:num w:numId="3" w16cid:durableId="1869367903">
    <w:abstractNumId w:val="34"/>
  </w:num>
  <w:num w:numId="4" w16cid:durableId="68311951">
    <w:abstractNumId w:val="11"/>
  </w:num>
  <w:num w:numId="5" w16cid:durableId="1309361233">
    <w:abstractNumId w:val="22"/>
  </w:num>
  <w:num w:numId="6" w16cid:durableId="2074036145">
    <w:abstractNumId w:val="31"/>
  </w:num>
  <w:num w:numId="7" w16cid:durableId="1842772871">
    <w:abstractNumId w:val="19"/>
  </w:num>
  <w:num w:numId="8" w16cid:durableId="1971205594">
    <w:abstractNumId w:val="39"/>
  </w:num>
  <w:num w:numId="9" w16cid:durableId="464392098">
    <w:abstractNumId w:val="32"/>
  </w:num>
  <w:num w:numId="10" w16cid:durableId="1172060792">
    <w:abstractNumId w:val="29"/>
  </w:num>
  <w:num w:numId="11" w16cid:durableId="639069584">
    <w:abstractNumId w:val="35"/>
  </w:num>
  <w:num w:numId="12" w16cid:durableId="1038974063">
    <w:abstractNumId w:val="17"/>
  </w:num>
  <w:num w:numId="13" w16cid:durableId="1354189077">
    <w:abstractNumId w:val="7"/>
  </w:num>
  <w:num w:numId="14" w16cid:durableId="1093434320">
    <w:abstractNumId w:val="9"/>
  </w:num>
  <w:num w:numId="15" w16cid:durableId="557981264">
    <w:abstractNumId w:val="18"/>
  </w:num>
  <w:num w:numId="16" w16cid:durableId="1726218301">
    <w:abstractNumId w:val="23"/>
  </w:num>
  <w:num w:numId="17" w16cid:durableId="1766607380">
    <w:abstractNumId w:val="37"/>
  </w:num>
  <w:num w:numId="18" w16cid:durableId="1379159469">
    <w:abstractNumId w:val="25"/>
  </w:num>
  <w:num w:numId="19" w16cid:durableId="1573462456">
    <w:abstractNumId w:val="1"/>
  </w:num>
  <w:num w:numId="20" w16cid:durableId="1869945583">
    <w:abstractNumId w:val="6"/>
  </w:num>
  <w:num w:numId="21" w16cid:durableId="2103213911">
    <w:abstractNumId w:val="27"/>
  </w:num>
  <w:num w:numId="22" w16cid:durableId="2027174330">
    <w:abstractNumId w:val="15"/>
  </w:num>
  <w:num w:numId="23" w16cid:durableId="1977829480">
    <w:abstractNumId w:val="38"/>
  </w:num>
  <w:num w:numId="24" w16cid:durableId="62024124">
    <w:abstractNumId w:val="10"/>
  </w:num>
  <w:num w:numId="25" w16cid:durableId="986855488">
    <w:abstractNumId w:val="28"/>
  </w:num>
  <w:num w:numId="26" w16cid:durableId="833643887">
    <w:abstractNumId w:val="3"/>
  </w:num>
  <w:num w:numId="27" w16cid:durableId="1882159925">
    <w:abstractNumId w:val="21"/>
  </w:num>
  <w:num w:numId="28" w16cid:durableId="1427310217">
    <w:abstractNumId w:val="13"/>
  </w:num>
  <w:num w:numId="29" w16cid:durableId="257301320">
    <w:abstractNumId w:val="26"/>
  </w:num>
  <w:num w:numId="30" w16cid:durableId="79713872">
    <w:abstractNumId w:val="41"/>
  </w:num>
  <w:num w:numId="31" w16cid:durableId="171720312">
    <w:abstractNumId w:val="33"/>
  </w:num>
  <w:num w:numId="32" w16cid:durableId="1930969782">
    <w:abstractNumId w:val="2"/>
  </w:num>
  <w:num w:numId="33" w16cid:durableId="985864383">
    <w:abstractNumId w:val="42"/>
  </w:num>
  <w:num w:numId="34" w16cid:durableId="1632665013">
    <w:abstractNumId w:val="5"/>
  </w:num>
  <w:num w:numId="35" w16cid:durableId="207648858">
    <w:abstractNumId w:val="24"/>
  </w:num>
  <w:num w:numId="36" w16cid:durableId="573274161">
    <w:abstractNumId w:val="40"/>
  </w:num>
  <w:num w:numId="37" w16cid:durableId="779448626">
    <w:abstractNumId w:val="20"/>
  </w:num>
  <w:num w:numId="38" w16cid:durableId="290937085">
    <w:abstractNumId w:val="12"/>
  </w:num>
  <w:num w:numId="39" w16cid:durableId="188296599">
    <w:abstractNumId w:val="8"/>
  </w:num>
  <w:num w:numId="40" w16cid:durableId="761685388">
    <w:abstractNumId w:val="30"/>
  </w:num>
  <w:num w:numId="41" w16cid:durableId="1878815432">
    <w:abstractNumId w:val="0"/>
  </w:num>
  <w:num w:numId="42" w16cid:durableId="742222380">
    <w:abstractNumId w:val="14"/>
  </w:num>
  <w:num w:numId="43" w16cid:durableId="117206058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15"/>
    <w:rsid w:val="00000EF0"/>
    <w:rsid w:val="00000FE1"/>
    <w:rsid w:val="000010D2"/>
    <w:rsid w:val="00001580"/>
    <w:rsid w:val="000016BE"/>
    <w:rsid w:val="00001ABF"/>
    <w:rsid w:val="00001CF0"/>
    <w:rsid w:val="00002A93"/>
    <w:rsid w:val="00002BD7"/>
    <w:rsid w:val="00002D9C"/>
    <w:rsid w:val="00003489"/>
    <w:rsid w:val="00003B52"/>
    <w:rsid w:val="00004264"/>
    <w:rsid w:val="00004788"/>
    <w:rsid w:val="00005544"/>
    <w:rsid w:val="00005A85"/>
    <w:rsid w:val="000063FC"/>
    <w:rsid w:val="000065C6"/>
    <w:rsid w:val="0000691E"/>
    <w:rsid w:val="00006956"/>
    <w:rsid w:val="00006A56"/>
    <w:rsid w:val="00006EBC"/>
    <w:rsid w:val="00007F94"/>
    <w:rsid w:val="000111D3"/>
    <w:rsid w:val="00011383"/>
    <w:rsid w:val="000119C6"/>
    <w:rsid w:val="000122E0"/>
    <w:rsid w:val="00012431"/>
    <w:rsid w:val="00012533"/>
    <w:rsid w:val="000126AC"/>
    <w:rsid w:val="0001276F"/>
    <w:rsid w:val="00012AE6"/>
    <w:rsid w:val="00012C07"/>
    <w:rsid w:val="0001332F"/>
    <w:rsid w:val="00013357"/>
    <w:rsid w:val="0001356B"/>
    <w:rsid w:val="00013677"/>
    <w:rsid w:val="00013ADD"/>
    <w:rsid w:val="00013B93"/>
    <w:rsid w:val="00013C59"/>
    <w:rsid w:val="00014355"/>
    <w:rsid w:val="000146EA"/>
    <w:rsid w:val="0001499C"/>
    <w:rsid w:val="000158A2"/>
    <w:rsid w:val="00015C0F"/>
    <w:rsid w:val="00015D5B"/>
    <w:rsid w:val="000164C8"/>
    <w:rsid w:val="0001664B"/>
    <w:rsid w:val="00017412"/>
    <w:rsid w:val="000175C7"/>
    <w:rsid w:val="0001768F"/>
    <w:rsid w:val="000178CA"/>
    <w:rsid w:val="00017EA1"/>
    <w:rsid w:val="0002050E"/>
    <w:rsid w:val="000206AE"/>
    <w:rsid w:val="000215BD"/>
    <w:rsid w:val="00021A5F"/>
    <w:rsid w:val="000221B7"/>
    <w:rsid w:val="00022856"/>
    <w:rsid w:val="000229E1"/>
    <w:rsid w:val="00022CAC"/>
    <w:rsid w:val="00022D9E"/>
    <w:rsid w:val="00023244"/>
    <w:rsid w:val="0002351F"/>
    <w:rsid w:val="00023BF6"/>
    <w:rsid w:val="00023D31"/>
    <w:rsid w:val="00024065"/>
    <w:rsid w:val="0002444B"/>
    <w:rsid w:val="0002477E"/>
    <w:rsid w:val="0002478B"/>
    <w:rsid w:val="000249B9"/>
    <w:rsid w:val="000252F3"/>
    <w:rsid w:val="000256B4"/>
    <w:rsid w:val="00025953"/>
    <w:rsid w:val="000259F6"/>
    <w:rsid w:val="00025E07"/>
    <w:rsid w:val="00025F45"/>
    <w:rsid w:val="000262DF"/>
    <w:rsid w:val="00026903"/>
    <w:rsid w:val="0002693A"/>
    <w:rsid w:val="00026AD5"/>
    <w:rsid w:val="00027951"/>
    <w:rsid w:val="00027B74"/>
    <w:rsid w:val="00030353"/>
    <w:rsid w:val="00030658"/>
    <w:rsid w:val="000307D3"/>
    <w:rsid w:val="000311EA"/>
    <w:rsid w:val="00031377"/>
    <w:rsid w:val="00031593"/>
    <w:rsid w:val="00031710"/>
    <w:rsid w:val="000319CB"/>
    <w:rsid w:val="000320C8"/>
    <w:rsid w:val="00032966"/>
    <w:rsid w:val="00032B7F"/>
    <w:rsid w:val="00033525"/>
    <w:rsid w:val="00033590"/>
    <w:rsid w:val="00033ACB"/>
    <w:rsid w:val="000340ED"/>
    <w:rsid w:val="00034135"/>
    <w:rsid w:val="00034396"/>
    <w:rsid w:val="00034B8C"/>
    <w:rsid w:val="00034FE3"/>
    <w:rsid w:val="0003586B"/>
    <w:rsid w:val="000359FA"/>
    <w:rsid w:val="0003621F"/>
    <w:rsid w:val="000363A8"/>
    <w:rsid w:val="0003685F"/>
    <w:rsid w:val="000369D6"/>
    <w:rsid w:val="00036A1B"/>
    <w:rsid w:val="00037141"/>
    <w:rsid w:val="000377BC"/>
    <w:rsid w:val="000378DC"/>
    <w:rsid w:val="0003798B"/>
    <w:rsid w:val="000379BC"/>
    <w:rsid w:val="00037FDD"/>
    <w:rsid w:val="00040164"/>
    <w:rsid w:val="000406B2"/>
    <w:rsid w:val="0004080C"/>
    <w:rsid w:val="0004098D"/>
    <w:rsid w:val="00040C20"/>
    <w:rsid w:val="000411D9"/>
    <w:rsid w:val="00041338"/>
    <w:rsid w:val="00042634"/>
    <w:rsid w:val="00042853"/>
    <w:rsid w:val="00042C9E"/>
    <w:rsid w:val="00042E57"/>
    <w:rsid w:val="0004338F"/>
    <w:rsid w:val="000436DD"/>
    <w:rsid w:val="000439F5"/>
    <w:rsid w:val="00043A1B"/>
    <w:rsid w:val="00043AA0"/>
    <w:rsid w:val="00043AB2"/>
    <w:rsid w:val="00043E35"/>
    <w:rsid w:val="00043E3A"/>
    <w:rsid w:val="00044147"/>
    <w:rsid w:val="00044187"/>
    <w:rsid w:val="0004426E"/>
    <w:rsid w:val="00044273"/>
    <w:rsid w:val="0004481C"/>
    <w:rsid w:val="00044C57"/>
    <w:rsid w:val="00045116"/>
    <w:rsid w:val="0004521E"/>
    <w:rsid w:val="0004559E"/>
    <w:rsid w:val="00045688"/>
    <w:rsid w:val="000458F0"/>
    <w:rsid w:val="00045B4C"/>
    <w:rsid w:val="000465FC"/>
    <w:rsid w:val="000467B1"/>
    <w:rsid w:val="00046C36"/>
    <w:rsid w:val="0004753C"/>
    <w:rsid w:val="000478FB"/>
    <w:rsid w:val="000500CE"/>
    <w:rsid w:val="000504F4"/>
    <w:rsid w:val="0005066A"/>
    <w:rsid w:val="00050A1B"/>
    <w:rsid w:val="00051D05"/>
    <w:rsid w:val="00051E5E"/>
    <w:rsid w:val="00052449"/>
    <w:rsid w:val="00052485"/>
    <w:rsid w:val="0005284D"/>
    <w:rsid w:val="00052B23"/>
    <w:rsid w:val="00052C5C"/>
    <w:rsid w:val="000538A6"/>
    <w:rsid w:val="00053B0F"/>
    <w:rsid w:val="00053C71"/>
    <w:rsid w:val="00053D51"/>
    <w:rsid w:val="000542B4"/>
    <w:rsid w:val="00054555"/>
    <w:rsid w:val="000546BF"/>
    <w:rsid w:val="000548B8"/>
    <w:rsid w:val="00054CE2"/>
    <w:rsid w:val="00054E02"/>
    <w:rsid w:val="00055007"/>
    <w:rsid w:val="000551E4"/>
    <w:rsid w:val="00055A61"/>
    <w:rsid w:val="00055DD1"/>
    <w:rsid w:val="00055DF0"/>
    <w:rsid w:val="000561EA"/>
    <w:rsid w:val="00056221"/>
    <w:rsid w:val="00056B58"/>
    <w:rsid w:val="00056D9D"/>
    <w:rsid w:val="00056EF0"/>
    <w:rsid w:val="0005737D"/>
    <w:rsid w:val="0005756A"/>
    <w:rsid w:val="00057886"/>
    <w:rsid w:val="0006057F"/>
    <w:rsid w:val="00060A02"/>
    <w:rsid w:val="00060B42"/>
    <w:rsid w:val="000613BA"/>
    <w:rsid w:val="0006166E"/>
    <w:rsid w:val="00061758"/>
    <w:rsid w:val="000621DE"/>
    <w:rsid w:val="00062315"/>
    <w:rsid w:val="00062A61"/>
    <w:rsid w:val="00062A78"/>
    <w:rsid w:val="00063093"/>
    <w:rsid w:val="00063235"/>
    <w:rsid w:val="00063248"/>
    <w:rsid w:val="00063C56"/>
    <w:rsid w:val="00063CF1"/>
    <w:rsid w:val="00063E15"/>
    <w:rsid w:val="000642B9"/>
    <w:rsid w:val="0006432D"/>
    <w:rsid w:val="00064472"/>
    <w:rsid w:val="0006477A"/>
    <w:rsid w:val="00064785"/>
    <w:rsid w:val="00064AF3"/>
    <w:rsid w:val="00064C44"/>
    <w:rsid w:val="00064E39"/>
    <w:rsid w:val="00064F71"/>
    <w:rsid w:val="0006584F"/>
    <w:rsid w:val="00065A46"/>
    <w:rsid w:val="00065A9B"/>
    <w:rsid w:val="00065DF8"/>
    <w:rsid w:val="000660D5"/>
    <w:rsid w:val="0006611E"/>
    <w:rsid w:val="000663D1"/>
    <w:rsid w:val="000666C0"/>
    <w:rsid w:val="00066909"/>
    <w:rsid w:val="000669D8"/>
    <w:rsid w:val="00066EED"/>
    <w:rsid w:val="00067283"/>
    <w:rsid w:val="00067469"/>
    <w:rsid w:val="0006785C"/>
    <w:rsid w:val="0007007C"/>
    <w:rsid w:val="0007047E"/>
    <w:rsid w:val="000709C1"/>
    <w:rsid w:val="00070A97"/>
    <w:rsid w:val="00071C3B"/>
    <w:rsid w:val="00071F12"/>
    <w:rsid w:val="0007251B"/>
    <w:rsid w:val="00072C4F"/>
    <w:rsid w:val="00072D22"/>
    <w:rsid w:val="00073108"/>
    <w:rsid w:val="00073DF5"/>
    <w:rsid w:val="00074744"/>
    <w:rsid w:val="00074B7D"/>
    <w:rsid w:val="000751C1"/>
    <w:rsid w:val="00075256"/>
    <w:rsid w:val="0007526B"/>
    <w:rsid w:val="000756FB"/>
    <w:rsid w:val="000768B3"/>
    <w:rsid w:val="00076B59"/>
    <w:rsid w:val="000801C8"/>
    <w:rsid w:val="00080AB2"/>
    <w:rsid w:val="00080EF5"/>
    <w:rsid w:val="0008155D"/>
    <w:rsid w:val="0008165A"/>
    <w:rsid w:val="000819F9"/>
    <w:rsid w:val="00081AFD"/>
    <w:rsid w:val="00082392"/>
    <w:rsid w:val="00082679"/>
    <w:rsid w:val="000827A4"/>
    <w:rsid w:val="000829EB"/>
    <w:rsid w:val="00082BD9"/>
    <w:rsid w:val="00082F40"/>
    <w:rsid w:val="0008327E"/>
    <w:rsid w:val="000832E5"/>
    <w:rsid w:val="000833A2"/>
    <w:rsid w:val="0008357F"/>
    <w:rsid w:val="00084827"/>
    <w:rsid w:val="000853B1"/>
    <w:rsid w:val="00085704"/>
    <w:rsid w:val="00085715"/>
    <w:rsid w:val="00085734"/>
    <w:rsid w:val="00085B96"/>
    <w:rsid w:val="00085E01"/>
    <w:rsid w:val="00085E1A"/>
    <w:rsid w:val="00086A8E"/>
    <w:rsid w:val="00086FA7"/>
    <w:rsid w:val="0008710A"/>
    <w:rsid w:val="00087295"/>
    <w:rsid w:val="0008745A"/>
    <w:rsid w:val="000878C4"/>
    <w:rsid w:val="00087924"/>
    <w:rsid w:val="00087ED6"/>
    <w:rsid w:val="0009002F"/>
    <w:rsid w:val="000900E3"/>
    <w:rsid w:val="000901EA"/>
    <w:rsid w:val="000902B5"/>
    <w:rsid w:val="00090536"/>
    <w:rsid w:val="00090D1D"/>
    <w:rsid w:val="000910CA"/>
    <w:rsid w:val="00091196"/>
    <w:rsid w:val="00091BAB"/>
    <w:rsid w:val="00091BCE"/>
    <w:rsid w:val="000931C8"/>
    <w:rsid w:val="000937AB"/>
    <w:rsid w:val="000937E0"/>
    <w:rsid w:val="00093CFC"/>
    <w:rsid w:val="00093F6F"/>
    <w:rsid w:val="00094376"/>
    <w:rsid w:val="000943E4"/>
    <w:rsid w:val="000949D3"/>
    <w:rsid w:val="00094A6C"/>
    <w:rsid w:val="00094A78"/>
    <w:rsid w:val="00094D57"/>
    <w:rsid w:val="00095164"/>
    <w:rsid w:val="0009519B"/>
    <w:rsid w:val="000959DC"/>
    <w:rsid w:val="00095CA2"/>
    <w:rsid w:val="00095EF0"/>
    <w:rsid w:val="0009649D"/>
    <w:rsid w:val="00096CF2"/>
    <w:rsid w:val="0009743A"/>
    <w:rsid w:val="0009773F"/>
    <w:rsid w:val="000979B5"/>
    <w:rsid w:val="00097C52"/>
    <w:rsid w:val="000A052A"/>
    <w:rsid w:val="000A09BA"/>
    <w:rsid w:val="000A10E1"/>
    <w:rsid w:val="000A301B"/>
    <w:rsid w:val="000A3426"/>
    <w:rsid w:val="000A394C"/>
    <w:rsid w:val="000A3F57"/>
    <w:rsid w:val="000A4432"/>
    <w:rsid w:val="000A5B32"/>
    <w:rsid w:val="000A6DB7"/>
    <w:rsid w:val="000A6E4D"/>
    <w:rsid w:val="000A7446"/>
    <w:rsid w:val="000A7841"/>
    <w:rsid w:val="000A7E18"/>
    <w:rsid w:val="000B0616"/>
    <w:rsid w:val="000B0815"/>
    <w:rsid w:val="000B09E5"/>
    <w:rsid w:val="000B0BED"/>
    <w:rsid w:val="000B0CE6"/>
    <w:rsid w:val="000B11FB"/>
    <w:rsid w:val="000B12F6"/>
    <w:rsid w:val="000B175F"/>
    <w:rsid w:val="000B1A24"/>
    <w:rsid w:val="000B1E59"/>
    <w:rsid w:val="000B25CC"/>
    <w:rsid w:val="000B2CBE"/>
    <w:rsid w:val="000B330C"/>
    <w:rsid w:val="000B4481"/>
    <w:rsid w:val="000B460F"/>
    <w:rsid w:val="000B474D"/>
    <w:rsid w:val="000B49EE"/>
    <w:rsid w:val="000B511E"/>
    <w:rsid w:val="000B5123"/>
    <w:rsid w:val="000B52FA"/>
    <w:rsid w:val="000B5F1E"/>
    <w:rsid w:val="000B62C7"/>
    <w:rsid w:val="000B64BA"/>
    <w:rsid w:val="000B67EA"/>
    <w:rsid w:val="000B6D3A"/>
    <w:rsid w:val="000B7234"/>
    <w:rsid w:val="000B7447"/>
    <w:rsid w:val="000B75C1"/>
    <w:rsid w:val="000B7C4F"/>
    <w:rsid w:val="000B7E66"/>
    <w:rsid w:val="000C019B"/>
    <w:rsid w:val="000C06FE"/>
    <w:rsid w:val="000C0A44"/>
    <w:rsid w:val="000C0E2B"/>
    <w:rsid w:val="000C0FA1"/>
    <w:rsid w:val="000C13A5"/>
    <w:rsid w:val="000C20BA"/>
    <w:rsid w:val="000C244E"/>
    <w:rsid w:val="000C2FAC"/>
    <w:rsid w:val="000C3011"/>
    <w:rsid w:val="000C3451"/>
    <w:rsid w:val="000C3D73"/>
    <w:rsid w:val="000C4760"/>
    <w:rsid w:val="000C4CBB"/>
    <w:rsid w:val="000C56B9"/>
    <w:rsid w:val="000C5ACF"/>
    <w:rsid w:val="000C5C6D"/>
    <w:rsid w:val="000C6079"/>
    <w:rsid w:val="000C6742"/>
    <w:rsid w:val="000C69AE"/>
    <w:rsid w:val="000C6CB5"/>
    <w:rsid w:val="000C6CF3"/>
    <w:rsid w:val="000C6EFE"/>
    <w:rsid w:val="000C72DC"/>
    <w:rsid w:val="000C7303"/>
    <w:rsid w:val="000C736E"/>
    <w:rsid w:val="000C75A5"/>
    <w:rsid w:val="000C75DD"/>
    <w:rsid w:val="000C773E"/>
    <w:rsid w:val="000C7BB6"/>
    <w:rsid w:val="000D01A6"/>
    <w:rsid w:val="000D0538"/>
    <w:rsid w:val="000D06A6"/>
    <w:rsid w:val="000D0AB1"/>
    <w:rsid w:val="000D0EA5"/>
    <w:rsid w:val="000D13E1"/>
    <w:rsid w:val="000D14F3"/>
    <w:rsid w:val="000D23F8"/>
    <w:rsid w:val="000D2516"/>
    <w:rsid w:val="000D26D5"/>
    <w:rsid w:val="000D2B33"/>
    <w:rsid w:val="000D2BE7"/>
    <w:rsid w:val="000D3407"/>
    <w:rsid w:val="000D3942"/>
    <w:rsid w:val="000D39CE"/>
    <w:rsid w:val="000D3C4D"/>
    <w:rsid w:val="000D3FA7"/>
    <w:rsid w:val="000D4203"/>
    <w:rsid w:val="000D46FD"/>
    <w:rsid w:val="000D46FF"/>
    <w:rsid w:val="000D49F5"/>
    <w:rsid w:val="000D4BEB"/>
    <w:rsid w:val="000D4CF8"/>
    <w:rsid w:val="000D5449"/>
    <w:rsid w:val="000D5722"/>
    <w:rsid w:val="000D5EE2"/>
    <w:rsid w:val="000D6C9C"/>
    <w:rsid w:val="000D6D92"/>
    <w:rsid w:val="000D725A"/>
    <w:rsid w:val="000D740D"/>
    <w:rsid w:val="000D78E4"/>
    <w:rsid w:val="000D7B46"/>
    <w:rsid w:val="000E0B42"/>
    <w:rsid w:val="000E0EBA"/>
    <w:rsid w:val="000E0EE9"/>
    <w:rsid w:val="000E1529"/>
    <w:rsid w:val="000E1EAF"/>
    <w:rsid w:val="000E1FB5"/>
    <w:rsid w:val="000E2207"/>
    <w:rsid w:val="000E234B"/>
    <w:rsid w:val="000E2869"/>
    <w:rsid w:val="000E2894"/>
    <w:rsid w:val="000E2B21"/>
    <w:rsid w:val="000E2BF2"/>
    <w:rsid w:val="000E39DF"/>
    <w:rsid w:val="000E3BA7"/>
    <w:rsid w:val="000E3CDC"/>
    <w:rsid w:val="000E3DA0"/>
    <w:rsid w:val="000E4599"/>
    <w:rsid w:val="000E4CFE"/>
    <w:rsid w:val="000E4EB4"/>
    <w:rsid w:val="000E5205"/>
    <w:rsid w:val="000E5295"/>
    <w:rsid w:val="000E5483"/>
    <w:rsid w:val="000E5EE9"/>
    <w:rsid w:val="000E632B"/>
    <w:rsid w:val="000E6968"/>
    <w:rsid w:val="000E69D1"/>
    <w:rsid w:val="000E76B3"/>
    <w:rsid w:val="000E773D"/>
    <w:rsid w:val="000F04F4"/>
    <w:rsid w:val="000F0610"/>
    <w:rsid w:val="000F0BD7"/>
    <w:rsid w:val="000F0FAC"/>
    <w:rsid w:val="000F1488"/>
    <w:rsid w:val="000F1EB1"/>
    <w:rsid w:val="000F26DE"/>
    <w:rsid w:val="000F32E9"/>
    <w:rsid w:val="000F3534"/>
    <w:rsid w:val="000F3A6E"/>
    <w:rsid w:val="000F3CB4"/>
    <w:rsid w:val="000F3EA1"/>
    <w:rsid w:val="000F4571"/>
    <w:rsid w:val="000F47A8"/>
    <w:rsid w:val="000F4AE4"/>
    <w:rsid w:val="000F4DCA"/>
    <w:rsid w:val="000F5080"/>
    <w:rsid w:val="000F57CC"/>
    <w:rsid w:val="000F5EC6"/>
    <w:rsid w:val="000F5EF4"/>
    <w:rsid w:val="000F5F76"/>
    <w:rsid w:val="000F68AF"/>
    <w:rsid w:val="000F6975"/>
    <w:rsid w:val="000F6B35"/>
    <w:rsid w:val="0010026D"/>
    <w:rsid w:val="0010055E"/>
    <w:rsid w:val="001006E1"/>
    <w:rsid w:val="00100931"/>
    <w:rsid w:val="00100CE5"/>
    <w:rsid w:val="00100D97"/>
    <w:rsid w:val="001011A4"/>
    <w:rsid w:val="00101301"/>
    <w:rsid w:val="001017B7"/>
    <w:rsid w:val="00101B1C"/>
    <w:rsid w:val="00101BE4"/>
    <w:rsid w:val="00101D61"/>
    <w:rsid w:val="0010212B"/>
    <w:rsid w:val="00102523"/>
    <w:rsid w:val="0010261A"/>
    <w:rsid w:val="00102869"/>
    <w:rsid w:val="001028F7"/>
    <w:rsid w:val="00102BA6"/>
    <w:rsid w:val="0010358B"/>
    <w:rsid w:val="00103BC3"/>
    <w:rsid w:val="0010424C"/>
    <w:rsid w:val="00104331"/>
    <w:rsid w:val="001046B0"/>
    <w:rsid w:val="00104921"/>
    <w:rsid w:val="00104BB5"/>
    <w:rsid w:val="00104ED0"/>
    <w:rsid w:val="0010539A"/>
    <w:rsid w:val="001053A6"/>
    <w:rsid w:val="00105B38"/>
    <w:rsid w:val="00106009"/>
    <w:rsid w:val="00106081"/>
    <w:rsid w:val="001060C0"/>
    <w:rsid w:val="0010649F"/>
    <w:rsid w:val="0010683E"/>
    <w:rsid w:val="00106E64"/>
    <w:rsid w:val="00106F55"/>
    <w:rsid w:val="00107065"/>
    <w:rsid w:val="00107258"/>
    <w:rsid w:val="0010743D"/>
    <w:rsid w:val="00107498"/>
    <w:rsid w:val="001077FA"/>
    <w:rsid w:val="00107A38"/>
    <w:rsid w:val="00107C9F"/>
    <w:rsid w:val="00107F93"/>
    <w:rsid w:val="00110E74"/>
    <w:rsid w:val="0011137B"/>
    <w:rsid w:val="0011244D"/>
    <w:rsid w:val="00112882"/>
    <w:rsid w:val="00112CAC"/>
    <w:rsid w:val="00112E96"/>
    <w:rsid w:val="00113FD8"/>
    <w:rsid w:val="00114D25"/>
    <w:rsid w:val="00114D27"/>
    <w:rsid w:val="00114DE5"/>
    <w:rsid w:val="0011515C"/>
    <w:rsid w:val="00116AF1"/>
    <w:rsid w:val="00116D77"/>
    <w:rsid w:val="001173BA"/>
    <w:rsid w:val="001179C1"/>
    <w:rsid w:val="00117A49"/>
    <w:rsid w:val="00117C68"/>
    <w:rsid w:val="00117CA6"/>
    <w:rsid w:val="001202E6"/>
    <w:rsid w:val="00120BC1"/>
    <w:rsid w:val="00120CC7"/>
    <w:rsid w:val="00120DB2"/>
    <w:rsid w:val="00121946"/>
    <w:rsid w:val="00122BBB"/>
    <w:rsid w:val="00122F3A"/>
    <w:rsid w:val="00122FCA"/>
    <w:rsid w:val="00123862"/>
    <w:rsid w:val="00123B59"/>
    <w:rsid w:val="00123CED"/>
    <w:rsid w:val="00123E2A"/>
    <w:rsid w:val="00124548"/>
    <w:rsid w:val="00124777"/>
    <w:rsid w:val="00124B98"/>
    <w:rsid w:val="00124FAC"/>
    <w:rsid w:val="00124FB9"/>
    <w:rsid w:val="00125B7A"/>
    <w:rsid w:val="00125CD6"/>
    <w:rsid w:val="00125F45"/>
    <w:rsid w:val="001260AA"/>
    <w:rsid w:val="001264C3"/>
    <w:rsid w:val="00126707"/>
    <w:rsid w:val="00126805"/>
    <w:rsid w:val="001269AE"/>
    <w:rsid w:val="00127D25"/>
    <w:rsid w:val="001301B6"/>
    <w:rsid w:val="001305A6"/>
    <w:rsid w:val="0013129C"/>
    <w:rsid w:val="00131B05"/>
    <w:rsid w:val="00131C51"/>
    <w:rsid w:val="00132423"/>
    <w:rsid w:val="00132AD1"/>
    <w:rsid w:val="00132CE0"/>
    <w:rsid w:val="00132ECD"/>
    <w:rsid w:val="00133013"/>
    <w:rsid w:val="00133033"/>
    <w:rsid w:val="0013308F"/>
    <w:rsid w:val="00133183"/>
    <w:rsid w:val="00133478"/>
    <w:rsid w:val="00133644"/>
    <w:rsid w:val="001342F2"/>
    <w:rsid w:val="00134B48"/>
    <w:rsid w:val="0013522E"/>
    <w:rsid w:val="0013588C"/>
    <w:rsid w:val="00135A23"/>
    <w:rsid w:val="00135E92"/>
    <w:rsid w:val="001366E5"/>
    <w:rsid w:val="00136893"/>
    <w:rsid w:val="00136966"/>
    <w:rsid w:val="00136C08"/>
    <w:rsid w:val="00136DA4"/>
    <w:rsid w:val="001371FA"/>
    <w:rsid w:val="0013776C"/>
    <w:rsid w:val="001400F3"/>
    <w:rsid w:val="00140F18"/>
    <w:rsid w:val="00140F61"/>
    <w:rsid w:val="0014108F"/>
    <w:rsid w:val="00141B03"/>
    <w:rsid w:val="001423F5"/>
    <w:rsid w:val="00142979"/>
    <w:rsid w:val="00142ABD"/>
    <w:rsid w:val="00142EDB"/>
    <w:rsid w:val="00142FD3"/>
    <w:rsid w:val="00143002"/>
    <w:rsid w:val="001434EA"/>
    <w:rsid w:val="00143814"/>
    <w:rsid w:val="001445AC"/>
    <w:rsid w:val="00144B67"/>
    <w:rsid w:val="00144BF2"/>
    <w:rsid w:val="0014585D"/>
    <w:rsid w:val="00145944"/>
    <w:rsid w:val="00145AD1"/>
    <w:rsid w:val="00145F05"/>
    <w:rsid w:val="001462A0"/>
    <w:rsid w:val="00146314"/>
    <w:rsid w:val="001466F3"/>
    <w:rsid w:val="00146C11"/>
    <w:rsid w:val="00147195"/>
    <w:rsid w:val="00147250"/>
    <w:rsid w:val="0015009D"/>
    <w:rsid w:val="00150706"/>
    <w:rsid w:val="00150793"/>
    <w:rsid w:val="00150D38"/>
    <w:rsid w:val="00151260"/>
    <w:rsid w:val="001514CB"/>
    <w:rsid w:val="00151757"/>
    <w:rsid w:val="00152672"/>
    <w:rsid w:val="001528EE"/>
    <w:rsid w:val="00152B9C"/>
    <w:rsid w:val="00153077"/>
    <w:rsid w:val="001535F3"/>
    <w:rsid w:val="00153CA6"/>
    <w:rsid w:val="00153DF3"/>
    <w:rsid w:val="00154247"/>
    <w:rsid w:val="001543D7"/>
    <w:rsid w:val="00154B29"/>
    <w:rsid w:val="00154DE5"/>
    <w:rsid w:val="00154FA1"/>
    <w:rsid w:val="00155948"/>
    <w:rsid w:val="00155B06"/>
    <w:rsid w:val="00156356"/>
    <w:rsid w:val="00156A3B"/>
    <w:rsid w:val="00156B18"/>
    <w:rsid w:val="00156F40"/>
    <w:rsid w:val="00157673"/>
    <w:rsid w:val="00157743"/>
    <w:rsid w:val="00157B70"/>
    <w:rsid w:val="00157EC4"/>
    <w:rsid w:val="00157EF5"/>
    <w:rsid w:val="0016023C"/>
    <w:rsid w:val="001606A4"/>
    <w:rsid w:val="00160A10"/>
    <w:rsid w:val="00160C5B"/>
    <w:rsid w:val="00160EC6"/>
    <w:rsid w:val="0016116C"/>
    <w:rsid w:val="0016122A"/>
    <w:rsid w:val="0016140B"/>
    <w:rsid w:val="0016194D"/>
    <w:rsid w:val="00161F90"/>
    <w:rsid w:val="001623A2"/>
    <w:rsid w:val="00162970"/>
    <w:rsid w:val="00162F68"/>
    <w:rsid w:val="00163645"/>
    <w:rsid w:val="00164220"/>
    <w:rsid w:val="001643F8"/>
    <w:rsid w:val="0016452C"/>
    <w:rsid w:val="001647E9"/>
    <w:rsid w:val="00164961"/>
    <w:rsid w:val="00164FAD"/>
    <w:rsid w:val="0016560A"/>
    <w:rsid w:val="00165DB5"/>
    <w:rsid w:val="00165FF0"/>
    <w:rsid w:val="00166023"/>
    <w:rsid w:val="001662FB"/>
    <w:rsid w:val="001663F9"/>
    <w:rsid w:val="001668BD"/>
    <w:rsid w:val="001671E2"/>
    <w:rsid w:val="0017086C"/>
    <w:rsid w:val="00170A50"/>
    <w:rsid w:val="00170EFE"/>
    <w:rsid w:val="00171333"/>
    <w:rsid w:val="00171F8E"/>
    <w:rsid w:val="0017216E"/>
    <w:rsid w:val="001721EA"/>
    <w:rsid w:val="0017261A"/>
    <w:rsid w:val="0017293F"/>
    <w:rsid w:val="001729BB"/>
    <w:rsid w:val="00172AEE"/>
    <w:rsid w:val="00173987"/>
    <w:rsid w:val="00173C2D"/>
    <w:rsid w:val="00174441"/>
    <w:rsid w:val="00174693"/>
    <w:rsid w:val="0017483F"/>
    <w:rsid w:val="00174C24"/>
    <w:rsid w:val="0017545F"/>
    <w:rsid w:val="00175494"/>
    <w:rsid w:val="00175539"/>
    <w:rsid w:val="00175890"/>
    <w:rsid w:val="00175A73"/>
    <w:rsid w:val="00175E50"/>
    <w:rsid w:val="00176340"/>
    <w:rsid w:val="00176403"/>
    <w:rsid w:val="0017681A"/>
    <w:rsid w:val="00176AE7"/>
    <w:rsid w:val="00176CB6"/>
    <w:rsid w:val="00176E98"/>
    <w:rsid w:val="00177307"/>
    <w:rsid w:val="00180811"/>
    <w:rsid w:val="001808E6"/>
    <w:rsid w:val="00180AEF"/>
    <w:rsid w:val="0018154E"/>
    <w:rsid w:val="00181857"/>
    <w:rsid w:val="00181D1E"/>
    <w:rsid w:val="00181E4B"/>
    <w:rsid w:val="00181FCA"/>
    <w:rsid w:val="001820C4"/>
    <w:rsid w:val="001824F0"/>
    <w:rsid w:val="001827BB"/>
    <w:rsid w:val="00182A2B"/>
    <w:rsid w:val="00182A94"/>
    <w:rsid w:val="00182C1A"/>
    <w:rsid w:val="00182D63"/>
    <w:rsid w:val="00182F27"/>
    <w:rsid w:val="00183392"/>
    <w:rsid w:val="0018398A"/>
    <w:rsid w:val="00183D5F"/>
    <w:rsid w:val="00183EA5"/>
    <w:rsid w:val="00183FAF"/>
    <w:rsid w:val="00184091"/>
    <w:rsid w:val="00184502"/>
    <w:rsid w:val="0018452B"/>
    <w:rsid w:val="001845D5"/>
    <w:rsid w:val="001846D1"/>
    <w:rsid w:val="00184DF2"/>
    <w:rsid w:val="001850C5"/>
    <w:rsid w:val="0018526D"/>
    <w:rsid w:val="001858CD"/>
    <w:rsid w:val="001859FA"/>
    <w:rsid w:val="00185A12"/>
    <w:rsid w:val="00185BF6"/>
    <w:rsid w:val="00185D08"/>
    <w:rsid w:val="001864AF"/>
    <w:rsid w:val="00186536"/>
    <w:rsid w:val="001869BB"/>
    <w:rsid w:val="00186C81"/>
    <w:rsid w:val="00186DF9"/>
    <w:rsid w:val="00187AC9"/>
    <w:rsid w:val="00187C31"/>
    <w:rsid w:val="001902B3"/>
    <w:rsid w:val="00190983"/>
    <w:rsid w:val="0019151C"/>
    <w:rsid w:val="00191AA6"/>
    <w:rsid w:val="00191AB6"/>
    <w:rsid w:val="00191B55"/>
    <w:rsid w:val="00191EC8"/>
    <w:rsid w:val="00191F79"/>
    <w:rsid w:val="0019213B"/>
    <w:rsid w:val="0019232E"/>
    <w:rsid w:val="0019239F"/>
    <w:rsid w:val="001924F6"/>
    <w:rsid w:val="00192CDB"/>
    <w:rsid w:val="00192F6E"/>
    <w:rsid w:val="00193D9B"/>
    <w:rsid w:val="00193F20"/>
    <w:rsid w:val="0019413C"/>
    <w:rsid w:val="001941E4"/>
    <w:rsid w:val="00194AF7"/>
    <w:rsid w:val="00194C1F"/>
    <w:rsid w:val="00194DAF"/>
    <w:rsid w:val="001953AC"/>
    <w:rsid w:val="00195517"/>
    <w:rsid w:val="00195B15"/>
    <w:rsid w:val="00195BE8"/>
    <w:rsid w:val="00195CF2"/>
    <w:rsid w:val="00195E11"/>
    <w:rsid w:val="00195F99"/>
    <w:rsid w:val="00195FB3"/>
    <w:rsid w:val="00196263"/>
    <w:rsid w:val="001965AA"/>
    <w:rsid w:val="0019667B"/>
    <w:rsid w:val="001968E4"/>
    <w:rsid w:val="001971AE"/>
    <w:rsid w:val="00197278"/>
    <w:rsid w:val="00197392"/>
    <w:rsid w:val="00197764"/>
    <w:rsid w:val="00197EC3"/>
    <w:rsid w:val="00197FB1"/>
    <w:rsid w:val="001A0601"/>
    <w:rsid w:val="001A0BB0"/>
    <w:rsid w:val="001A1837"/>
    <w:rsid w:val="001A1B2F"/>
    <w:rsid w:val="001A1C51"/>
    <w:rsid w:val="001A2023"/>
    <w:rsid w:val="001A236F"/>
    <w:rsid w:val="001A28BA"/>
    <w:rsid w:val="001A3051"/>
    <w:rsid w:val="001A314B"/>
    <w:rsid w:val="001A3387"/>
    <w:rsid w:val="001A3398"/>
    <w:rsid w:val="001A3DED"/>
    <w:rsid w:val="001A4493"/>
    <w:rsid w:val="001A4589"/>
    <w:rsid w:val="001A5350"/>
    <w:rsid w:val="001A5398"/>
    <w:rsid w:val="001A5553"/>
    <w:rsid w:val="001A59AF"/>
    <w:rsid w:val="001A5E96"/>
    <w:rsid w:val="001A6777"/>
    <w:rsid w:val="001A6D21"/>
    <w:rsid w:val="001A718A"/>
    <w:rsid w:val="001A718F"/>
    <w:rsid w:val="001A75B9"/>
    <w:rsid w:val="001A7DC2"/>
    <w:rsid w:val="001B09A8"/>
    <w:rsid w:val="001B0A90"/>
    <w:rsid w:val="001B1694"/>
    <w:rsid w:val="001B18C3"/>
    <w:rsid w:val="001B1C70"/>
    <w:rsid w:val="001B20E4"/>
    <w:rsid w:val="001B2D1F"/>
    <w:rsid w:val="001B2E77"/>
    <w:rsid w:val="001B2FCD"/>
    <w:rsid w:val="001B3285"/>
    <w:rsid w:val="001B370A"/>
    <w:rsid w:val="001B39DD"/>
    <w:rsid w:val="001B3BA9"/>
    <w:rsid w:val="001B3E1C"/>
    <w:rsid w:val="001B4165"/>
    <w:rsid w:val="001B427B"/>
    <w:rsid w:val="001B44DB"/>
    <w:rsid w:val="001B4640"/>
    <w:rsid w:val="001B56BB"/>
    <w:rsid w:val="001B5EA6"/>
    <w:rsid w:val="001B6203"/>
    <w:rsid w:val="001B688A"/>
    <w:rsid w:val="001B7112"/>
    <w:rsid w:val="001B72FB"/>
    <w:rsid w:val="001C0277"/>
    <w:rsid w:val="001C0F05"/>
    <w:rsid w:val="001C110F"/>
    <w:rsid w:val="001C129D"/>
    <w:rsid w:val="001C15B0"/>
    <w:rsid w:val="001C1A52"/>
    <w:rsid w:val="001C239A"/>
    <w:rsid w:val="001C2554"/>
    <w:rsid w:val="001C2BD9"/>
    <w:rsid w:val="001C2EE5"/>
    <w:rsid w:val="001C395A"/>
    <w:rsid w:val="001C3A25"/>
    <w:rsid w:val="001C3BE9"/>
    <w:rsid w:val="001C486C"/>
    <w:rsid w:val="001C4AE1"/>
    <w:rsid w:val="001C4B35"/>
    <w:rsid w:val="001C4CCF"/>
    <w:rsid w:val="001C501A"/>
    <w:rsid w:val="001C5CC2"/>
    <w:rsid w:val="001C61DB"/>
    <w:rsid w:val="001C6573"/>
    <w:rsid w:val="001C6BA6"/>
    <w:rsid w:val="001C6D97"/>
    <w:rsid w:val="001C726D"/>
    <w:rsid w:val="001C78CA"/>
    <w:rsid w:val="001D01FB"/>
    <w:rsid w:val="001D0221"/>
    <w:rsid w:val="001D03BA"/>
    <w:rsid w:val="001D13AD"/>
    <w:rsid w:val="001D15E5"/>
    <w:rsid w:val="001D2381"/>
    <w:rsid w:val="001D29EA"/>
    <w:rsid w:val="001D2AFB"/>
    <w:rsid w:val="001D2CE9"/>
    <w:rsid w:val="001D34AF"/>
    <w:rsid w:val="001D3E63"/>
    <w:rsid w:val="001D40DA"/>
    <w:rsid w:val="001D419F"/>
    <w:rsid w:val="001D43D0"/>
    <w:rsid w:val="001D516B"/>
    <w:rsid w:val="001D5A4E"/>
    <w:rsid w:val="001D5C57"/>
    <w:rsid w:val="001D5D9A"/>
    <w:rsid w:val="001D6081"/>
    <w:rsid w:val="001D6684"/>
    <w:rsid w:val="001D6B29"/>
    <w:rsid w:val="001D6F2E"/>
    <w:rsid w:val="001D71BC"/>
    <w:rsid w:val="001D7346"/>
    <w:rsid w:val="001D755A"/>
    <w:rsid w:val="001E0367"/>
    <w:rsid w:val="001E094C"/>
    <w:rsid w:val="001E0FF6"/>
    <w:rsid w:val="001E11E2"/>
    <w:rsid w:val="001E11F6"/>
    <w:rsid w:val="001E1857"/>
    <w:rsid w:val="001E2231"/>
    <w:rsid w:val="001E27FB"/>
    <w:rsid w:val="001E2B1A"/>
    <w:rsid w:val="001E2C12"/>
    <w:rsid w:val="001E2FB8"/>
    <w:rsid w:val="001E3485"/>
    <w:rsid w:val="001E373E"/>
    <w:rsid w:val="001E3753"/>
    <w:rsid w:val="001E383E"/>
    <w:rsid w:val="001E4011"/>
    <w:rsid w:val="001E4060"/>
    <w:rsid w:val="001E4456"/>
    <w:rsid w:val="001E44C8"/>
    <w:rsid w:val="001E4518"/>
    <w:rsid w:val="001E467A"/>
    <w:rsid w:val="001E4C32"/>
    <w:rsid w:val="001E4E88"/>
    <w:rsid w:val="001E4FFF"/>
    <w:rsid w:val="001E5747"/>
    <w:rsid w:val="001E5BEE"/>
    <w:rsid w:val="001E619D"/>
    <w:rsid w:val="001E66E6"/>
    <w:rsid w:val="001E6889"/>
    <w:rsid w:val="001E68EE"/>
    <w:rsid w:val="001E751C"/>
    <w:rsid w:val="001E77C4"/>
    <w:rsid w:val="001E7EA4"/>
    <w:rsid w:val="001F00B7"/>
    <w:rsid w:val="001F0187"/>
    <w:rsid w:val="001F1092"/>
    <w:rsid w:val="001F18AA"/>
    <w:rsid w:val="001F1E88"/>
    <w:rsid w:val="001F200A"/>
    <w:rsid w:val="001F2337"/>
    <w:rsid w:val="001F2FB5"/>
    <w:rsid w:val="001F367C"/>
    <w:rsid w:val="001F4EB9"/>
    <w:rsid w:val="001F4FD4"/>
    <w:rsid w:val="001F4FDB"/>
    <w:rsid w:val="001F52E5"/>
    <w:rsid w:val="001F540A"/>
    <w:rsid w:val="001F58AB"/>
    <w:rsid w:val="001F5D2F"/>
    <w:rsid w:val="001F5E20"/>
    <w:rsid w:val="001F5FA3"/>
    <w:rsid w:val="001F60AC"/>
    <w:rsid w:val="001F6E1E"/>
    <w:rsid w:val="001F6F0C"/>
    <w:rsid w:val="001F73E9"/>
    <w:rsid w:val="001F74B9"/>
    <w:rsid w:val="001F7F82"/>
    <w:rsid w:val="002002AA"/>
    <w:rsid w:val="002003C3"/>
    <w:rsid w:val="00200D50"/>
    <w:rsid w:val="002019D1"/>
    <w:rsid w:val="00201AB8"/>
    <w:rsid w:val="00201E8F"/>
    <w:rsid w:val="00201FFF"/>
    <w:rsid w:val="002023B3"/>
    <w:rsid w:val="00202CDB"/>
    <w:rsid w:val="00203052"/>
    <w:rsid w:val="0020342F"/>
    <w:rsid w:val="002034CC"/>
    <w:rsid w:val="00203D9B"/>
    <w:rsid w:val="00204381"/>
    <w:rsid w:val="002045FE"/>
    <w:rsid w:val="00204779"/>
    <w:rsid w:val="00204799"/>
    <w:rsid w:val="00204B8D"/>
    <w:rsid w:val="00204EBE"/>
    <w:rsid w:val="00205131"/>
    <w:rsid w:val="002051EA"/>
    <w:rsid w:val="00205B05"/>
    <w:rsid w:val="002060C2"/>
    <w:rsid w:val="00206D91"/>
    <w:rsid w:val="00206EED"/>
    <w:rsid w:val="00207023"/>
    <w:rsid w:val="0020765F"/>
    <w:rsid w:val="00207674"/>
    <w:rsid w:val="002076D5"/>
    <w:rsid w:val="00207C9E"/>
    <w:rsid w:val="00210B8A"/>
    <w:rsid w:val="002111F3"/>
    <w:rsid w:val="002117F4"/>
    <w:rsid w:val="002118E8"/>
    <w:rsid w:val="00212024"/>
    <w:rsid w:val="00212116"/>
    <w:rsid w:val="002125AD"/>
    <w:rsid w:val="00212798"/>
    <w:rsid w:val="00213180"/>
    <w:rsid w:val="002136EF"/>
    <w:rsid w:val="00213A5A"/>
    <w:rsid w:val="00213C0E"/>
    <w:rsid w:val="00213D58"/>
    <w:rsid w:val="00213EB4"/>
    <w:rsid w:val="002142CA"/>
    <w:rsid w:val="0021481A"/>
    <w:rsid w:val="00214D1A"/>
    <w:rsid w:val="00214EEA"/>
    <w:rsid w:val="00214FBE"/>
    <w:rsid w:val="00215254"/>
    <w:rsid w:val="00215ADA"/>
    <w:rsid w:val="00216326"/>
    <w:rsid w:val="00216648"/>
    <w:rsid w:val="00216651"/>
    <w:rsid w:val="0021671E"/>
    <w:rsid w:val="00216AAD"/>
    <w:rsid w:val="00216C9A"/>
    <w:rsid w:val="00216D51"/>
    <w:rsid w:val="00217096"/>
    <w:rsid w:val="00217C7A"/>
    <w:rsid w:val="00217E93"/>
    <w:rsid w:val="00217FC2"/>
    <w:rsid w:val="00220265"/>
    <w:rsid w:val="0022027B"/>
    <w:rsid w:val="00220699"/>
    <w:rsid w:val="00220CF8"/>
    <w:rsid w:val="00220D8D"/>
    <w:rsid w:val="0022151A"/>
    <w:rsid w:val="002215FD"/>
    <w:rsid w:val="002216C7"/>
    <w:rsid w:val="00221E48"/>
    <w:rsid w:val="00222173"/>
    <w:rsid w:val="00222228"/>
    <w:rsid w:val="00222370"/>
    <w:rsid w:val="00222CBD"/>
    <w:rsid w:val="002233F8"/>
    <w:rsid w:val="00223892"/>
    <w:rsid w:val="00223940"/>
    <w:rsid w:val="00223C1B"/>
    <w:rsid w:val="00223F09"/>
    <w:rsid w:val="00223FDF"/>
    <w:rsid w:val="002245C8"/>
    <w:rsid w:val="0022465E"/>
    <w:rsid w:val="00224A58"/>
    <w:rsid w:val="00225164"/>
    <w:rsid w:val="00225168"/>
    <w:rsid w:val="0023041D"/>
    <w:rsid w:val="00231057"/>
    <w:rsid w:val="00231363"/>
    <w:rsid w:val="00231385"/>
    <w:rsid w:val="002313F3"/>
    <w:rsid w:val="002316E9"/>
    <w:rsid w:val="00231877"/>
    <w:rsid w:val="0023269D"/>
    <w:rsid w:val="002326C1"/>
    <w:rsid w:val="00232A8A"/>
    <w:rsid w:val="00233032"/>
    <w:rsid w:val="002332F7"/>
    <w:rsid w:val="00233986"/>
    <w:rsid w:val="00233D50"/>
    <w:rsid w:val="00234372"/>
    <w:rsid w:val="002346A5"/>
    <w:rsid w:val="002346FD"/>
    <w:rsid w:val="00234798"/>
    <w:rsid w:val="00236146"/>
    <w:rsid w:val="00240C3D"/>
    <w:rsid w:val="00240D9B"/>
    <w:rsid w:val="002413A5"/>
    <w:rsid w:val="00241466"/>
    <w:rsid w:val="00241F56"/>
    <w:rsid w:val="002421FC"/>
    <w:rsid w:val="00242676"/>
    <w:rsid w:val="00243076"/>
    <w:rsid w:val="002433B0"/>
    <w:rsid w:val="002433D6"/>
    <w:rsid w:val="00243641"/>
    <w:rsid w:val="00243BE3"/>
    <w:rsid w:val="0024415B"/>
    <w:rsid w:val="00244642"/>
    <w:rsid w:val="00244D15"/>
    <w:rsid w:val="00244E1B"/>
    <w:rsid w:val="00245445"/>
    <w:rsid w:val="00245474"/>
    <w:rsid w:val="0024629F"/>
    <w:rsid w:val="002462FC"/>
    <w:rsid w:val="00246417"/>
    <w:rsid w:val="00246916"/>
    <w:rsid w:val="00247270"/>
    <w:rsid w:val="0024752F"/>
    <w:rsid w:val="00247C3E"/>
    <w:rsid w:val="002500E6"/>
    <w:rsid w:val="00250178"/>
    <w:rsid w:val="00250302"/>
    <w:rsid w:val="002503BA"/>
    <w:rsid w:val="00250600"/>
    <w:rsid w:val="002509DA"/>
    <w:rsid w:val="00251005"/>
    <w:rsid w:val="0025173F"/>
    <w:rsid w:val="00251963"/>
    <w:rsid w:val="00251F57"/>
    <w:rsid w:val="0025220D"/>
    <w:rsid w:val="002529E3"/>
    <w:rsid w:val="00252E78"/>
    <w:rsid w:val="00252F17"/>
    <w:rsid w:val="00253194"/>
    <w:rsid w:val="00253238"/>
    <w:rsid w:val="0025359A"/>
    <w:rsid w:val="002539F9"/>
    <w:rsid w:val="00253D47"/>
    <w:rsid w:val="002545AB"/>
    <w:rsid w:val="00254667"/>
    <w:rsid w:val="0025469B"/>
    <w:rsid w:val="00254BBE"/>
    <w:rsid w:val="00254DAC"/>
    <w:rsid w:val="00254F00"/>
    <w:rsid w:val="00255101"/>
    <w:rsid w:val="002553EF"/>
    <w:rsid w:val="0025556C"/>
    <w:rsid w:val="002555A1"/>
    <w:rsid w:val="002557F9"/>
    <w:rsid w:val="002559EF"/>
    <w:rsid w:val="0025637F"/>
    <w:rsid w:val="002567D3"/>
    <w:rsid w:val="00256C8E"/>
    <w:rsid w:val="00256E58"/>
    <w:rsid w:val="002572C6"/>
    <w:rsid w:val="00257669"/>
    <w:rsid w:val="00257837"/>
    <w:rsid w:val="00257A26"/>
    <w:rsid w:val="00257C58"/>
    <w:rsid w:val="002605A7"/>
    <w:rsid w:val="00260847"/>
    <w:rsid w:val="00261653"/>
    <w:rsid w:val="0026189C"/>
    <w:rsid w:val="002622CC"/>
    <w:rsid w:val="00262391"/>
    <w:rsid w:val="00263152"/>
    <w:rsid w:val="0026368D"/>
    <w:rsid w:val="00263A27"/>
    <w:rsid w:val="0026424C"/>
    <w:rsid w:val="002642FC"/>
    <w:rsid w:val="0026495C"/>
    <w:rsid w:val="0026544D"/>
    <w:rsid w:val="00265FB5"/>
    <w:rsid w:val="00266AF5"/>
    <w:rsid w:val="00266D04"/>
    <w:rsid w:val="002672C4"/>
    <w:rsid w:val="002674FC"/>
    <w:rsid w:val="00267867"/>
    <w:rsid w:val="002701ED"/>
    <w:rsid w:val="0027076E"/>
    <w:rsid w:val="0027080C"/>
    <w:rsid w:val="00270FD8"/>
    <w:rsid w:val="002710FF"/>
    <w:rsid w:val="002715E5"/>
    <w:rsid w:val="00271642"/>
    <w:rsid w:val="00271A30"/>
    <w:rsid w:val="00271AF4"/>
    <w:rsid w:val="00272747"/>
    <w:rsid w:val="00272812"/>
    <w:rsid w:val="0027321F"/>
    <w:rsid w:val="00273557"/>
    <w:rsid w:val="00273AF1"/>
    <w:rsid w:val="00273EB1"/>
    <w:rsid w:val="002742C4"/>
    <w:rsid w:val="002744A6"/>
    <w:rsid w:val="002745D1"/>
    <w:rsid w:val="0027478C"/>
    <w:rsid w:val="002747FE"/>
    <w:rsid w:val="002749F4"/>
    <w:rsid w:val="00274CEA"/>
    <w:rsid w:val="00275441"/>
    <w:rsid w:val="00275BE1"/>
    <w:rsid w:val="002763DB"/>
    <w:rsid w:val="00276E87"/>
    <w:rsid w:val="00277842"/>
    <w:rsid w:val="00277E99"/>
    <w:rsid w:val="00280101"/>
    <w:rsid w:val="00280569"/>
    <w:rsid w:val="002807FE"/>
    <w:rsid w:val="00281237"/>
    <w:rsid w:val="0028159B"/>
    <w:rsid w:val="002822BC"/>
    <w:rsid w:val="00282934"/>
    <w:rsid w:val="00283343"/>
    <w:rsid w:val="00283475"/>
    <w:rsid w:val="00283765"/>
    <w:rsid w:val="002841B8"/>
    <w:rsid w:val="002843A3"/>
    <w:rsid w:val="00284488"/>
    <w:rsid w:val="0028457F"/>
    <w:rsid w:val="00284996"/>
    <w:rsid w:val="00284D15"/>
    <w:rsid w:val="00285044"/>
    <w:rsid w:val="002852B7"/>
    <w:rsid w:val="0028534D"/>
    <w:rsid w:val="00285594"/>
    <w:rsid w:val="00285654"/>
    <w:rsid w:val="00285B0D"/>
    <w:rsid w:val="00285BC7"/>
    <w:rsid w:val="0028636E"/>
    <w:rsid w:val="00286740"/>
    <w:rsid w:val="00286AC4"/>
    <w:rsid w:val="00286C29"/>
    <w:rsid w:val="00287643"/>
    <w:rsid w:val="00287F6C"/>
    <w:rsid w:val="002900F3"/>
    <w:rsid w:val="00290163"/>
    <w:rsid w:val="002904C4"/>
    <w:rsid w:val="002907AE"/>
    <w:rsid w:val="002907DC"/>
    <w:rsid w:val="00290876"/>
    <w:rsid w:val="00290C55"/>
    <w:rsid w:val="00290EE6"/>
    <w:rsid w:val="00291A08"/>
    <w:rsid w:val="00291FA2"/>
    <w:rsid w:val="002924AD"/>
    <w:rsid w:val="0029281E"/>
    <w:rsid w:val="00292884"/>
    <w:rsid w:val="00292971"/>
    <w:rsid w:val="00292EC1"/>
    <w:rsid w:val="00293051"/>
    <w:rsid w:val="00293385"/>
    <w:rsid w:val="0029338A"/>
    <w:rsid w:val="002939EB"/>
    <w:rsid w:val="00293D1E"/>
    <w:rsid w:val="00294726"/>
    <w:rsid w:val="0029481A"/>
    <w:rsid w:val="00294B02"/>
    <w:rsid w:val="00294C99"/>
    <w:rsid w:val="00294D83"/>
    <w:rsid w:val="00295917"/>
    <w:rsid w:val="0029593D"/>
    <w:rsid w:val="00295C97"/>
    <w:rsid w:val="002961BB"/>
    <w:rsid w:val="0029628E"/>
    <w:rsid w:val="002968B1"/>
    <w:rsid w:val="002968FE"/>
    <w:rsid w:val="00296AE1"/>
    <w:rsid w:val="00296F46"/>
    <w:rsid w:val="0029717D"/>
    <w:rsid w:val="00297C07"/>
    <w:rsid w:val="002A1277"/>
    <w:rsid w:val="002A1772"/>
    <w:rsid w:val="002A204B"/>
    <w:rsid w:val="002A2161"/>
    <w:rsid w:val="002A29F2"/>
    <w:rsid w:val="002A3BD8"/>
    <w:rsid w:val="002A3C2E"/>
    <w:rsid w:val="002A4706"/>
    <w:rsid w:val="002A4845"/>
    <w:rsid w:val="002A4F45"/>
    <w:rsid w:val="002A50A9"/>
    <w:rsid w:val="002A561C"/>
    <w:rsid w:val="002A5F57"/>
    <w:rsid w:val="002A6CBF"/>
    <w:rsid w:val="002A6D63"/>
    <w:rsid w:val="002A7048"/>
    <w:rsid w:val="002A70B7"/>
    <w:rsid w:val="002A748F"/>
    <w:rsid w:val="002B0238"/>
    <w:rsid w:val="002B02E8"/>
    <w:rsid w:val="002B0384"/>
    <w:rsid w:val="002B05FE"/>
    <w:rsid w:val="002B1060"/>
    <w:rsid w:val="002B1377"/>
    <w:rsid w:val="002B14CD"/>
    <w:rsid w:val="002B2304"/>
    <w:rsid w:val="002B2551"/>
    <w:rsid w:val="002B25B2"/>
    <w:rsid w:val="002B25DE"/>
    <w:rsid w:val="002B2668"/>
    <w:rsid w:val="002B2B8E"/>
    <w:rsid w:val="002B2EF8"/>
    <w:rsid w:val="002B323C"/>
    <w:rsid w:val="002B3244"/>
    <w:rsid w:val="002B3E0D"/>
    <w:rsid w:val="002B3E89"/>
    <w:rsid w:val="002B484C"/>
    <w:rsid w:val="002B490A"/>
    <w:rsid w:val="002B4D3E"/>
    <w:rsid w:val="002B4F73"/>
    <w:rsid w:val="002B5227"/>
    <w:rsid w:val="002B5B7A"/>
    <w:rsid w:val="002B5C17"/>
    <w:rsid w:val="002B5D34"/>
    <w:rsid w:val="002B6133"/>
    <w:rsid w:val="002B6745"/>
    <w:rsid w:val="002B695A"/>
    <w:rsid w:val="002B6BB4"/>
    <w:rsid w:val="002B6E51"/>
    <w:rsid w:val="002B73E2"/>
    <w:rsid w:val="002B7904"/>
    <w:rsid w:val="002B79DA"/>
    <w:rsid w:val="002B7F97"/>
    <w:rsid w:val="002C0110"/>
    <w:rsid w:val="002C0304"/>
    <w:rsid w:val="002C079D"/>
    <w:rsid w:val="002C096A"/>
    <w:rsid w:val="002C12D6"/>
    <w:rsid w:val="002C12D9"/>
    <w:rsid w:val="002C18B7"/>
    <w:rsid w:val="002C1B26"/>
    <w:rsid w:val="002C1F28"/>
    <w:rsid w:val="002C23BF"/>
    <w:rsid w:val="002C24D7"/>
    <w:rsid w:val="002C286D"/>
    <w:rsid w:val="002C2CAC"/>
    <w:rsid w:val="002C2F4E"/>
    <w:rsid w:val="002C30BA"/>
    <w:rsid w:val="002C33B7"/>
    <w:rsid w:val="002C3578"/>
    <w:rsid w:val="002C3AD2"/>
    <w:rsid w:val="002C3ED6"/>
    <w:rsid w:val="002C418B"/>
    <w:rsid w:val="002C4201"/>
    <w:rsid w:val="002C468E"/>
    <w:rsid w:val="002C4D33"/>
    <w:rsid w:val="002C522A"/>
    <w:rsid w:val="002C52BD"/>
    <w:rsid w:val="002C6075"/>
    <w:rsid w:val="002C64F3"/>
    <w:rsid w:val="002C6996"/>
    <w:rsid w:val="002C69F6"/>
    <w:rsid w:val="002C6C5B"/>
    <w:rsid w:val="002C7537"/>
    <w:rsid w:val="002C7F07"/>
    <w:rsid w:val="002D00C7"/>
    <w:rsid w:val="002D030C"/>
    <w:rsid w:val="002D0399"/>
    <w:rsid w:val="002D0882"/>
    <w:rsid w:val="002D0CBD"/>
    <w:rsid w:val="002D1067"/>
    <w:rsid w:val="002D11C6"/>
    <w:rsid w:val="002D1252"/>
    <w:rsid w:val="002D17E3"/>
    <w:rsid w:val="002D2739"/>
    <w:rsid w:val="002D2B07"/>
    <w:rsid w:val="002D2CAE"/>
    <w:rsid w:val="002D2DC4"/>
    <w:rsid w:val="002D2FA5"/>
    <w:rsid w:val="002D31D9"/>
    <w:rsid w:val="002D3AE3"/>
    <w:rsid w:val="002D3F6E"/>
    <w:rsid w:val="002D3FB5"/>
    <w:rsid w:val="002D4760"/>
    <w:rsid w:val="002D516B"/>
    <w:rsid w:val="002D51C1"/>
    <w:rsid w:val="002D527A"/>
    <w:rsid w:val="002D5811"/>
    <w:rsid w:val="002D5FBC"/>
    <w:rsid w:val="002D6978"/>
    <w:rsid w:val="002D6A0C"/>
    <w:rsid w:val="002D6A9D"/>
    <w:rsid w:val="002D72DE"/>
    <w:rsid w:val="002D7651"/>
    <w:rsid w:val="002D7656"/>
    <w:rsid w:val="002D7BAD"/>
    <w:rsid w:val="002D7BFC"/>
    <w:rsid w:val="002E029F"/>
    <w:rsid w:val="002E090F"/>
    <w:rsid w:val="002E0A5C"/>
    <w:rsid w:val="002E0E3A"/>
    <w:rsid w:val="002E11C3"/>
    <w:rsid w:val="002E130D"/>
    <w:rsid w:val="002E1ADD"/>
    <w:rsid w:val="002E1AFB"/>
    <w:rsid w:val="002E1EDB"/>
    <w:rsid w:val="002E20E4"/>
    <w:rsid w:val="002E2255"/>
    <w:rsid w:val="002E2470"/>
    <w:rsid w:val="002E2C27"/>
    <w:rsid w:val="002E2D64"/>
    <w:rsid w:val="002E2EA4"/>
    <w:rsid w:val="002E2F63"/>
    <w:rsid w:val="002E339C"/>
    <w:rsid w:val="002E4150"/>
    <w:rsid w:val="002E43D0"/>
    <w:rsid w:val="002E49A6"/>
    <w:rsid w:val="002E4C11"/>
    <w:rsid w:val="002E5800"/>
    <w:rsid w:val="002E5EF1"/>
    <w:rsid w:val="002E6B9E"/>
    <w:rsid w:val="002E6EAB"/>
    <w:rsid w:val="002E7799"/>
    <w:rsid w:val="002E7F57"/>
    <w:rsid w:val="002F013B"/>
    <w:rsid w:val="002F03EF"/>
    <w:rsid w:val="002F0511"/>
    <w:rsid w:val="002F0637"/>
    <w:rsid w:val="002F094A"/>
    <w:rsid w:val="002F0E98"/>
    <w:rsid w:val="002F1617"/>
    <w:rsid w:val="002F209C"/>
    <w:rsid w:val="002F2AA4"/>
    <w:rsid w:val="002F2D6B"/>
    <w:rsid w:val="002F37A8"/>
    <w:rsid w:val="002F37D0"/>
    <w:rsid w:val="002F3E25"/>
    <w:rsid w:val="002F4243"/>
    <w:rsid w:val="002F49EC"/>
    <w:rsid w:val="002F4E32"/>
    <w:rsid w:val="002F5021"/>
    <w:rsid w:val="002F50A5"/>
    <w:rsid w:val="002F50FC"/>
    <w:rsid w:val="002F5497"/>
    <w:rsid w:val="002F5679"/>
    <w:rsid w:val="002F56B6"/>
    <w:rsid w:val="002F58B5"/>
    <w:rsid w:val="002F5B09"/>
    <w:rsid w:val="002F6391"/>
    <w:rsid w:val="002F68BA"/>
    <w:rsid w:val="002F6AC3"/>
    <w:rsid w:val="002F6D4A"/>
    <w:rsid w:val="002F6DCF"/>
    <w:rsid w:val="002F748D"/>
    <w:rsid w:val="002F781A"/>
    <w:rsid w:val="002F7920"/>
    <w:rsid w:val="002F7EAC"/>
    <w:rsid w:val="00300566"/>
    <w:rsid w:val="003006DA"/>
    <w:rsid w:val="0030071E"/>
    <w:rsid w:val="00300C77"/>
    <w:rsid w:val="00300DE1"/>
    <w:rsid w:val="00300E8B"/>
    <w:rsid w:val="0030108C"/>
    <w:rsid w:val="003015BA"/>
    <w:rsid w:val="003016E2"/>
    <w:rsid w:val="00301C17"/>
    <w:rsid w:val="00301E6A"/>
    <w:rsid w:val="00301FBA"/>
    <w:rsid w:val="00302CD2"/>
    <w:rsid w:val="00302D9D"/>
    <w:rsid w:val="0030300D"/>
    <w:rsid w:val="00303208"/>
    <w:rsid w:val="00303427"/>
    <w:rsid w:val="0030350B"/>
    <w:rsid w:val="00303543"/>
    <w:rsid w:val="00303716"/>
    <w:rsid w:val="00303B0B"/>
    <w:rsid w:val="00303BB4"/>
    <w:rsid w:val="00303BC4"/>
    <w:rsid w:val="00303EAD"/>
    <w:rsid w:val="00304129"/>
    <w:rsid w:val="00304177"/>
    <w:rsid w:val="00304DDA"/>
    <w:rsid w:val="00304E0B"/>
    <w:rsid w:val="00304EE1"/>
    <w:rsid w:val="00305CF4"/>
    <w:rsid w:val="00305F56"/>
    <w:rsid w:val="003064E1"/>
    <w:rsid w:val="00306DB1"/>
    <w:rsid w:val="00307064"/>
    <w:rsid w:val="00307759"/>
    <w:rsid w:val="00307BFD"/>
    <w:rsid w:val="00307CF9"/>
    <w:rsid w:val="00307E09"/>
    <w:rsid w:val="00307E4B"/>
    <w:rsid w:val="00307F21"/>
    <w:rsid w:val="00310430"/>
    <w:rsid w:val="00310740"/>
    <w:rsid w:val="003114FA"/>
    <w:rsid w:val="00311BEA"/>
    <w:rsid w:val="00311D79"/>
    <w:rsid w:val="00312B38"/>
    <w:rsid w:val="00313799"/>
    <w:rsid w:val="003138A8"/>
    <w:rsid w:val="00313907"/>
    <w:rsid w:val="00313A44"/>
    <w:rsid w:val="00313E37"/>
    <w:rsid w:val="00314D1E"/>
    <w:rsid w:val="00315073"/>
    <w:rsid w:val="00315206"/>
    <w:rsid w:val="00315241"/>
    <w:rsid w:val="003153BB"/>
    <w:rsid w:val="003159D9"/>
    <w:rsid w:val="00316A16"/>
    <w:rsid w:val="0031729F"/>
    <w:rsid w:val="003174F8"/>
    <w:rsid w:val="003175E9"/>
    <w:rsid w:val="00317FD8"/>
    <w:rsid w:val="00320487"/>
    <w:rsid w:val="003204FD"/>
    <w:rsid w:val="00320B2A"/>
    <w:rsid w:val="00320F20"/>
    <w:rsid w:val="00320F88"/>
    <w:rsid w:val="00321558"/>
    <w:rsid w:val="00321743"/>
    <w:rsid w:val="00322176"/>
    <w:rsid w:val="00322BE4"/>
    <w:rsid w:val="00322F9A"/>
    <w:rsid w:val="00322FA8"/>
    <w:rsid w:val="0032450A"/>
    <w:rsid w:val="00324C8C"/>
    <w:rsid w:val="00324DD1"/>
    <w:rsid w:val="00325472"/>
    <w:rsid w:val="00325769"/>
    <w:rsid w:val="00325AC3"/>
    <w:rsid w:val="00326155"/>
    <w:rsid w:val="0032616B"/>
    <w:rsid w:val="00326B55"/>
    <w:rsid w:val="003271C5"/>
    <w:rsid w:val="00327425"/>
    <w:rsid w:val="003275E0"/>
    <w:rsid w:val="00330207"/>
    <w:rsid w:val="00330509"/>
    <w:rsid w:val="003308A9"/>
    <w:rsid w:val="00330C3A"/>
    <w:rsid w:val="00330C3B"/>
    <w:rsid w:val="0033105F"/>
    <w:rsid w:val="003310A7"/>
    <w:rsid w:val="003311C5"/>
    <w:rsid w:val="00331432"/>
    <w:rsid w:val="00331492"/>
    <w:rsid w:val="00331D03"/>
    <w:rsid w:val="00332024"/>
    <w:rsid w:val="00332972"/>
    <w:rsid w:val="00332FF3"/>
    <w:rsid w:val="0033309B"/>
    <w:rsid w:val="00333789"/>
    <w:rsid w:val="00333B5E"/>
    <w:rsid w:val="00334087"/>
    <w:rsid w:val="0033470F"/>
    <w:rsid w:val="00334766"/>
    <w:rsid w:val="00334776"/>
    <w:rsid w:val="00334B36"/>
    <w:rsid w:val="00334E1E"/>
    <w:rsid w:val="00335066"/>
    <w:rsid w:val="003352CE"/>
    <w:rsid w:val="00335348"/>
    <w:rsid w:val="00335F25"/>
    <w:rsid w:val="00336631"/>
    <w:rsid w:val="003368A9"/>
    <w:rsid w:val="00337244"/>
    <w:rsid w:val="0033756B"/>
    <w:rsid w:val="00337793"/>
    <w:rsid w:val="00337851"/>
    <w:rsid w:val="00337863"/>
    <w:rsid w:val="00337CA7"/>
    <w:rsid w:val="00340786"/>
    <w:rsid w:val="00340CE0"/>
    <w:rsid w:val="003410AA"/>
    <w:rsid w:val="00341500"/>
    <w:rsid w:val="003418A7"/>
    <w:rsid w:val="00341B05"/>
    <w:rsid w:val="00342205"/>
    <w:rsid w:val="003423EB"/>
    <w:rsid w:val="003429F1"/>
    <w:rsid w:val="00342B71"/>
    <w:rsid w:val="00342EDD"/>
    <w:rsid w:val="0034309B"/>
    <w:rsid w:val="00343737"/>
    <w:rsid w:val="00344117"/>
    <w:rsid w:val="00344353"/>
    <w:rsid w:val="0034493D"/>
    <w:rsid w:val="00344A52"/>
    <w:rsid w:val="00344B38"/>
    <w:rsid w:val="00344F04"/>
    <w:rsid w:val="0034521D"/>
    <w:rsid w:val="003459AC"/>
    <w:rsid w:val="00345FA1"/>
    <w:rsid w:val="003464BD"/>
    <w:rsid w:val="00346D46"/>
    <w:rsid w:val="00346E32"/>
    <w:rsid w:val="0034755B"/>
    <w:rsid w:val="003475F8"/>
    <w:rsid w:val="00347982"/>
    <w:rsid w:val="00347A59"/>
    <w:rsid w:val="00347EC1"/>
    <w:rsid w:val="0035004A"/>
    <w:rsid w:val="00350336"/>
    <w:rsid w:val="00350EF3"/>
    <w:rsid w:val="003510C4"/>
    <w:rsid w:val="00351513"/>
    <w:rsid w:val="00351BD9"/>
    <w:rsid w:val="00351D96"/>
    <w:rsid w:val="00352C2B"/>
    <w:rsid w:val="00352F76"/>
    <w:rsid w:val="0035338B"/>
    <w:rsid w:val="003533A4"/>
    <w:rsid w:val="0035368F"/>
    <w:rsid w:val="00353FDC"/>
    <w:rsid w:val="00354E8D"/>
    <w:rsid w:val="0035525B"/>
    <w:rsid w:val="003554A7"/>
    <w:rsid w:val="0035551E"/>
    <w:rsid w:val="00355C2D"/>
    <w:rsid w:val="00355C89"/>
    <w:rsid w:val="00355EBB"/>
    <w:rsid w:val="00356698"/>
    <w:rsid w:val="003566BC"/>
    <w:rsid w:val="00356CE8"/>
    <w:rsid w:val="00356E6D"/>
    <w:rsid w:val="00357974"/>
    <w:rsid w:val="003579F2"/>
    <w:rsid w:val="003579F9"/>
    <w:rsid w:val="00360058"/>
    <w:rsid w:val="00360470"/>
    <w:rsid w:val="00360BE6"/>
    <w:rsid w:val="00360D78"/>
    <w:rsid w:val="00361524"/>
    <w:rsid w:val="003615A7"/>
    <w:rsid w:val="00361EAF"/>
    <w:rsid w:val="00361FC7"/>
    <w:rsid w:val="00362463"/>
    <w:rsid w:val="0036257D"/>
    <w:rsid w:val="003628B0"/>
    <w:rsid w:val="00363014"/>
    <w:rsid w:val="0036316C"/>
    <w:rsid w:val="00363306"/>
    <w:rsid w:val="00363315"/>
    <w:rsid w:val="0036333F"/>
    <w:rsid w:val="003636BA"/>
    <w:rsid w:val="003637A5"/>
    <w:rsid w:val="00363C1A"/>
    <w:rsid w:val="00363E99"/>
    <w:rsid w:val="003641A6"/>
    <w:rsid w:val="00364563"/>
    <w:rsid w:val="00364580"/>
    <w:rsid w:val="00364D6E"/>
    <w:rsid w:val="00365690"/>
    <w:rsid w:val="0036577B"/>
    <w:rsid w:val="00365959"/>
    <w:rsid w:val="0036645D"/>
    <w:rsid w:val="00366ACD"/>
    <w:rsid w:val="00367033"/>
    <w:rsid w:val="00367362"/>
    <w:rsid w:val="003674D9"/>
    <w:rsid w:val="00367850"/>
    <w:rsid w:val="0037001F"/>
    <w:rsid w:val="0037017F"/>
    <w:rsid w:val="00370192"/>
    <w:rsid w:val="00370377"/>
    <w:rsid w:val="00370A1C"/>
    <w:rsid w:val="00370CE8"/>
    <w:rsid w:val="00371321"/>
    <w:rsid w:val="00371384"/>
    <w:rsid w:val="00371EEF"/>
    <w:rsid w:val="00372965"/>
    <w:rsid w:val="00372C6F"/>
    <w:rsid w:val="00373A0B"/>
    <w:rsid w:val="00373E32"/>
    <w:rsid w:val="0037459F"/>
    <w:rsid w:val="003748CB"/>
    <w:rsid w:val="00374CB3"/>
    <w:rsid w:val="003750F8"/>
    <w:rsid w:val="00375136"/>
    <w:rsid w:val="00375A02"/>
    <w:rsid w:val="00375C31"/>
    <w:rsid w:val="00376467"/>
    <w:rsid w:val="0037671F"/>
    <w:rsid w:val="00376A38"/>
    <w:rsid w:val="00376DED"/>
    <w:rsid w:val="003770CC"/>
    <w:rsid w:val="0037735E"/>
    <w:rsid w:val="00377580"/>
    <w:rsid w:val="00377B9F"/>
    <w:rsid w:val="00377E04"/>
    <w:rsid w:val="00377FA0"/>
    <w:rsid w:val="00380210"/>
    <w:rsid w:val="00380F3E"/>
    <w:rsid w:val="00380F49"/>
    <w:rsid w:val="003810AB"/>
    <w:rsid w:val="00381745"/>
    <w:rsid w:val="00381764"/>
    <w:rsid w:val="00382167"/>
    <w:rsid w:val="003823D5"/>
    <w:rsid w:val="00382926"/>
    <w:rsid w:val="0038300C"/>
    <w:rsid w:val="0038363F"/>
    <w:rsid w:val="00383E33"/>
    <w:rsid w:val="003849E0"/>
    <w:rsid w:val="00384DDA"/>
    <w:rsid w:val="00385316"/>
    <w:rsid w:val="00385328"/>
    <w:rsid w:val="003854E9"/>
    <w:rsid w:val="0038577D"/>
    <w:rsid w:val="00385BBA"/>
    <w:rsid w:val="00385C8A"/>
    <w:rsid w:val="003862A1"/>
    <w:rsid w:val="00386827"/>
    <w:rsid w:val="00386BAA"/>
    <w:rsid w:val="003873C6"/>
    <w:rsid w:val="0038746F"/>
    <w:rsid w:val="003878ED"/>
    <w:rsid w:val="00387FF5"/>
    <w:rsid w:val="00390575"/>
    <w:rsid w:val="003906CD"/>
    <w:rsid w:val="00390798"/>
    <w:rsid w:val="00391125"/>
    <w:rsid w:val="0039136E"/>
    <w:rsid w:val="003913BD"/>
    <w:rsid w:val="00391F0E"/>
    <w:rsid w:val="0039211A"/>
    <w:rsid w:val="003922B1"/>
    <w:rsid w:val="0039296F"/>
    <w:rsid w:val="00392AFB"/>
    <w:rsid w:val="00392B31"/>
    <w:rsid w:val="003930B5"/>
    <w:rsid w:val="0039334A"/>
    <w:rsid w:val="00393394"/>
    <w:rsid w:val="00393468"/>
    <w:rsid w:val="00393585"/>
    <w:rsid w:val="003935B9"/>
    <w:rsid w:val="003935CB"/>
    <w:rsid w:val="00395CCF"/>
    <w:rsid w:val="00396338"/>
    <w:rsid w:val="00396749"/>
    <w:rsid w:val="003967B0"/>
    <w:rsid w:val="003967F8"/>
    <w:rsid w:val="00396958"/>
    <w:rsid w:val="00396B1E"/>
    <w:rsid w:val="00396BCA"/>
    <w:rsid w:val="00396E17"/>
    <w:rsid w:val="0039723A"/>
    <w:rsid w:val="00397280"/>
    <w:rsid w:val="003973DD"/>
    <w:rsid w:val="00397536"/>
    <w:rsid w:val="00397654"/>
    <w:rsid w:val="003978B3"/>
    <w:rsid w:val="003A06C5"/>
    <w:rsid w:val="003A0890"/>
    <w:rsid w:val="003A0A29"/>
    <w:rsid w:val="003A0C97"/>
    <w:rsid w:val="003A1AF7"/>
    <w:rsid w:val="003A221F"/>
    <w:rsid w:val="003A257E"/>
    <w:rsid w:val="003A25F4"/>
    <w:rsid w:val="003A295A"/>
    <w:rsid w:val="003A3159"/>
    <w:rsid w:val="003A39C7"/>
    <w:rsid w:val="003A3A4D"/>
    <w:rsid w:val="003A3AC4"/>
    <w:rsid w:val="003A3D0E"/>
    <w:rsid w:val="003A3D9A"/>
    <w:rsid w:val="003A409D"/>
    <w:rsid w:val="003A4129"/>
    <w:rsid w:val="003A420E"/>
    <w:rsid w:val="003A4801"/>
    <w:rsid w:val="003A48A3"/>
    <w:rsid w:val="003A4AAF"/>
    <w:rsid w:val="003A4B2E"/>
    <w:rsid w:val="003A54BC"/>
    <w:rsid w:val="003A5737"/>
    <w:rsid w:val="003A589B"/>
    <w:rsid w:val="003A58AF"/>
    <w:rsid w:val="003A6AAA"/>
    <w:rsid w:val="003A7236"/>
    <w:rsid w:val="003A7320"/>
    <w:rsid w:val="003A7911"/>
    <w:rsid w:val="003B019B"/>
    <w:rsid w:val="003B01E4"/>
    <w:rsid w:val="003B088E"/>
    <w:rsid w:val="003B0AE3"/>
    <w:rsid w:val="003B0DA9"/>
    <w:rsid w:val="003B1014"/>
    <w:rsid w:val="003B106B"/>
    <w:rsid w:val="003B1188"/>
    <w:rsid w:val="003B1EA1"/>
    <w:rsid w:val="003B1F25"/>
    <w:rsid w:val="003B27DF"/>
    <w:rsid w:val="003B2E07"/>
    <w:rsid w:val="003B3656"/>
    <w:rsid w:val="003B3951"/>
    <w:rsid w:val="003B3BDF"/>
    <w:rsid w:val="003B43D8"/>
    <w:rsid w:val="003B44AF"/>
    <w:rsid w:val="003B46C7"/>
    <w:rsid w:val="003B4719"/>
    <w:rsid w:val="003B4787"/>
    <w:rsid w:val="003B4F0C"/>
    <w:rsid w:val="003B50BA"/>
    <w:rsid w:val="003B5452"/>
    <w:rsid w:val="003B5717"/>
    <w:rsid w:val="003B58FE"/>
    <w:rsid w:val="003B5B2E"/>
    <w:rsid w:val="003B5CAF"/>
    <w:rsid w:val="003B5EA5"/>
    <w:rsid w:val="003B6166"/>
    <w:rsid w:val="003B64E5"/>
    <w:rsid w:val="003B6534"/>
    <w:rsid w:val="003B6927"/>
    <w:rsid w:val="003B696F"/>
    <w:rsid w:val="003B6D41"/>
    <w:rsid w:val="003B76CE"/>
    <w:rsid w:val="003B7749"/>
    <w:rsid w:val="003B7C7B"/>
    <w:rsid w:val="003B7CA4"/>
    <w:rsid w:val="003C0E58"/>
    <w:rsid w:val="003C0F84"/>
    <w:rsid w:val="003C11B2"/>
    <w:rsid w:val="003C12D2"/>
    <w:rsid w:val="003C1300"/>
    <w:rsid w:val="003C14B1"/>
    <w:rsid w:val="003C1591"/>
    <w:rsid w:val="003C199E"/>
    <w:rsid w:val="003C218F"/>
    <w:rsid w:val="003C2280"/>
    <w:rsid w:val="003C2AA7"/>
    <w:rsid w:val="003C2F47"/>
    <w:rsid w:val="003C3846"/>
    <w:rsid w:val="003C38C8"/>
    <w:rsid w:val="003C44D1"/>
    <w:rsid w:val="003C4733"/>
    <w:rsid w:val="003C48A1"/>
    <w:rsid w:val="003C4E8C"/>
    <w:rsid w:val="003C4F06"/>
    <w:rsid w:val="003C5A14"/>
    <w:rsid w:val="003C5D9C"/>
    <w:rsid w:val="003C5DE7"/>
    <w:rsid w:val="003C6080"/>
    <w:rsid w:val="003C634A"/>
    <w:rsid w:val="003C6592"/>
    <w:rsid w:val="003C667C"/>
    <w:rsid w:val="003C6AB1"/>
    <w:rsid w:val="003C717C"/>
    <w:rsid w:val="003C7335"/>
    <w:rsid w:val="003C7651"/>
    <w:rsid w:val="003C7879"/>
    <w:rsid w:val="003C79DB"/>
    <w:rsid w:val="003D029E"/>
    <w:rsid w:val="003D067C"/>
    <w:rsid w:val="003D0906"/>
    <w:rsid w:val="003D13D8"/>
    <w:rsid w:val="003D140A"/>
    <w:rsid w:val="003D15B7"/>
    <w:rsid w:val="003D15ED"/>
    <w:rsid w:val="003D1608"/>
    <w:rsid w:val="003D20E1"/>
    <w:rsid w:val="003D2486"/>
    <w:rsid w:val="003D295A"/>
    <w:rsid w:val="003D2A35"/>
    <w:rsid w:val="003D2A9A"/>
    <w:rsid w:val="003D2D5A"/>
    <w:rsid w:val="003D321B"/>
    <w:rsid w:val="003D35FA"/>
    <w:rsid w:val="003D39EF"/>
    <w:rsid w:val="003D41BA"/>
    <w:rsid w:val="003D41C7"/>
    <w:rsid w:val="003D420B"/>
    <w:rsid w:val="003D45E1"/>
    <w:rsid w:val="003D4CC1"/>
    <w:rsid w:val="003D529E"/>
    <w:rsid w:val="003D5427"/>
    <w:rsid w:val="003D6474"/>
    <w:rsid w:val="003D664F"/>
    <w:rsid w:val="003D6670"/>
    <w:rsid w:val="003D6A09"/>
    <w:rsid w:val="003D6B36"/>
    <w:rsid w:val="003D6F67"/>
    <w:rsid w:val="003D707F"/>
    <w:rsid w:val="003D71D5"/>
    <w:rsid w:val="003D74EF"/>
    <w:rsid w:val="003D7671"/>
    <w:rsid w:val="003D7C9F"/>
    <w:rsid w:val="003E0086"/>
    <w:rsid w:val="003E0CAF"/>
    <w:rsid w:val="003E1122"/>
    <w:rsid w:val="003E1207"/>
    <w:rsid w:val="003E12C9"/>
    <w:rsid w:val="003E1604"/>
    <w:rsid w:val="003E1766"/>
    <w:rsid w:val="003E1858"/>
    <w:rsid w:val="003E18F5"/>
    <w:rsid w:val="003E1A61"/>
    <w:rsid w:val="003E21C5"/>
    <w:rsid w:val="003E279B"/>
    <w:rsid w:val="003E2AB7"/>
    <w:rsid w:val="003E2F36"/>
    <w:rsid w:val="003E2FB3"/>
    <w:rsid w:val="003E37A0"/>
    <w:rsid w:val="003E393E"/>
    <w:rsid w:val="003E3CFE"/>
    <w:rsid w:val="003E4066"/>
    <w:rsid w:val="003E46CB"/>
    <w:rsid w:val="003E4AE0"/>
    <w:rsid w:val="003E507E"/>
    <w:rsid w:val="003E5394"/>
    <w:rsid w:val="003E54F0"/>
    <w:rsid w:val="003E5CF4"/>
    <w:rsid w:val="003E678B"/>
    <w:rsid w:val="003E6923"/>
    <w:rsid w:val="003E6CCA"/>
    <w:rsid w:val="003E6D93"/>
    <w:rsid w:val="003E73AA"/>
    <w:rsid w:val="003E76C6"/>
    <w:rsid w:val="003E7FBC"/>
    <w:rsid w:val="003F0186"/>
    <w:rsid w:val="003F038A"/>
    <w:rsid w:val="003F0555"/>
    <w:rsid w:val="003F09E9"/>
    <w:rsid w:val="003F0D0F"/>
    <w:rsid w:val="003F11D8"/>
    <w:rsid w:val="003F1222"/>
    <w:rsid w:val="003F1303"/>
    <w:rsid w:val="003F1AAC"/>
    <w:rsid w:val="003F1C6D"/>
    <w:rsid w:val="003F1D12"/>
    <w:rsid w:val="003F1E3F"/>
    <w:rsid w:val="003F1ECD"/>
    <w:rsid w:val="003F2C12"/>
    <w:rsid w:val="003F3195"/>
    <w:rsid w:val="003F32A8"/>
    <w:rsid w:val="003F34C4"/>
    <w:rsid w:val="003F3673"/>
    <w:rsid w:val="003F3760"/>
    <w:rsid w:val="003F3F81"/>
    <w:rsid w:val="003F442C"/>
    <w:rsid w:val="003F465F"/>
    <w:rsid w:val="003F47AB"/>
    <w:rsid w:val="003F47D1"/>
    <w:rsid w:val="003F4B6C"/>
    <w:rsid w:val="003F4DAF"/>
    <w:rsid w:val="003F5A39"/>
    <w:rsid w:val="003F5EE6"/>
    <w:rsid w:val="003F6039"/>
    <w:rsid w:val="003F62B7"/>
    <w:rsid w:val="003F67D7"/>
    <w:rsid w:val="003F7144"/>
    <w:rsid w:val="003F74EF"/>
    <w:rsid w:val="00400195"/>
    <w:rsid w:val="00400758"/>
    <w:rsid w:val="00400A77"/>
    <w:rsid w:val="00401262"/>
    <w:rsid w:val="00401B6E"/>
    <w:rsid w:val="0040291B"/>
    <w:rsid w:val="00404123"/>
    <w:rsid w:val="00404550"/>
    <w:rsid w:val="00404B91"/>
    <w:rsid w:val="00404BB2"/>
    <w:rsid w:val="0040541F"/>
    <w:rsid w:val="00405424"/>
    <w:rsid w:val="00405C8A"/>
    <w:rsid w:val="00406889"/>
    <w:rsid w:val="00406DEE"/>
    <w:rsid w:val="00406E48"/>
    <w:rsid w:val="004072DC"/>
    <w:rsid w:val="004075B4"/>
    <w:rsid w:val="00407C6C"/>
    <w:rsid w:val="00410081"/>
    <w:rsid w:val="00410502"/>
    <w:rsid w:val="00410971"/>
    <w:rsid w:val="00410E96"/>
    <w:rsid w:val="00410F5C"/>
    <w:rsid w:val="00411C1D"/>
    <w:rsid w:val="00411FD7"/>
    <w:rsid w:val="0041213F"/>
    <w:rsid w:val="0041214B"/>
    <w:rsid w:val="0041242B"/>
    <w:rsid w:val="00412681"/>
    <w:rsid w:val="00412A04"/>
    <w:rsid w:val="00412C22"/>
    <w:rsid w:val="00412C54"/>
    <w:rsid w:val="00412DB7"/>
    <w:rsid w:val="0041307A"/>
    <w:rsid w:val="00413397"/>
    <w:rsid w:val="00413D02"/>
    <w:rsid w:val="00413DF7"/>
    <w:rsid w:val="004141EF"/>
    <w:rsid w:val="00414721"/>
    <w:rsid w:val="00414AA9"/>
    <w:rsid w:val="00414FC0"/>
    <w:rsid w:val="004150A8"/>
    <w:rsid w:val="0041538F"/>
    <w:rsid w:val="004158E1"/>
    <w:rsid w:val="00415B20"/>
    <w:rsid w:val="00417B00"/>
    <w:rsid w:val="00417D0F"/>
    <w:rsid w:val="00417E9B"/>
    <w:rsid w:val="00417ECD"/>
    <w:rsid w:val="0042007E"/>
    <w:rsid w:val="00420473"/>
    <w:rsid w:val="00420694"/>
    <w:rsid w:val="00420703"/>
    <w:rsid w:val="0042081E"/>
    <w:rsid w:val="00420E0C"/>
    <w:rsid w:val="00421989"/>
    <w:rsid w:val="00421C02"/>
    <w:rsid w:val="00422163"/>
    <w:rsid w:val="00422B00"/>
    <w:rsid w:val="00422F9A"/>
    <w:rsid w:val="0042331A"/>
    <w:rsid w:val="00423479"/>
    <w:rsid w:val="004240BB"/>
    <w:rsid w:val="00424B49"/>
    <w:rsid w:val="00424BC0"/>
    <w:rsid w:val="00424CD9"/>
    <w:rsid w:val="00424EE9"/>
    <w:rsid w:val="00424F6E"/>
    <w:rsid w:val="00425365"/>
    <w:rsid w:val="00425A9F"/>
    <w:rsid w:val="00425C82"/>
    <w:rsid w:val="004261C5"/>
    <w:rsid w:val="004267BD"/>
    <w:rsid w:val="00426D00"/>
    <w:rsid w:val="00427071"/>
    <w:rsid w:val="00427AC9"/>
    <w:rsid w:val="00427DF3"/>
    <w:rsid w:val="0043000A"/>
    <w:rsid w:val="0043033C"/>
    <w:rsid w:val="004304BD"/>
    <w:rsid w:val="00430A35"/>
    <w:rsid w:val="00430E1F"/>
    <w:rsid w:val="00431223"/>
    <w:rsid w:val="004312F7"/>
    <w:rsid w:val="004318F3"/>
    <w:rsid w:val="0043232C"/>
    <w:rsid w:val="00432C14"/>
    <w:rsid w:val="00432D80"/>
    <w:rsid w:val="00432EC8"/>
    <w:rsid w:val="00433ACC"/>
    <w:rsid w:val="004341E9"/>
    <w:rsid w:val="00434323"/>
    <w:rsid w:val="00434720"/>
    <w:rsid w:val="00434C76"/>
    <w:rsid w:val="00434CA4"/>
    <w:rsid w:val="00434F97"/>
    <w:rsid w:val="00435664"/>
    <w:rsid w:val="00436AF2"/>
    <w:rsid w:val="00436C1D"/>
    <w:rsid w:val="00436D44"/>
    <w:rsid w:val="00437233"/>
    <w:rsid w:val="004379FE"/>
    <w:rsid w:val="00440002"/>
    <w:rsid w:val="00440C07"/>
    <w:rsid w:val="00440C48"/>
    <w:rsid w:val="00440D0E"/>
    <w:rsid w:val="00440D83"/>
    <w:rsid w:val="00440E3B"/>
    <w:rsid w:val="0044111B"/>
    <w:rsid w:val="00441985"/>
    <w:rsid w:val="00441E7C"/>
    <w:rsid w:val="00441F13"/>
    <w:rsid w:val="00441FF4"/>
    <w:rsid w:val="004437DC"/>
    <w:rsid w:val="00443A4C"/>
    <w:rsid w:val="004443AB"/>
    <w:rsid w:val="00444624"/>
    <w:rsid w:val="0044486A"/>
    <w:rsid w:val="004448DB"/>
    <w:rsid w:val="004450D0"/>
    <w:rsid w:val="0044527B"/>
    <w:rsid w:val="00445D17"/>
    <w:rsid w:val="00445E64"/>
    <w:rsid w:val="00445F93"/>
    <w:rsid w:val="0044645D"/>
    <w:rsid w:val="00446746"/>
    <w:rsid w:val="00446778"/>
    <w:rsid w:val="00446AD1"/>
    <w:rsid w:val="00446FF5"/>
    <w:rsid w:val="004473E1"/>
    <w:rsid w:val="00447435"/>
    <w:rsid w:val="00447467"/>
    <w:rsid w:val="00447BE4"/>
    <w:rsid w:val="00447CC7"/>
    <w:rsid w:val="004501C4"/>
    <w:rsid w:val="0045342A"/>
    <w:rsid w:val="00453531"/>
    <w:rsid w:val="004539F3"/>
    <w:rsid w:val="00453E52"/>
    <w:rsid w:val="00453F61"/>
    <w:rsid w:val="00454DCF"/>
    <w:rsid w:val="00454F37"/>
    <w:rsid w:val="00455072"/>
    <w:rsid w:val="004551C5"/>
    <w:rsid w:val="0045526D"/>
    <w:rsid w:val="0045536D"/>
    <w:rsid w:val="0045563A"/>
    <w:rsid w:val="00455C0B"/>
    <w:rsid w:val="00455F0D"/>
    <w:rsid w:val="00455F76"/>
    <w:rsid w:val="0045615C"/>
    <w:rsid w:val="00456918"/>
    <w:rsid w:val="00457452"/>
    <w:rsid w:val="00457468"/>
    <w:rsid w:val="00457539"/>
    <w:rsid w:val="00460676"/>
    <w:rsid w:val="00460959"/>
    <w:rsid w:val="00460A2F"/>
    <w:rsid w:val="00460DFC"/>
    <w:rsid w:val="00461390"/>
    <w:rsid w:val="00462344"/>
    <w:rsid w:val="00462792"/>
    <w:rsid w:val="00462882"/>
    <w:rsid w:val="00462DBD"/>
    <w:rsid w:val="00462DFC"/>
    <w:rsid w:val="00462EC3"/>
    <w:rsid w:val="00463713"/>
    <w:rsid w:val="00464A54"/>
    <w:rsid w:val="00464B57"/>
    <w:rsid w:val="00464CB3"/>
    <w:rsid w:val="00464F15"/>
    <w:rsid w:val="00465E1C"/>
    <w:rsid w:val="00466288"/>
    <w:rsid w:val="00466633"/>
    <w:rsid w:val="00466917"/>
    <w:rsid w:val="00466A68"/>
    <w:rsid w:val="00466E1F"/>
    <w:rsid w:val="0046788A"/>
    <w:rsid w:val="00467A07"/>
    <w:rsid w:val="00467DDF"/>
    <w:rsid w:val="00467E6F"/>
    <w:rsid w:val="0047087C"/>
    <w:rsid w:val="004709CF"/>
    <w:rsid w:val="00470D72"/>
    <w:rsid w:val="0047104F"/>
    <w:rsid w:val="004712BA"/>
    <w:rsid w:val="004715DB"/>
    <w:rsid w:val="004717FC"/>
    <w:rsid w:val="00471DBD"/>
    <w:rsid w:val="00472AD8"/>
    <w:rsid w:val="00472C6D"/>
    <w:rsid w:val="00472D57"/>
    <w:rsid w:val="0047319E"/>
    <w:rsid w:val="0047343D"/>
    <w:rsid w:val="004737AB"/>
    <w:rsid w:val="004737D2"/>
    <w:rsid w:val="00474861"/>
    <w:rsid w:val="004749D1"/>
    <w:rsid w:val="004750E2"/>
    <w:rsid w:val="004756A4"/>
    <w:rsid w:val="0047572F"/>
    <w:rsid w:val="004757DD"/>
    <w:rsid w:val="00475A00"/>
    <w:rsid w:val="00475DE8"/>
    <w:rsid w:val="0047620B"/>
    <w:rsid w:val="004765C1"/>
    <w:rsid w:val="00476839"/>
    <w:rsid w:val="00477156"/>
    <w:rsid w:val="00477658"/>
    <w:rsid w:val="00477886"/>
    <w:rsid w:val="00480042"/>
    <w:rsid w:val="00480314"/>
    <w:rsid w:val="00480836"/>
    <w:rsid w:val="0048093C"/>
    <w:rsid w:val="00480C6C"/>
    <w:rsid w:val="004813F4"/>
    <w:rsid w:val="00481755"/>
    <w:rsid w:val="00481909"/>
    <w:rsid w:val="0048269A"/>
    <w:rsid w:val="00483CE2"/>
    <w:rsid w:val="00483E6B"/>
    <w:rsid w:val="00483EBC"/>
    <w:rsid w:val="004842F9"/>
    <w:rsid w:val="004847E2"/>
    <w:rsid w:val="00484846"/>
    <w:rsid w:val="00484C46"/>
    <w:rsid w:val="004856FD"/>
    <w:rsid w:val="0048633C"/>
    <w:rsid w:val="004865F3"/>
    <w:rsid w:val="00486E0F"/>
    <w:rsid w:val="00487507"/>
    <w:rsid w:val="00487663"/>
    <w:rsid w:val="004877CE"/>
    <w:rsid w:val="00487AA1"/>
    <w:rsid w:val="00487AA5"/>
    <w:rsid w:val="00487D87"/>
    <w:rsid w:val="0049089F"/>
    <w:rsid w:val="0049099D"/>
    <w:rsid w:val="00490E4A"/>
    <w:rsid w:val="00490E94"/>
    <w:rsid w:val="00490EE9"/>
    <w:rsid w:val="004913DD"/>
    <w:rsid w:val="004914C9"/>
    <w:rsid w:val="00491AF2"/>
    <w:rsid w:val="00491DE1"/>
    <w:rsid w:val="00491F25"/>
    <w:rsid w:val="00491FB0"/>
    <w:rsid w:val="00492077"/>
    <w:rsid w:val="004920BE"/>
    <w:rsid w:val="004922CB"/>
    <w:rsid w:val="004923E3"/>
    <w:rsid w:val="00492652"/>
    <w:rsid w:val="00492788"/>
    <w:rsid w:val="00492CC9"/>
    <w:rsid w:val="004930C9"/>
    <w:rsid w:val="004937B0"/>
    <w:rsid w:val="00493F13"/>
    <w:rsid w:val="00494169"/>
    <w:rsid w:val="00494702"/>
    <w:rsid w:val="004948F2"/>
    <w:rsid w:val="004954B5"/>
    <w:rsid w:val="00495607"/>
    <w:rsid w:val="00495774"/>
    <w:rsid w:val="00495F75"/>
    <w:rsid w:val="00496151"/>
    <w:rsid w:val="00496379"/>
    <w:rsid w:val="004968A8"/>
    <w:rsid w:val="004969CB"/>
    <w:rsid w:val="00496CB2"/>
    <w:rsid w:val="00496D6D"/>
    <w:rsid w:val="00497689"/>
    <w:rsid w:val="00497B8B"/>
    <w:rsid w:val="00497DD4"/>
    <w:rsid w:val="004A0111"/>
    <w:rsid w:val="004A0A58"/>
    <w:rsid w:val="004A0E9E"/>
    <w:rsid w:val="004A0FBA"/>
    <w:rsid w:val="004A1431"/>
    <w:rsid w:val="004A16AC"/>
    <w:rsid w:val="004A1B28"/>
    <w:rsid w:val="004A1C37"/>
    <w:rsid w:val="004A20D4"/>
    <w:rsid w:val="004A2BF9"/>
    <w:rsid w:val="004A2C3A"/>
    <w:rsid w:val="004A39B3"/>
    <w:rsid w:val="004A3A16"/>
    <w:rsid w:val="004A443B"/>
    <w:rsid w:val="004A5BC6"/>
    <w:rsid w:val="004A606E"/>
    <w:rsid w:val="004A6087"/>
    <w:rsid w:val="004A67DF"/>
    <w:rsid w:val="004A69F3"/>
    <w:rsid w:val="004A73AA"/>
    <w:rsid w:val="004B014F"/>
    <w:rsid w:val="004B0A99"/>
    <w:rsid w:val="004B0B98"/>
    <w:rsid w:val="004B14D9"/>
    <w:rsid w:val="004B1BF9"/>
    <w:rsid w:val="004B20AC"/>
    <w:rsid w:val="004B2450"/>
    <w:rsid w:val="004B317D"/>
    <w:rsid w:val="004B32FC"/>
    <w:rsid w:val="004B3567"/>
    <w:rsid w:val="004B39AC"/>
    <w:rsid w:val="004B3A7D"/>
    <w:rsid w:val="004B3CEC"/>
    <w:rsid w:val="004B4071"/>
    <w:rsid w:val="004B41CA"/>
    <w:rsid w:val="004B41D3"/>
    <w:rsid w:val="004B4228"/>
    <w:rsid w:val="004B4767"/>
    <w:rsid w:val="004B4A3D"/>
    <w:rsid w:val="004B5ADF"/>
    <w:rsid w:val="004B5DC2"/>
    <w:rsid w:val="004B5EF3"/>
    <w:rsid w:val="004B6067"/>
    <w:rsid w:val="004B66C4"/>
    <w:rsid w:val="004B67FA"/>
    <w:rsid w:val="004B702C"/>
    <w:rsid w:val="004B7411"/>
    <w:rsid w:val="004B74DA"/>
    <w:rsid w:val="004B7A23"/>
    <w:rsid w:val="004B7C2B"/>
    <w:rsid w:val="004C009E"/>
    <w:rsid w:val="004C031E"/>
    <w:rsid w:val="004C0413"/>
    <w:rsid w:val="004C1C10"/>
    <w:rsid w:val="004C1CED"/>
    <w:rsid w:val="004C1F3B"/>
    <w:rsid w:val="004C2707"/>
    <w:rsid w:val="004C30CA"/>
    <w:rsid w:val="004C376F"/>
    <w:rsid w:val="004C431E"/>
    <w:rsid w:val="004C43B3"/>
    <w:rsid w:val="004C458A"/>
    <w:rsid w:val="004C4C7A"/>
    <w:rsid w:val="004C4E08"/>
    <w:rsid w:val="004C4F65"/>
    <w:rsid w:val="004C5347"/>
    <w:rsid w:val="004C5DDA"/>
    <w:rsid w:val="004C5F4E"/>
    <w:rsid w:val="004C60F8"/>
    <w:rsid w:val="004C65C9"/>
    <w:rsid w:val="004C665A"/>
    <w:rsid w:val="004C6876"/>
    <w:rsid w:val="004C6BE5"/>
    <w:rsid w:val="004C6EDF"/>
    <w:rsid w:val="004C6F08"/>
    <w:rsid w:val="004C75F6"/>
    <w:rsid w:val="004C7DEF"/>
    <w:rsid w:val="004D0198"/>
    <w:rsid w:val="004D0314"/>
    <w:rsid w:val="004D0661"/>
    <w:rsid w:val="004D0892"/>
    <w:rsid w:val="004D0E36"/>
    <w:rsid w:val="004D0E83"/>
    <w:rsid w:val="004D15F0"/>
    <w:rsid w:val="004D1AD3"/>
    <w:rsid w:val="004D311F"/>
    <w:rsid w:val="004D377C"/>
    <w:rsid w:val="004D47C1"/>
    <w:rsid w:val="004D4B5F"/>
    <w:rsid w:val="004D4EF0"/>
    <w:rsid w:val="004D52E2"/>
    <w:rsid w:val="004D54BD"/>
    <w:rsid w:val="004D6524"/>
    <w:rsid w:val="004D68B9"/>
    <w:rsid w:val="004D68BE"/>
    <w:rsid w:val="004D6BD9"/>
    <w:rsid w:val="004D6CE6"/>
    <w:rsid w:val="004D6F25"/>
    <w:rsid w:val="004D7264"/>
    <w:rsid w:val="004D789A"/>
    <w:rsid w:val="004D7B89"/>
    <w:rsid w:val="004E0134"/>
    <w:rsid w:val="004E0695"/>
    <w:rsid w:val="004E081A"/>
    <w:rsid w:val="004E09DC"/>
    <w:rsid w:val="004E0C7A"/>
    <w:rsid w:val="004E0F90"/>
    <w:rsid w:val="004E1162"/>
    <w:rsid w:val="004E13CC"/>
    <w:rsid w:val="004E15AE"/>
    <w:rsid w:val="004E1731"/>
    <w:rsid w:val="004E1D47"/>
    <w:rsid w:val="004E20A2"/>
    <w:rsid w:val="004E24CA"/>
    <w:rsid w:val="004E2A05"/>
    <w:rsid w:val="004E31BA"/>
    <w:rsid w:val="004E3436"/>
    <w:rsid w:val="004E3872"/>
    <w:rsid w:val="004E3966"/>
    <w:rsid w:val="004E39F8"/>
    <w:rsid w:val="004E3AFB"/>
    <w:rsid w:val="004E3D62"/>
    <w:rsid w:val="004E3DBA"/>
    <w:rsid w:val="004E4295"/>
    <w:rsid w:val="004E43D2"/>
    <w:rsid w:val="004E45A3"/>
    <w:rsid w:val="004E4646"/>
    <w:rsid w:val="004E46DA"/>
    <w:rsid w:val="004E4A1A"/>
    <w:rsid w:val="004E4E79"/>
    <w:rsid w:val="004E59B2"/>
    <w:rsid w:val="004E5B4A"/>
    <w:rsid w:val="004E5E56"/>
    <w:rsid w:val="004E604F"/>
    <w:rsid w:val="004E73E8"/>
    <w:rsid w:val="004E74EC"/>
    <w:rsid w:val="004E7BF8"/>
    <w:rsid w:val="004E7DEA"/>
    <w:rsid w:val="004F03AF"/>
    <w:rsid w:val="004F04CD"/>
    <w:rsid w:val="004F0789"/>
    <w:rsid w:val="004F0914"/>
    <w:rsid w:val="004F141F"/>
    <w:rsid w:val="004F2000"/>
    <w:rsid w:val="004F2318"/>
    <w:rsid w:val="004F24FB"/>
    <w:rsid w:val="004F26ED"/>
    <w:rsid w:val="004F2F44"/>
    <w:rsid w:val="004F2F68"/>
    <w:rsid w:val="004F3176"/>
    <w:rsid w:val="004F3D32"/>
    <w:rsid w:val="004F4735"/>
    <w:rsid w:val="004F51D3"/>
    <w:rsid w:val="004F539C"/>
    <w:rsid w:val="004F5B6B"/>
    <w:rsid w:val="004F5B94"/>
    <w:rsid w:val="004F5BC4"/>
    <w:rsid w:val="004F63B9"/>
    <w:rsid w:val="004F663C"/>
    <w:rsid w:val="004F6C88"/>
    <w:rsid w:val="004F709F"/>
    <w:rsid w:val="004F7288"/>
    <w:rsid w:val="004F767C"/>
    <w:rsid w:val="00500010"/>
    <w:rsid w:val="005001BC"/>
    <w:rsid w:val="00500BFA"/>
    <w:rsid w:val="00500DD6"/>
    <w:rsid w:val="005013E6"/>
    <w:rsid w:val="00501648"/>
    <w:rsid w:val="00501C83"/>
    <w:rsid w:val="005024E0"/>
    <w:rsid w:val="0050271A"/>
    <w:rsid w:val="00502E71"/>
    <w:rsid w:val="00502EA5"/>
    <w:rsid w:val="00503A88"/>
    <w:rsid w:val="005042A1"/>
    <w:rsid w:val="005042BC"/>
    <w:rsid w:val="00504C80"/>
    <w:rsid w:val="00505568"/>
    <w:rsid w:val="0050598A"/>
    <w:rsid w:val="005061E5"/>
    <w:rsid w:val="005062B4"/>
    <w:rsid w:val="00506384"/>
    <w:rsid w:val="00506F08"/>
    <w:rsid w:val="005074FD"/>
    <w:rsid w:val="00507B6A"/>
    <w:rsid w:val="005104CF"/>
    <w:rsid w:val="00510E7E"/>
    <w:rsid w:val="00510F27"/>
    <w:rsid w:val="00511504"/>
    <w:rsid w:val="005119C0"/>
    <w:rsid w:val="00511B57"/>
    <w:rsid w:val="00511EE9"/>
    <w:rsid w:val="00512653"/>
    <w:rsid w:val="005133D4"/>
    <w:rsid w:val="00513759"/>
    <w:rsid w:val="005137A8"/>
    <w:rsid w:val="00514262"/>
    <w:rsid w:val="00514327"/>
    <w:rsid w:val="00514D54"/>
    <w:rsid w:val="00515531"/>
    <w:rsid w:val="005156C2"/>
    <w:rsid w:val="005159CD"/>
    <w:rsid w:val="00515C6E"/>
    <w:rsid w:val="005160E2"/>
    <w:rsid w:val="005161AD"/>
    <w:rsid w:val="00516BBA"/>
    <w:rsid w:val="00516CBD"/>
    <w:rsid w:val="00516EB9"/>
    <w:rsid w:val="005170B4"/>
    <w:rsid w:val="0051752A"/>
    <w:rsid w:val="00517CD0"/>
    <w:rsid w:val="00517F39"/>
    <w:rsid w:val="00517FBF"/>
    <w:rsid w:val="005203E7"/>
    <w:rsid w:val="005210FA"/>
    <w:rsid w:val="005211AC"/>
    <w:rsid w:val="0052127C"/>
    <w:rsid w:val="00521371"/>
    <w:rsid w:val="005214E2"/>
    <w:rsid w:val="00521531"/>
    <w:rsid w:val="00521617"/>
    <w:rsid w:val="005217E8"/>
    <w:rsid w:val="00522945"/>
    <w:rsid w:val="00523070"/>
    <w:rsid w:val="00523380"/>
    <w:rsid w:val="005239B7"/>
    <w:rsid w:val="00523BC0"/>
    <w:rsid w:val="00523BD2"/>
    <w:rsid w:val="00523CBE"/>
    <w:rsid w:val="00523FAF"/>
    <w:rsid w:val="00524146"/>
    <w:rsid w:val="00524613"/>
    <w:rsid w:val="00524713"/>
    <w:rsid w:val="00524C53"/>
    <w:rsid w:val="00524CB9"/>
    <w:rsid w:val="00524E6C"/>
    <w:rsid w:val="00524EA5"/>
    <w:rsid w:val="00525071"/>
    <w:rsid w:val="00525257"/>
    <w:rsid w:val="00525345"/>
    <w:rsid w:val="00525B14"/>
    <w:rsid w:val="00525B7E"/>
    <w:rsid w:val="00525D95"/>
    <w:rsid w:val="005260E6"/>
    <w:rsid w:val="0052633F"/>
    <w:rsid w:val="0052674D"/>
    <w:rsid w:val="00526B74"/>
    <w:rsid w:val="00526DB4"/>
    <w:rsid w:val="0052707E"/>
    <w:rsid w:val="00527144"/>
    <w:rsid w:val="00527332"/>
    <w:rsid w:val="00527901"/>
    <w:rsid w:val="00527AC5"/>
    <w:rsid w:val="00527EDB"/>
    <w:rsid w:val="005300D2"/>
    <w:rsid w:val="0053043B"/>
    <w:rsid w:val="0053046E"/>
    <w:rsid w:val="00530B61"/>
    <w:rsid w:val="00530FDE"/>
    <w:rsid w:val="0053152B"/>
    <w:rsid w:val="00531A98"/>
    <w:rsid w:val="00531CF0"/>
    <w:rsid w:val="00531E6A"/>
    <w:rsid w:val="005320F7"/>
    <w:rsid w:val="00532623"/>
    <w:rsid w:val="0053266E"/>
    <w:rsid w:val="0053269F"/>
    <w:rsid w:val="0053288C"/>
    <w:rsid w:val="00532B67"/>
    <w:rsid w:val="00532B8D"/>
    <w:rsid w:val="00532E70"/>
    <w:rsid w:val="00533A1F"/>
    <w:rsid w:val="005342A1"/>
    <w:rsid w:val="005349F6"/>
    <w:rsid w:val="00534CF1"/>
    <w:rsid w:val="0053580A"/>
    <w:rsid w:val="0053590B"/>
    <w:rsid w:val="00535D0B"/>
    <w:rsid w:val="0053607E"/>
    <w:rsid w:val="00536119"/>
    <w:rsid w:val="00536390"/>
    <w:rsid w:val="0053646A"/>
    <w:rsid w:val="0053674A"/>
    <w:rsid w:val="00536EB8"/>
    <w:rsid w:val="0053709A"/>
    <w:rsid w:val="0053720F"/>
    <w:rsid w:val="00537407"/>
    <w:rsid w:val="00537415"/>
    <w:rsid w:val="00537739"/>
    <w:rsid w:val="00537E6A"/>
    <w:rsid w:val="00540A25"/>
    <w:rsid w:val="00540B24"/>
    <w:rsid w:val="005415DB"/>
    <w:rsid w:val="005416BB"/>
    <w:rsid w:val="005418E2"/>
    <w:rsid w:val="00541A87"/>
    <w:rsid w:val="00541CC7"/>
    <w:rsid w:val="00541D3C"/>
    <w:rsid w:val="005420B3"/>
    <w:rsid w:val="00542445"/>
    <w:rsid w:val="005426DA"/>
    <w:rsid w:val="0054272F"/>
    <w:rsid w:val="00542F7E"/>
    <w:rsid w:val="00543B10"/>
    <w:rsid w:val="00543FE7"/>
    <w:rsid w:val="00544139"/>
    <w:rsid w:val="00544D59"/>
    <w:rsid w:val="00545235"/>
    <w:rsid w:val="005452F5"/>
    <w:rsid w:val="00545A46"/>
    <w:rsid w:val="00546054"/>
    <w:rsid w:val="005466DD"/>
    <w:rsid w:val="00546765"/>
    <w:rsid w:val="00546871"/>
    <w:rsid w:val="00547229"/>
    <w:rsid w:val="00547850"/>
    <w:rsid w:val="00547879"/>
    <w:rsid w:val="005478E6"/>
    <w:rsid w:val="005479F1"/>
    <w:rsid w:val="00547B59"/>
    <w:rsid w:val="00547D22"/>
    <w:rsid w:val="00547E58"/>
    <w:rsid w:val="00547FD8"/>
    <w:rsid w:val="00550288"/>
    <w:rsid w:val="005509A3"/>
    <w:rsid w:val="00550D79"/>
    <w:rsid w:val="005517D2"/>
    <w:rsid w:val="00551840"/>
    <w:rsid w:val="00551A8A"/>
    <w:rsid w:val="00551AB3"/>
    <w:rsid w:val="00551D2E"/>
    <w:rsid w:val="00552143"/>
    <w:rsid w:val="005523C9"/>
    <w:rsid w:val="00552767"/>
    <w:rsid w:val="0055294B"/>
    <w:rsid w:val="005529F1"/>
    <w:rsid w:val="00552DD1"/>
    <w:rsid w:val="00553279"/>
    <w:rsid w:val="0055332C"/>
    <w:rsid w:val="0055349C"/>
    <w:rsid w:val="005536CF"/>
    <w:rsid w:val="0055394B"/>
    <w:rsid w:val="00553C93"/>
    <w:rsid w:val="00553FA6"/>
    <w:rsid w:val="0055409C"/>
    <w:rsid w:val="00554124"/>
    <w:rsid w:val="0055413D"/>
    <w:rsid w:val="005544B3"/>
    <w:rsid w:val="005548D7"/>
    <w:rsid w:val="00554D59"/>
    <w:rsid w:val="00554E40"/>
    <w:rsid w:val="00554F97"/>
    <w:rsid w:val="00554FAB"/>
    <w:rsid w:val="005550E1"/>
    <w:rsid w:val="005554C2"/>
    <w:rsid w:val="00555ED2"/>
    <w:rsid w:val="00556745"/>
    <w:rsid w:val="00556C0A"/>
    <w:rsid w:val="00557038"/>
    <w:rsid w:val="00557071"/>
    <w:rsid w:val="005571CE"/>
    <w:rsid w:val="0055775F"/>
    <w:rsid w:val="00557B21"/>
    <w:rsid w:val="00557E0E"/>
    <w:rsid w:val="00557E48"/>
    <w:rsid w:val="00560BE0"/>
    <w:rsid w:val="005613FE"/>
    <w:rsid w:val="00561891"/>
    <w:rsid w:val="00562A60"/>
    <w:rsid w:val="00562AE4"/>
    <w:rsid w:val="00564889"/>
    <w:rsid w:val="00564B27"/>
    <w:rsid w:val="00564C46"/>
    <w:rsid w:val="00564C9B"/>
    <w:rsid w:val="00564DE4"/>
    <w:rsid w:val="00564EF6"/>
    <w:rsid w:val="00564FA7"/>
    <w:rsid w:val="00565365"/>
    <w:rsid w:val="00565386"/>
    <w:rsid w:val="0056542C"/>
    <w:rsid w:val="005657D7"/>
    <w:rsid w:val="00565A20"/>
    <w:rsid w:val="00565BA1"/>
    <w:rsid w:val="00565BFE"/>
    <w:rsid w:val="005661AF"/>
    <w:rsid w:val="005668D1"/>
    <w:rsid w:val="0056691D"/>
    <w:rsid w:val="00567355"/>
    <w:rsid w:val="0056756C"/>
    <w:rsid w:val="005679D6"/>
    <w:rsid w:val="00567D22"/>
    <w:rsid w:val="00567F9E"/>
    <w:rsid w:val="00567FC1"/>
    <w:rsid w:val="00570058"/>
    <w:rsid w:val="0057013D"/>
    <w:rsid w:val="0057038E"/>
    <w:rsid w:val="00570A13"/>
    <w:rsid w:val="00570B11"/>
    <w:rsid w:val="005710C0"/>
    <w:rsid w:val="005718EC"/>
    <w:rsid w:val="00571C23"/>
    <w:rsid w:val="00572252"/>
    <w:rsid w:val="00572297"/>
    <w:rsid w:val="00572482"/>
    <w:rsid w:val="005727F7"/>
    <w:rsid w:val="005728D8"/>
    <w:rsid w:val="00572C96"/>
    <w:rsid w:val="00572D93"/>
    <w:rsid w:val="005730AB"/>
    <w:rsid w:val="005730C8"/>
    <w:rsid w:val="00573521"/>
    <w:rsid w:val="00573774"/>
    <w:rsid w:val="00573EAB"/>
    <w:rsid w:val="0057434E"/>
    <w:rsid w:val="005748E5"/>
    <w:rsid w:val="005750C2"/>
    <w:rsid w:val="0057515A"/>
    <w:rsid w:val="00575BC1"/>
    <w:rsid w:val="005766AA"/>
    <w:rsid w:val="00576B32"/>
    <w:rsid w:val="00576DE4"/>
    <w:rsid w:val="00576FB2"/>
    <w:rsid w:val="00577129"/>
    <w:rsid w:val="00577721"/>
    <w:rsid w:val="005777C5"/>
    <w:rsid w:val="0058007A"/>
    <w:rsid w:val="00580937"/>
    <w:rsid w:val="00580CD8"/>
    <w:rsid w:val="00580F61"/>
    <w:rsid w:val="00580F93"/>
    <w:rsid w:val="00581832"/>
    <w:rsid w:val="00582103"/>
    <w:rsid w:val="005828F1"/>
    <w:rsid w:val="00582E34"/>
    <w:rsid w:val="00582F0A"/>
    <w:rsid w:val="005830F2"/>
    <w:rsid w:val="005835DA"/>
    <w:rsid w:val="00583C3B"/>
    <w:rsid w:val="005843CD"/>
    <w:rsid w:val="00585A77"/>
    <w:rsid w:val="00585ABE"/>
    <w:rsid w:val="00585DEE"/>
    <w:rsid w:val="00585E2D"/>
    <w:rsid w:val="00585EBF"/>
    <w:rsid w:val="00585F7D"/>
    <w:rsid w:val="00585FAF"/>
    <w:rsid w:val="0058606B"/>
    <w:rsid w:val="00586239"/>
    <w:rsid w:val="0058649D"/>
    <w:rsid w:val="005868D0"/>
    <w:rsid w:val="00586FF6"/>
    <w:rsid w:val="0058712F"/>
    <w:rsid w:val="005873D4"/>
    <w:rsid w:val="005875DB"/>
    <w:rsid w:val="00587800"/>
    <w:rsid w:val="00587993"/>
    <w:rsid w:val="00587B01"/>
    <w:rsid w:val="0059095A"/>
    <w:rsid w:val="00590BA5"/>
    <w:rsid w:val="00590F0B"/>
    <w:rsid w:val="005912B0"/>
    <w:rsid w:val="005914A0"/>
    <w:rsid w:val="0059164A"/>
    <w:rsid w:val="00591C47"/>
    <w:rsid w:val="00591C73"/>
    <w:rsid w:val="005922B5"/>
    <w:rsid w:val="005923EC"/>
    <w:rsid w:val="00592725"/>
    <w:rsid w:val="005928C5"/>
    <w:rsid w:val="00592E63"/>
    <w:rsid w:val="0059324C"/>
    <w:rsid w:val="00593297"/>
    <w:rsid w:val="005932E4"/>
    <w:rsid w:val="005935DA"/>
    <w:rsid w:val="0059381A"/>
    <w:rsid w:val="00593C34"/>
    <w:rsid w:val="00594879"/>
    <w:rsid w:val="005948A6"/>
    <w:rsid w:val="00594D73"/>
    <w:rsid w:val="00594E6B"/>
    <w:rsid w:val="00595AB2"/>
    <w:rsid w:val="00596854"/>
    <w:rsid w:val="00597031"/>
    <w:rsid w:val="005978A0"/>
    <w:rsid w:val="00597A30"/>
    <w:rsid w:val="00597A74"/>
    <w:rsid w:val="00597E5D"/>
    <w:rsid w:val="00597FA3"/>
    <w:rsid w:val="005A0129"/>
    <w:rsid w:val="005A0464"/>
    <w:rsid w:val="005A0EFB"/>
    <w:rsid w:val="005A1885"/>
    <w:rsid w:val="005A21BC"/>
    <w:rsid w:val="005A2571"/>
    <w:rsid w:val="005A2B2D"/>
    <w:rsid w:val="005A3963"/>
    <w:rsid w:val="005A3CA5"/>
    <w:rsid w:val="005A44CA"/>
    <w:rsid w:val="005A4CCA"/>
    <w:rsid w:val="005A53AD"/>
    <w:rsid w:val="005A5A32"/>
    <w:rsid w:val="005A5C2A"/>
    <w:rsid w:val="005A5C9B"/>
    <w:rsid w:val="005A6AC4"/>
    <w:rsid w:val="005A6AE8"/>
    <w:rsid w:val="005A7007"/>
    <w:rsid w:val="005A72D7"/>
    <w:rsid w:val="005A73B5"/>
    <w:rsid w:val="005A7911"/>
    <w:rsid w:val="005A7BE4"/>
    <w:rsid w:val="005A7EBB"/>
    <w:rsid w:val="005B035A"/>
    <w:rsid w:val="005B0468"/>
    <w:rsid w:val="005B0BCF"/>
    <w:rsid w:val="005B10D9"/>
    <w:rsid w:val="005B1589"/>
    <w:rsid w:val="005B197F"/>
    <w:rsid w:val="005B1C5D"/>
    <w:rsid w:val="005B2017"/>
    <w:rsid w:val="005B2434"/>
    <w:rsid w:val="005B2748"/>
    <w:rsid w:val="005B2B3E"/>
    <w:rsid w:val="005B2C29"/>
    <w:rsid w:val="005B2DF0"/>
    <w:rsid w:val="005B32E1"/>
    <w:rsid w:val="005B3401"/>
    <w:rsid w:val="005B3653"/>
    <w:rsid w:val="005B3700"/>
    <w:rsid w:val="005B372F"/>
    <w:rsid w:val="005B3AF5"/>
    <w:rsid w:val="005B4024"/>
    <w:rsid w:val="005B4114"/>
    <w:rsid w:val="005B415D"/>
    <w:rsid w:val="005B41BF"/>
    <w:rsid w:val="005B4374"/>
    <w:rsid w:val="005B4559"/>
    <w:rsid w:val="005B4689"/>
    <w:rsid w:val="005B4C2D"/>
    <w:rsid w:val="005B5237"/>
    <w:rsid w:val="005B54E9"/>
    <w:rsid w:val="005B5773"/>
    <w:rsid w:val="005B5BCD"/>
    <w:rsid w:val="005B6604"/>
    <w:rsid w:val="005B6999"/>
    <w:rsid w:val="005B6C1F"/>
    <w:rsid w:val="005B7212"/>
    <w:rsid w:val="005B77C7"/>
    <w:rsid w:val="005B79D1"/>
    <w:rsid w:val="005B7B29"/>
    <w:rsid w:val="005B7BF4"/>
    <w:rsid w:val="005C0F0A"/>
    <w:rsid w:val="005C109C"/>
    <w:rsid w:val="005C1D39"/>
    <w:rsid w:val="005C1D42"/>
    <w:rsid w:val="005C2439"/>
    <w:rsid w:val="005C2746"/>
    <w:rsid w:val="005C2B9F"/>
    <w:rsid w:val="005C2F7B"/>
    <w:rsid w:val="005C32A6"/>
    <w:rsid w:val="005C3A1E"/>
    <w:rsid w:val="005C3FEE"/>
    <w:rsid w:val="005C408D"/>
    <w:rsid w:val="005C4796"/>
    <w:rsid w:val="005C4CC2"/>
    <w:rsid w:val="005C4E3B"/>
    <w:rsid w:val="005C4F64"/>
    <w:rsid w:val="005C5566"/>
    <w:rsid w:val="005C5AE4"/>
    <w:rsid w:val="005C5C59"/>
    <w:rsid w:val="005C5E87"/>
    <w:rsid w:val="005C5F0E"/>
    <w:rsid w:val="005C60CB"/>
    <w:rsid w:val="005C63FC"/>
    <w:rsid w:val="005C64A4"/>
    <w:rsid w:val="005C6A2F"/>
    <w:rsid w:val="005C70EE"/>
    <w:rsid w:val="005C71AA"/>
    <w:rsid w:val="005C73FB"/>
    <w:rsid w:val="005C7C55"/>
    <w:rsid w:val="005C7FB2"/>
    <w:rsid w:val="005D051A"/>
    <w:rsid w:val="005D0878"/>
    <w:rsid w:val="005D08F9"/>
    <w:rsid w:val="005D0A1C"/>
    <w:rsid w:val="005D114B"/>
    <w:rsid w:val="005D1767"/>
    <w:rsid w:val="005D2250"/>
    <w:rsid w:val="005D25CB"/>
    <w:rsid w:val="005D30DB"/>
    <w:rsid w:val="005D3640"/>
    <w:rsid w:val="005D3712"/>
    <w:rsid w:val="005D3747"/>
    <w:rsid w:val="005D4088"/>
    <w:rsid w:val="005D43CB"/>
    <w:rsid w:val="005D4951"/>
    <w:rsid w:val="005D6209"/>
    <w:rsid w:val="005D6312"/>
    <w:rsid w:val="005D6890"/>
    <w:rsid w:val="005D707E"/>
    <w:rsid w:val="005D7574"/>
    <w:rsid w:val="005D7577"/>
    <w:rsid w:val="005D77BD"/>
    <w:rsid w:val="005D7867"/>
    <w:rsid w:val="005D7AF3"/>
    <w:rsid w:val="005D7EEA"/>
    <w:rsid w:val="005D7F1C"/>
    <w:rsid w:val="005E019A"/>
    <w:rsid w:val="005E0670"/>
    <w:rsid w:val="005E0989"/>
    <w:rsid w:val="005E09E5"/>
    <w:rsid w:val="005E0A3F"/>
    <w:rsid w:val="005E0EE0"/>
    <w:rsid w:val="005E0F68"/>
    <w:rsid w:val="005E0F9B"/>
    <w:rsid w:val="005E0FB0"/>
    <w:rsid w:val="005E12E0"/>
    <w:rsid w:val="005E1717"/>
    <w:rsid w:val="005E1A9F"/>
    <w:rsid w:val="005E1E33"/>
    <w:rsid w:val="005E2907"/>
    <w:rsid w:val="005E2B9E"/>
    <w:rsid w:val="005E3057"/>
    <w:rsid w:val="005E3375"/>
    <w:rsid w:val="005E3957"/>
    <w:rsid w:val="005E3A2A"/>
    <w:rsid w:val="005E3EA2"/>
    <w:rsid w:val="005E42E3"/>
    <w:rsid w:val="005E5002"/>
    <w:rsid w:val="005E50DF"/>
    <w:rsid w:val="005E53B2"/>
    <w:rsid w:val="005E53F6"/>
    <w:rsid w:val="005E59EE"/>
    <w:rsid w:val="005E5D7B"/>
    <w:rsid w:val="005E6014"/>
    <w:rsid w:val="005E6143"/>
    <w:rsid w:val="005E618A"/>
    <w:rsid w:val="005E6419"/>
    <w:rsid w:val="005E6475"/>
    <w:rsid w:val="005E661E"/>
    <w:rsid w:val="005E670D"/>
    <w:rsid w:val="005E6B8D"/>
    <w:rsid w:val="005E6F26"/>
    <w:rsid w:val="005E7AC0"/>
    <w:rsid w:val="005E7BE5"/>
    <w:rsid w:val="005E7E1E"/>
    <w:rsid w:val="005F09AA"/>
    <w:rsid w:val="005F0E48"/>
    <w:rsid w:val="005F120A"/>
    <w:rsid w:val="005F1247"/>
    <w:rsid w:val="005F12B4"/>
    <w:rsid w:val="005F162B"/>
    <w:rsid w:val="005F1F3A"/>
    <w:rsid w:val="005F282D"/>
    <w:rsid w:val="005F32FC"/>
    <w:rsid w:val="005F33C2"/>
    <w:rsid w:val="005F374A"/>
    <w:rsid w:val="005F3781"/>
    <w:rsid w:val="005F3C83"/>
    <w:rsid w:val="005F4066"/>
    <w:rsid w:val="005F411A"/>
    <w:rsid w:val="005F480E"/>
    <w:rsid w:val="005F4CC4"/>
    <w:rsid w:val="005F4EE3"/>
    <w:rsid w:val="005F5068"/>
    <w:rsid w:val="005F585D"/>
    <w:rsid w:val="005F5AD1"/>
    <w:rsid w:val="005F5F63"/>
    <w:rsid w:val="005F6133"/>
    <w:rsid w:val="005F65F9"/>
    <w:rsid w:val="005F661F"/>
    <w:rsid w:val="005F6BAB"/>
    <w:rsid w:val="005F6D10"/>
    <w:rsid w:val="005F6E29"/>
    <w:rsid w:val="005F7245"/>
    <w:rsid w:val="005F76BD"/>
    <w:rsid w:val="005F770F"/>
    <w:rsid w:val="005F7C0E"/>
    <w:rsid w:val="0060032E"/>
    <w:rsid w:val="006004E2"/>
    <w:rsid w:val="006006E5"/>
    <w:rsid w:val="00600794"/>
    <w:rsid w:val="00600C91"/>
    <w:rsid w:val="0060171A"/>
    <w:rsid w:val="00601B4A"/>
    <w:rsid w:val="00601C10"/>
    <w:rsid w:val="00601C6D"/>
    <w:rsid w:val="00601D77"/>
    <w:rsid w:val="00601E0C"/>
    <w:rsid w:val="00601E59"/>
    <w:rsid w:val="00601F31"/>
    <w:rsid w:val="006029EF"/>
    <w:rsid w:val="00602B13"/>
    <w:rsid w:val="006031AD"/>
    <w:rsid w:val="00603524"/>
    <w:rsid w:val="00603C32"/>
    <w:rsid w:val="00603C8F"/>
    <w:rsid w:val="00603D3A"/>
    <w:rsid w:val="006040AB"/>
    <w:rsid w:val="006043AE"/>
    <w:rsid w:val="00604699"/>
    <w:rsid w:val="006046D4"/>
    <w:rsid w:val="0060482E"/>
    <w:rsid w:val="00604F99"/>
    <w:rsid w:val="00605251"/>
    <w:rsid w:val="00605D5C"/>
    <w:rsid w:val="00606298"/>
    <w:rsid w:val="006062A6"/>
    <w:rsid w:val="00606840"/>
    <w:rsid w:val="00606DF1"/>
    <w:rsid w:val="006073CE"/>
    <w:rsid w:val="0060764B"/>
    <w:rsid w:val="00607658"/>
    <w:rsid w:val="00607B0C"/>
    <w:rsid w:val="00610BF6"/>
    <w:rsid w:val="00610DF4"/>
    <w:rsid w:val="00610E61"/>
    <w:rsid w:val="00611140"/>
    <w:rsid w:val="006114AE"/>
    <w:rsid w:val="006124DD"/>
    <w:rsid w:val="006127AB"/>
    <w:rsid w:val="0061290D"/>
    <w:rsid w:val="00612DE7"/>
    <w:rsid w:val="006130EE"/>
    <w:rsid w:val="00613123"/>
    <w:rsid w:val="006131CE"/>
    <w:rsid w:val="006138C0"/>
    <w:rsid w:val="00613A29"/>
    <w:rsid w:val="00613AA5"/>
    <w:rsid w:val="00613EF5"/>
    <w:rsid w:val="0061441E"/>
    <w:rsid w:val="00614434"/>
    <w:rsid w:val="006147E5"/>
    <w:rsid w:val="006149DB"/>
    <w:rsid w:val="00615836"/>
    <w:rsid w:val="00615D2C"/>
    <w:rsid w:val="00615DFD"/>
    <w:rsid w:val="00615E6C"/>
    <w:rsid w:val="00616104"/>
    <w:rsid w:val="0061611D"/>
    <w:rsid w:val="00616AAF"/>
    <w:rsid w:val="00616BDD"/>
    <w:rsid w:val="006173C1"/>
    <w:rsid w:val="00617584"/>
    <w:rsid w:val="006176D9"/>
    <w:rsid w:val="00617B03"/>
    <w:rsid w:val="00617E61"/>
    <w:rsid w:val="0062059F"/>
    <w:rsid w:val="00620605"/>
    <w:rsid w:val="00620751"/>
    <w:rsid w:val="006207FA"/>
    <w:rsid w:val="006211CD"/>
    <w:rsid w:val="00621247"/>
    <w:rsid w:val="006226A2"/>
    <w:rsid w:val="00622BD3"/>
    <w:rsid w:val="00622E44"/>
    <w:rsid w:val="00623453"/>
    <w:rsid w:val="00623C52"/>
    <w:rsid w:val="00623CD9"/>
    <w:rsid w:val="00623E83"/>
    <w:rsid w:val="00624692"/>
    <w:rsid w:val="006248CA"/>
    <w:rsid w:val="00624A65"/>
    <w:rsid w:val="00625445"/>
    <w:rsid w:val="00625876"/>
    <w:rsid w:val="0062612B"/>
    <w:rsid w:val="006267F7"/>
    <w:rsid w:val="0062731C"/>
    <w:rsid w:val="006308FC"/>
    <w:rsid w:val="006309E0"/>
    <w:rsid w:val="006311F1"/>
    <w:rsid w:val="006314C2"/>
    <w:rsid w:val="00631843"/>
    <w:rsid w:val="00631C37"/>
    <w:rsid w:val="0063209E"/>
    <w:rsid w:val="006320EC"/>
    <w:rsid w:val="0063233E"/>
    <w:rsid w:val="0063260C"/>
    <w:rsid w:val="006326C5"/>
    <w:rsid w:val="00632A6F"/>
    <w:rsid w:val="00632AF3"/>
    <w:rsid w:val="00633754"/>
    <w:rsid w:val="006337E6"/>
    <w:rsid w:val="00633965"/>
    <w:rsid w:val="0063405A"/>
    <w:rsid w:val="00635029"/>
    <w:rsid w:val="00635743"/>
    <w:rsid w:val="00635AD4"/>
    <w:rsid w:val="00636B48"/>
    <w:rsid w:val="00636CD7"/>
    <w:rsid w:val="00636CE4"/>
    <w:rsid w:val="0063794E"/>
    <w:rsid w:val="00637AF9"/>
    <w:rsid w:val="00640454"/>
    <w:rsid w:val="0064046C"/>
    <w:rsid w:val="006406EE"/>
    <w:rsid w:val="00641023"/>
    <w:rsid w:val="006412EB"/>
    <w:rsid w:val="00641482"/>
    <w:rsid w:val="00641A26"/>
    <w:rsid w:val="00641E21"/>
    <w:rsid w:val="0064274E"/>
    <w:rsid w:val="00642AF6"/>
    <w:rsid w:val="00642E5B"/>
    <w:rsid w:val="00642EEF"/>
    <w:rsid w:val="0064302D"/>
    <w:rsid w:val="006438FE"/>
    <w:rsid w:val="006440AB"/>
    <w:rsid w:val="00644788"/>
    <w:rsid w:val="00644D2E"/>
    <w:rsid w:val="006459AD"/>
    <w:rsid w:val="00645E9B"/>
    <w:rsid w:val="006464AC"/>
    <w:rsid w:val="006466C6"/>
    <w:rsid w:val="006469C2"/>
    <w:rsid w:val="00646A3A"/>
    <w:rsid w:val="00646F69"/>
    <w:rsid w:val="00647013"/>
    <w:rsid w:val="00647516"/>
    <w:rsid w:val="00647C7E"/>
    <w:rsid w:val="00650178"/>
    <w:rsid w:val="006502ED"/>
    <w:rsid w:val="006505BB"/>
    <w:rsid w:val="00650C67"/>
    <w:rsid w:val="006512F0"/>
    <w:rsid w:val="00651354"/>
    <w:rsid w:val="0065135E"/>
    <w:rsid w:val="006517D3"/>
    <w:rsid w:val="00651ADF"/>
    <w:rsid w:val="00651FFE"/>
    <w:rsid w:val="006525FA"/>
    <w:rsid w:val="00652861"/>
    <w:rsid w:val="00652911"/>
    <w:rsid w:val="00652B05"/>
    <w:rsid w:val="00652BF0"/>
    <w:rsid w:val="00652F60"/>
    <w:rsid w:val="00652FB4"/>
    <w:rsid w:val="00653B3C"/>
    <w:rsid w:val="00653F1C"/>
    <w:rsid w:val="0065423E"/>
    <w:rsid w:val="006544D0"/>
    <w:rsid w:val="00654637"/>
    <w:rsid w:val="0065486D"/>
    <w:rsid w:val="00654A03"/>
    <w:rsid w:val="00654CF7"/>
    <w:rsid w:val="00654D82"/>
    <w:rsid w:val="00654FEE"/>
    <w:rsid w:val="0065544D"/>
    <w:rsid w:val="006554E5"/>
    <w:rsid w:val="00655915"/>
    <w:rsid w:val="00656380"/>
    <w:rsid w:val="00656AE0"/>
    <w:rsid w:val="00656BDE"/>
    <w:rsid w:val="00656DBF"/>
    <w:rsid w:val="00657160"/>
    <w:rsid w:val="006573F5"/>
    <w:rsid w:val="006576B5"/>
    <w:rsid w:val="006577D7"/>
    <w:rsid w:val="006577FA"/>
    <w:rsid w:val="006600B7"/>
    <w:rsid w:val="00660629"/>
    <w:rsid w:val="006608F8"/>
    <w:rsid w:val="00660987"/>
    <w:rsid w:val="00660C93"/>
    <w:rsid w:val="00661B4C"/>
    <w:rsid w:val="00661BE3"/>
    <w:rsid w:val="00662282"/>
    <w:rsid w:val="006629AB"/>
    <w:rsid w:val="00662ECD"/>
    <w:rsid w:val="0066339D"/>
    <w:rsid w:val="006637F7"/>
    <w:rsid w:val="00663E3B"/>
    <w:rsid w:val="00663ECC"/>
    <w:rsid w:val="00664431"/>
    <w:rsid w:val="00664474"/>
    <w:rsid w:val="0066448E"/>
    <w:rsid w:val="0066459B"/>
    <w:rsid w:val="00664D95"/>
    <w:rsid w:val="00664FC5"/>
    <w:rsid w:val="00665539"/>
    <w:rsid w:val="00665594"/>
    <w:rsid w:val="0066586D"/>
    <w:rsid w:val="006658F0"/>
    <w:rsid w:val="00665DDF"/>
    <w:rsid w:val="00665F0E"/>
    <w:rsid w:val="006662BA"/>
    <w:rsid w:val="00666332"/>
    <w:rsid w:val="0066642F"/>
    <w:rsid w:val="006666FD"/>
    <w:rsid w:val="00666DDF"/>
    <w:rsid w:val="006673D9"/>
    <w:rsid w:val="00667620"/>
    <w:rsid w:val="006678C9"/>
    <w:rsid w:val="00667962"/>
    <w:rsid w:val="00667C1A"/>
    <w:rsid w:val="00667D51"/>
    <w:rsid w:val="00667DB3"/>
    <w:rsid w:val="006703D5"/>
    <w:rsid w:val="00670491"/>
    <w:rsid w:val="00670B23"/>
    <w:rsid w:val="00670F01"/>
    <w:rsid w:val="00670F08"/>
    <w:rsid w:val="00671112"/>
    <w:rsid w:val="006711CD"/>
    <w:rsid w:val="00671274"/>
    <w:rsid w:val="006714CE"/>
    <w:rsid w:val="00671C11"/>
    <w:rsid w:val="00671FC2"/>
    <w:rsid w:val="00672021"/>
    <w:rsid w:val="006724B7"/>
    <w:rsid w:val="00672626"/>
    <w:rsid w:val="00672876"/>
    <w:rsid w:val="006729FC"/>
    <w:rsid w:val="00672DD5"/>
    <w:rsid w:val="00672F78"/>
    <w:rsid w:val="0067339C"/>
    <w:rsid w:val="006734BE"/>
    <w:rsid w:val="006735F3"/>
    <w:rsid w:val="00673A06"/>
    <w:rsid w:val="00673C08"/>
    <w:rsid w:val="00673D32"/>
    <w:rsid w:val="00674859"/>
    <w:rsid w:val="00675366"/>
    <w:rsid w:val="006759CB"/>
    <w:rsid w:val="006759E0"/>
    <w:rsid w:val="00675D32"/>
    <w:rsid w:val="00675E99"/>
    <w:rsid w:val="006760DF"/>
    <w:rsid w:val="0067611A"/>
    <w:rsid w:val="00676157"/>
    <w:rsid w:val="0067626D"/>
    <w:rsid w:val="0067642C"/>
    <w:rsid w:val="00676777"/>
    <w:rsid w:val="00676A74"/>
    <w:rsid w:val="00676B58"/>
    <w:rsid w:val="00676D5D"/>
    <w:rsid w:val="00680148"/>
    <w:rsid w:val="0068057F"/>
    <w:rsid w:val="00680F5B"/>
    <w:rsid w:val="006815AE"/>
    <w:rsid w:val="00682164"/>
    <w:rsid w:val="006821A3"/>
    <w:rsid w:val="0068230C"/>
    <w:rsid w:val="0068246C"/>
    <w:rsid w:val="00682BA5"/>
    <w:rsid w:val="00682FA5"/>
    <w:rsid w:val="0068316A"/>
    <w:rsid w:val="006834D8"/>
    <w:rsid w:val="006835B1"/>
    <w:rsid w:val="00683AC0"/>
    <w:rsid w:val="00683CCE"/>
    <w:rsid w:val="00683DEA"/>
    <w:rsid w:val="00683F05"/>
    <w:rsid w:val="006843EE"/>
    <w:rsid w:val="00684B43"/>
    <w:rsid w:val="00684D70"/>
    <w:rsid w:val="0068510C"/>
    <w:rsid w:val="006858F0"/>
    <w:rsid w:val="00685937"/>
    <w:rsid w:val="00685DBD"/>
    <w:rsid w:val="0068612F"/>
    <w:rsid w:val="00686EF0"/>
    <w:rsid w:val="00687B93"/>
    <w:rsid w:val="00687E4C"/>
    <w:rsid w:val="00687F21"/>
    <w:rsid w:val="0069072A"/>
    <w:rsid w:val="00690A36"/>
    <w:rsid w:val="00690B2B"/>
    <w:rsid w:val="00690C85"/>
    <w:rsid w:val="0069106C"/>
    <w:rsid w:val="0069113C"/>
    <w:rsid w:val="00691433"/>
    <w:rsid w:val="006914E7"/>
    <w:rsid w:val="006916AA"/>
    <w:rsid w:val="00691C48"/>
    <w:rsid w:val="00691D6E"/>
    <w:rsid w:val="00692436"/>
    <w:rsid w:val="00692D16"/>
    <w:rsid w:val="00692FF7"/>
    <w:rsid w:val="006930BD"/>
    <w:rsid w:val="0069324C"/>
    <w:rsid w:val="006932EF"/>
    <w:rsid w:val="006935B3"/>
    <w:rsid w:val="0069394E"/>
    <w:rsid w:val="006943A2"/>
    <w:rsid w:val="00694761"/>
    <w:rsid w:val="00694840"/>
    <w:rsid w:val="00694B05"/>
    <w:rsid w:val="00694DF8"/>
    <w:rsid w:val="0069509B"/>
    <w:rsid w:val="006951E2"/>
    <w:rsid w:val="00695A32"/>
    <w:rsid w:val="006960FC"/>
    <w:rsid w:val="006964C6"/>
    <w:rsid w:val="00696852"/>
    <w:rsid w:val="00696F4C"/>
    <w:rsid w:val="00697379"/>
    <w:rsid w:val="00697393"/>
    <w:rsid w:val="006976BB"/>
    <w:rsid w:val="006977BF"/>
    <w:rsid w:val="006978ED"/>
    <w:rsid w:val="00697A85"/>
    <w:rsid w:val="00697AF3"/>
    <w:rsid w:val="006A015F"/>
    <w:rsid w:val="006A114F"/>
    <w:rsid w:val="006A1624"/>
    <w:rsid w:val="006A184C"/>
    <w:rsid w:val="006A2C78"/>
    <w:rsid w:val="006A3481"/>
    <w:rsid w:val="006A361D"/>
    <w:rsid w:val="006A3870"/>
    <w:rsid w:val="006A3AF9"/>
    <w:rsid w:val="006A433E"/>
    <w:rsid w:val="006A454B"/>
    <w:rsid w:val="006A46C0"/>
    <w:rsid w:val="006A4D83"/>
    <w:rsid w:val="006A4E72"/>
    <w:rsid w:val="006A4F97"/>
    <w:rsid w:val="006A52EE"/>
    <w:rsid w:val="006A5859"/>
    <w:rsid w:val="006A6E5D"/>
    <w:rsid w:val="006A756A"/>
    <w:rsid w:val="006A770E"/>
    <w:rsid w:val="006A7E3F"/>
    <w:rsid w:val="006B012B"/>
    <w:rsid w:val="006B01DA"/>
    <w:rsid w:val="006B020C"/>
    <w:rsid w:val="006B07A9"/>
    <w:rsid w:val="006B0BAB"/>
    <w:rsid w:val="006B1105"/>
    <w:rsid w:val="006B1158"/>
    <w:rsid w:val="006B15AD"/>
    <w:rsid w:val="006B1B76"/>
    <w:rsid w:val="006B1C5D"/>
    <w:rsid w:val="006B21C9"/>
    <w:rsid w:val="006B3446"/>
    <w:rsid w:val="006B38BE"/>
    <w:rsid w:val="006B3921"/>
    <w:rsid w:val="006B3D8C"/>
    <w:rsid w:val="006B4618"/>
    <w:rsid w:val="006B4AFB"/>
    <w:rsid w:val="006B4F01"/>
    <w:rsid w:val="006B58A1"/>
    <w:rsid w:val="006B5C2D"/>
    <w:rsid w:val="006B618C"/>
    <w:rsid w:val="006B70F4"/>
    <w:rsid w:val="006B7470"/>
    <w:rsid w:val="006B74D3"/>
    <w:rsid w:val="006B7656"/>
    <w:rsid w:val="006B7810"/>
    <w:rsid w:val="006B7845"/>
    <w:rsid w:val="006B7867"/>
    <w:rsid w:val="006C00BB"/>
    <w:rsid w:val="006C0638"/>
    <w:rsid w:val="006C09E4"/>
    <w:rsid w:val="006C0B2A"/>
    <w:rsid w:val="006C0ED8"/>
    <w:rsid w:val="006C102B"/>
    <w:rsid w:val="006C1144"/>
    <w:rsid w:val="006C1185"/>
    <w:rsid w:val="006C16F4"/>
    <w:rsid w:val="006C1B63"/>
    <w:rsid w:val="006C1F97"/>
    <w:rsid w:val="006C2872"/>
    <w:rsid w:val="006C2881"/>
    <w:rsid w:val="006C2E25"/>
    <w:rsid w:val="006C3147"/>
    <w:rsid w:val="006C3181"/>
    <w:rsid w:val="006C3DDE"/>
    <w:rsid w:val="006C4C5E"/>
    <w:rsid w:val="006C54A6"/>
    <w:rsid w:val="006C57B2"/>
    <w:rsid w:val="006C6B6F"/>
    <w:rsid w:val="006C722C"/>
    <w:rsid w:val="006C7528"/>
    <w:rsid w:val="006C77ED"/>
    <w:rsid w:val="006C783F"/>
    <w:rsid w:val="006C798A"/>
    <w:rsid w:val="006C7A48"/>
    <w:rsid w:val="006C7E40"/>
    <w:rsid w:val="006D05DB"/>
    <w:rsid w:val="006D0894"/>
    <w:rsid w:val="006D1564"/>
    <w:rsid w:val="006D179A"/>
    <w:rsid w:val="006D1C4F"/>
    <w:rsid w:val="006D1EAB"/>
    <w:rsid w:val="006D21E9"/>
    <w:rsid w:val="006D21EB"/>
    <w:rsid w:val="006D22F6"/>
    <w:rsid w:val="006D257F"/>
    <w:rsid w:val="006D303B"/>
    <w:rsid w:val="006D311A"/>
    <w:rsid w:val="006D341F"/>
    <w:rsid w:val="006D35EA"/>
    <w:rsid w:val="006D37AF"/>
    <w:rsid w:val="006D3A1F"/>
    <w:rsid w:val="006D3A52"/>
    <w:rsid w:val="006D4177"/>
    <w:rsid w:val="006D4403"/>
    <w:rsid w:val="006D4720"/>
    <w:rsid w:val="006D47E1"/>
    <w:rsid w:val="006D4DF2"/>
    <w:rsid w:val="006D4FA9"/>
    <w:rsid w:val="006D5019"/>
    <w:rsid w:val="006D501E"/>
    <w:rsid w:val="006D50CD"/>
    <w:rsid w:val="006D5274"/>
    <w:rsid w:val="006D5A63"/>
    <w:rsid w:val="006D5B26"/>
    <w:rsid w:val="006D5D56"/>
    <w:rsid w:val="006D66F4"/>
    <w:rsid w:val="006D6D49"/>
    <w:rsid w:val="006D6DB7"/>
    <w:rsid w:val="006D70E0"/>
    <w:rsid w:val="006D7856"/>
    <w:rsid w:val="006D7A8B"/>
    <w:rsid w:val="006E0181"/>
    <w:rsid w:val="006E0F71"/>
    <w:rsid w:val="006E13AE"/>
    <w:rsid w:val="006E16AA"/>
    <w:rsid w:val="006E1F6D"/>
    <w:rsid w:val="006E1F92"/>
    <w:rsid w:val="006E2A14"/>
    <w:rsid w:val="006E3227"/>
    <w:rsid w:val="006E3498"/>
    <w:rsid w:val="006E34A1"/>
    <w:rsid w:val="006E3841"/>
    <w:rsid w:val="006E3C64"/>
    <w:rsid w:val="006E3D8A"/>
    <w:rsid w:val="006E4199"/>
    <w:rsid w:val="006E43F6"/>
    <w:rsid w:val="006E450A"/>
    <w:rsid w:val="006E46D5"/>
    <w:rsid w:val="006E4CA2"/>
    <w:rsid w:val="006E4D80"/>
    <w:rsid w:val="006E4E3E"/>
    <w:rsid w:val="006E50B6"/>
    <w:rsid w:val="006E532B"/>
    <w:rsid w:val="006E5464"/>
    <w:rsid w:val="006E5EE8"/>
    <w:rsid w:val="006E6B3E"/>
    <w:rsid w:val="006E6D3C"/>
    <w:rsid w:val="006E6E49"/>
    <w:rsid w:val="006E7108"/>
    <w:rsid w:val="006E718A"/>
    <w:rsid w:val="006E71F1"/>
    <w:rsid w:val="006E78A2"/>
    <w:rsid w:val="006E7D1E"/>
    <w:rsid w:val="006F061A"/>
    <w:rsid w:val="006F0766"/>
    <w:rsid w:val="006F0B1D"/>
    <w:rsid w:val="006F0F53"/>
    <w:rsid w:val="006F195F"/>
    <w:rsid w:val="006F1CEE"/>
    <w:rsid w:val="006F1F96"/>
    <w:rsid w:val="006F21DA"/>
    <w:rsid w:val="006F2870"/>
    <w:rsid w:val="006F28CA"/>
    <w:rsid w:val="006F2D05"/>
    <w:rsid w:val="006F2DD0"/>
    <w:rsid w:val="006F3552"/>
    <w:rsid w:val="006F3AED"/>
    <w:rsid w:val="006F3F61"/>
    <w:rsid w:val="006F402B"/>
    <w:rsid w:val="006F434D"/>
    <w:rsid w:val="006F5A43"/>
    <w:rsid w:val="006F618D"/>
    <w:rsid w:val="006F61DF"/>
    <w:rsid w:val="006F650B"/>
    <w:rsid w:val="006F67AF"/>
    <w:rsid w:val="006F69CF"/>
    <w:rsid w:val="006F70EF"/>
    <w:rsid w:val="007014EC"/>
    <w:rsid w:val="007018F0"/>
    <w:rsid w:val="007019F6"/>
    <w:rsid w:val="00701BBC"/>
    <w:rsid w:val="00701F04"/>
    <w:rsid w:val="007024FD"/>
    <w:rsid w:val="0070267F"/>
    <w:rsid w:val="00702733"/>
    <w:rsid w:val="00702CAB"/>
    <w:rsid w:val="00703521"/>
    <w:rsid w:val="00703732"/>
    <w:rsid w:val="0070383F"/>
    <w:rsid w:val="00703DA0"/>
    <w:rsid w:val="0070438D"/>
    <w:rsid w:val="00704407"/>
    <w:rsid w:val="00704D58"/>
    <w:rsid w:val="00704FF7"/>
    <w:rsid w:val="007052B0"/>
    <w:rsid w:val="00705558"/>
    <w:rsid w:val="00705B86"/>
    <w:rsid w:val="00705E27"/>
    <w:rsid w:val="00705F5D"/>
    <w:rsid w:val="007061E9"/>
    <w:rsid w:val="007064D2"/>
    <w:rsid w:val="00706583"/>
    <w:rsid w:val="007069ED"/>
    <w:rsid w:val="00707AA3"/>
    <w:rsid w:val="00707B2E"/>
    <w:rsid w:val="00707DF0"/>
    <w:rsid w:val="00707FBE"/>
    <w:rsid w:val="007102A7"/>
    <w:rsid w:val="007103DD"/>
    <w:rsid w:val="007107DF"/>
    <w:rsid w:val="007108F1"/>
    <w:rsid w:val="00710FA6"/>
    <w:rsid w:val="00710FBC"/>
    <w:rsid w:val="007110D8"/>
    <w:rsid w:val="00711275"/>
    <w:rsid w:val="0071162B"/>
    <w:rsid w:val="00711F81"/>
    <w:rsid w:val="0071251B"/>
    <w:rsid w:val="007125DE"/>
    <w:rsid w:val="00712750"/>
    <w:rsid w:val="00712967"/>
    <w:rsid w:val="00712E4D"/>
    <w:rsid w:val="0071312F"/>
    <w:rsid w:val="0071384D"/>
    <w:rsid w:val="00713A49"/>
    <w:rsid w:val="00713A52"/>
    <w:rsid w:val="00713B49"/>
    <w:rsid w:val="00713BA4"/>
    <w:rsid w:val="00713BAD"/>
    <w:rsid w:val="00713CCA"/>
    <w:rsid w:val="00713ED4"/>
    <w:rsid w:val="00713EF8"/>
    <w:rsid w:val="00714427"/>
    <w:rsid w:val="007144E6"/>
    <w:rsid w:val="00714741"/>
    <w:rsid w:val="00714C37"/>
    <w:rsid w:val="00714C8E"/>
    <w:rsid w:val="007156A6"/>
    <w:rsid w:val="0071574D"/>
    <w:rsid w:val="00715DF7"/>
    <w:rsid w:val="00715E0F"/>
    <w:rsid w:val="00716094"/>
    <w:rsid w:val="00716567"/>
    <w:rsid w:val="00716847"/>
    <w:rsid w:val="00716F33"/>
    <w:rsid w:val="0071747F"/>
    <w:rsid w:val="00717754"/>
    <w:rsid w:val="00717B7A"/>
    <w:rsid w:val="00720327"/>
    <w:rsid w:val="00720BDD"/>
    <w:rsid w:val="0072101F"/>
    <w:rsid w:val="007212CB"/>
    <w:rsid w:val="0072166A"/>
    <w:rsid w:val="00721ACD"/>
    <w:rsid w:val="00721EE9"/>
    <w:rsid w:val="00721FB6"/>
    <w:rsid w:val="007220FA"/>
    <w:rsid w:val="00722732"/>
    <w:rsid w:val="007233EF"/>
    <w:rsid w:val="0072369E"/>
    <w:rsid w:val="007238A9"/>
    <w:rsid w:val="00723B94"/>
    <w:rsid w:val="00723E35"/>
    <w:rsid w:val="00723E43"/>
    <w:rsid w:val="00724089"/>
    <w:rsid w:val="007240EE"/>
    <w:rsid w:val="007243FC"/>
    <w:rsid w:val="00724512"/>
    <w:rsid w:val="00724D36"/>
    <w:rsid w:val="00724E80"/>
    <w:rsid w:val="00724F48"/>
    <w:rsid w:val="00724FD0"/>
    <w:rsid w:val="00725400"/>
    <w:rsid w:val="0072547C"/>
    <w:rsid w:val="00725EF0"/>
    <w:rsid w:val="0072604F"/>
    <w:rsid w:val="007263D3"/>
    <w:rsid w:val="007267EC"/>
    <w:rsid w:val="00726BFF"/>
    <w:rsid w:val="00727213"/>
    <w:rsid w:val="0072742F"/>
    <w:rsid w:val="00727F78"/>
    <w:rsid w:val="00730E54"/>
    <w:rsid w:val="0073139C"/>
    <w:rsid w:val="0073154D"/>
    <w:rsid w:val="0073162B"/>
    <w:rsid w:val="00731881"/>
    <w:rsid w:val="00731913"/>
    <w:rsid w:val="00731DB2"/>
    <w:rsid w:val="007321D1"/>
    <w:rsid w:val="0073226A"/>
    <w:rsid w:val="007326BB"/>
    <w:rsid w:val="00732B3D"/>
    <w:rsid w:val="00733045"/>
    <w:rsid w:val="0073326B"/>
    <w:rsid w:val="007337E1"/>
    <w:rsid w:val="00733F24"/>
    <w:rsid w:val="00733FA3"/>
    <w:rsid w:val="00734032"/>
    <w:rsid w:val="007342AC"/>
    <w:rsid w:val="00734713"/>
    <w:rsid w:val="00734AE3"/>
    <w:rsid w:val="00734D2F"/>
    <w:rsid w:val="00734DD9"/>
    <w:rsid w:val="00734F0F"/>
    <w:rsid w:val="0073510D"/>
    <w:rsid w:val="0073518A"/>
    <w:rsid w:val="00735226"/>
    <w:rsid w:val="00735609"/>
    <w:rsid w:val="00735BBB"/>
    <w:rsid w:val="00735C53"/>
    <w:rsid w:val="00736743"/>
    <w:rsid w:val="00736E50"/>
    <w:rsid w:val="007373FD"/>
    <w:rsid w:val="00737A7A"/>
    <w:rsid w:val="00737FE5"/>
    <w:rsid w:val="007401D9"/>
    <w:rsid w:val="00740460"/>
    <w:rsid w:val="0074051D"/>
    <w:rsid w:val="00740F24"/>
    <w:rsid w:val="00741B45"/>
    <w:rsid w:val="00741D80"/>
    <w:rsid w:val="00741E2F"/>
    <w:rsid w:val="00741EC9"/>
    <w:rsid w:val="00742082"/>
    <w:rsid w:val="0074246F"/>
    <w:rsid w:val="007429ED"/>
    <w:rsid w:val="00742A67"/>
    <w:rsid w:val="007430CA"/>
    <w:rsid w:val="007436A4"/>
    <w:rsid w:val="00743C7B"/>
    <w:rsid w:val="00743DC3"/>
    <w:rsid w:val="00743F94"/>
    <w:rsid w:val="007443B6"/>
    <w:rsid w:val="00744E39"/>
    <w:rsid w:val="00744F5B"/>
    <w:rsid w:val="007450A7"/>
    <w:rsid w:val="00745692"/>
    <w:rsid w:val="007464FB"/>
    <w:rsid w:val="00746832"/>
    <w:rsid w:val="0074704B"/>
    <w:rsid w:val="007474DC"/>
    <w:rsid w:val="00747741"/>
    <w:rsid w:val="00747A9B"/>
    <w:rsid w:val="00747C42"/>
    <w:rsid w:val="00747D86"/>
    <w:rsid w:val="007501D2"/>
    <w:rsid w:val="0075064B"/>
    <w:rsid w:val="00750C6B"/>
    <w:rsid w:val="00750DF9"/>
    <w:rsid w:val="00750EB3"/>
    <w:rsid w:val="00751212"/>
    <w:rsid w:val="0075198E"/>
    <w:rsid w:val="00751A2A"/>
    <w:rsid w:val="00751C4D"/>
    <w:rsid w:val="00752066"/>
    <w:rsid w:val="00752071"/>
    <w:rsid w:val="007529C8"/>
    <w:rsid w:val="007534AC"/>
    <w:rsid w:val="00753B48"/>
    <w:rsid w:val="00753D5A"/>
    <w:rsid w:val="00753E9C"/>
    <w:rsid w:val="00753EB2"/>
    <w:rsid w:val="0075428E"/>
    <w:rsid w:val="007542B0"/>
    <w:rsid w:val="00754429"/>
    <w:rsid w:val="00754696"/>
    <w:rsid w:val="00754B16"/>
    <w:rsid w:val="00754D0A"/>
    <w:rsid w:val="007553B1"/>
    <w:rsid w:val="00756A0A"/>
    <w:rsid w:val="0075719C"/>
    <w:rsid w:val="0075766C"/>
    <w:rsid w:val="007577CE"/>
    <w:rsid w:val="007579E1"/>
    <w:rsid w:val="00757B91"/>
    <w:rsid w:val="007607CE"/>
    <w:rsid w:val="00760AD3"/>
    <w:rsid w:val="00760DF0"/>
    <w:rsid w:val="00760F06"/>
    <w:rsid w:val="007615E4"/>
    <w:rsid w:val="0076186B"/>
    <w:rsid w:val="00761AEA"/>
    <w:rsid w:val="00761E0D"/>
    <w:rsid w:val="00762133"/>
    <w:rsid w:val="0076230C"/>
    <w:rsid w:val="00762DD6"/>
    <w:rsid w:val="00762F71"/>
    <w:rsid w:val="00762FDB"/>
    <w:rsid w:val="00763152"/>
    <w:rsid w:val="00763529"/>
    <w:rsid w:val="00763648"/>
    <w:rsid w:val="00763693"/>
    <w:rsid w:val="00763A62"/>
    <w:rsid w:val="007640A5"/>
    <w:rsid w:val="007642FF"/>
    <w:rsid w:val="0076489E"/>
    <w:rsid w:val="007648E6"/>
    <w:rsid w:val="007650A2"/>
    <w:rsid w:val="00765995"/>
    <w:rsid w:val="00765E01"/>
    <w:rsid w:val="00765E98"/>
    <w:rsid w:val="00766416"/>
    <w:rsid w:val="00766422"/>
    <w:rsid w:val="00766B23"/>
    <w:rsid w:val="00766B5F"/>
    <w:rsid w:val="00766CA5"/>
    <w:rsid w:val="00767582"/>
    <w:rsid w:val="00767697"/>
    <w:rsid w:val="00767D7B"/>
    <w:rsid w:val="00767F3E"/>
    <w:rsid w:val="00770427"/>
    <w:rsid w:val="0077045B"/>
    <w:rsid w:val="00770887"/>
    <w:rsid w:val="007708DC"/>
    <w:rsid w:val="00770982"/>
    <w:rsid w:val="00771C2B"/>
    <w:rsid w:val="007727F1"/>
    <w:rsid w:val="00772CAA"/>
    <w:rsid w:val="00772D55"/>
    <w:rsid w:val="00772EF8"/>
    <w:rsid w:val="007730CC"/>
    <w:rsid w:val="0077322E"/>
    <w:rsid w:val="00773772"/>
    <w:rsid w:val="00774020"/>
    <w:rsid w:val="00774716"/>
    <w:rsid w:val="0077484D"/>
    <w:rsid w:val="00774DE7"/>
    <w:rsid w:val="007752F8"/>
    <w:rsid w:val="0077546D"/>
    <w:rsid w:val="007759E0"/>
    <w:rsid w:val="00775AF6"/>
    <w:rsid w:val="00776409"/>
    <w:rsid w:val="007766A4"/>
    <w:rsid w:val="00776784"/>
    <w:rsid w:val="007767C5"/>
    <w:rsid w:val="00776B05"/>
    <w:rsid w:val="007770A7"/>
    <w:rsid w:val="0077785A"/>
    <w:rsid w:val="00777E17"/>
    <w:rsid w:val="00780319"/>
    <w:rsid w:val="007803D0"/>
    <w:rsid w:val="00780ABC"/>
    <w:rsid w:val="00780C15"/>
    <w:rsid w:val="00780EBC"/>
    <w:rsid w:val="0078138E"/>
    <w:rsid w:val="007815EB"/>
    <w:rsid w:val="00781659"/>
    <w:rsid w:val="0078251F"/>
    <w:rsid w:val="00782523"/>
    <w:rsid w:val="007827F1"/>
    <w:rsid w:val="00783029"/>
    <w:rsid w:val="007830F5"/>
    <w:rsid w:val="007832BD"/>
    <w:rsid w:val="0078359E"/>
    <w:rsid w:val="007837AB"/>
    <w:rsid w:val="007841D6"/>
    <w:rsid w:val="00784A2F"/>
    <w:rsid w:val="00784CD2"/>
    <w:rsid w:val="00784D35"/>
    <w:rsid w:val="00784E3D"/>
    <w:rsid w:val="007850B5"/>
    <w:rsid w:val="00785EEE"/>
    <w:rsid w:val="00786292"/>
    <w:rsid w:val="00786515"/>
    <w:rsid w:val="007866E5"/>
    <w:rsid w:val="00786C75"/>
    <w:rsid w:val="00787276"/>
    <w:rsid w:val="0078727E"/>
    <w:rsid w:val="00787CCA"/>
    <w:rsid w:val="00790251"/>
    <w:rsid w:val="00790C39"/>
    <w:rsid w:val="00791101"/>
    <w:rsid w:val="00791215"/>
    <w:rsid w:val="0079130C"/>
    <w:rsid w:val="007919BA"/>
    <w:rsid w:val="00791EE4"/>
    <w:rsid w:val="00792348"/>
    <w:rsid w:val="00792849"/>
    <w:rsid w:val="00792BF4"/>
    <w:rsid w:val="00792C85"/>
    <w:rsid w:val="00792F8D"/>
    <w:rsid w:val="00793281"/>
    <w:rsid w:val="007950CE"/>
    <w:rsid w:val="007957B6"/>
    <w:rsid w:val="007961AA"/>
    <w:rsid w:val="0079645D"/>
    <w:rsid w:val="00796BDD"/>
    <w:rsid w:val="00796C8D"/>
    <w:rsid w:val="00797250"/>
    <w:rsid w:val="007975CA"/>
    <w:rsid w:val="00797675"/>
    <w:rsid w:val="007977B0"/>
    <w:rsid w:val="00797848"/>
    <w:rsid w:val="00797A09"/>
    <w:rsid w:val="00797A1F"/>
    <w:rsid w:val="007A0867"/>
    <w:rsid w:val="007A098C"/>
    <w:rsid w:val="007A0DF3"/>
    <w:rsid w:val="007A10A3"/>
    <w:rsid w:val="007A126F"/>
    <w:rsid w:val="007A12F9"/>
    <w:rsid w:val="007A1518"/>
    <w:rsid w:val="007A1642"/>
    <w:rsid w:val="007A2B3E"/>
    <w:rsid w:val="007A3260"/>
    <w:rsid w:val="007A3376"/>
    <w:rsid w:val="007A34B2"/>
    <w:rsid w:val="007A38E9"/>
    <w:rsid w:val="007A41D4"/>
    <w:rsid w:val="007A4208"/>
    <w:rsid w:val="007A445E"/>
    <w:rsid w:val="007A4A89"/>
    <w:rsid w:val="007A4EC2"/>
    <w:rsid w:val="007A50B2"/>
    <w:rsid w:val="007A627D"/>
    <w:rsid w:val="007A62E3"/>
    <w:rsid w:val="007A6B37"/>
    <w:rsid w:val="007A7191"/>
    <w:rsid w:val="007A7205"/>
    <w:rsid w:val="007A7314"/>
    <w:rsid w:val="007A78EA"/>
    <w:rsid w:val="007B008F"/>
    <w:rsid w:val="007B04F5"/>
    <w:rsid w:val="007B10F3"/>
    <w:rsid w:val="007B110E"/>
    <w:rsid w:val="007B3315"/>
    <w:rsid w:val="007B3369"/>
    <w:rsid w:val="007B3549"/>
    <w:rsid w:val="007B3621"/>
    <w:rsid w:val="007B36EF"/>
    <w:rsid w:val="007B442C"/>
    <w:rsid w:val="007B4A82"/>
    <w:rsid w:val="007B523F"/>
    <w:rsid w:val="007B52A7"/>
    <w:rsid w:val="007B6007"/>
    <w:rsid w:val="007B626B"/>
    <w:rsid w:val="007B64AA"/>
    <w:rsid w:val="007B7198"/>
    <w:rsid w:val="007B71FE"/>
    <w:rsid w:val="007B7302"/>
    <w:rsid w:val="007B7451"/>
    <w:rsid w:val="007B7497"/>
    <w:rsid w:val="007B776B"/>
    <w:rsid w:val="007B7D81"/>
    <w:rsid w:val="007B7F69"/>
    <w:rsid w:val="007C0D38"/>
    <w:rsid w:val="007C1025"/>
    <w:rsid w:val="007C1321"/>
    <w:rsid w:val="007C16FE"/>
    <w:rsid w:val="007C1790"/>
    <w:rsid w:val="007C18CB"/>
    <w:rsid w:val="007C1FFB"/>
    <w:rsid w:val="007C2392"/>
    <w:rsid w:val="007C24EE"/>
    <w:rsid w:val="007C2A25"/>
    <w:rsid w:val="007C2E28"/>
    <w:rsid w:val="007C2E2E"/>
    <w:rsid w:val="007C3B8A"/>
    <w:rsid w:val="007C4568"/>
    <w:rsid w:val="007C4657"/>
    <w:rsid w:val="007C5910"/>
    <w:rsid w:val="007C5951"/>
    <w:rsid w:val="007C59F7"/>
    <w:rsid w:val="007C618E"/>
    <w:rsid w:val="007C6C83"/>
    <w:rsid w:val="007C6DCF"/>
    <w:rsid w:val="007C6E65"/>
    <w:rsid w:val="007C73AC"/>
    <w:rsid w:val="007C7737"/>
    <w:rsid w:val="007C7BB9"/>
    <w:rsid w:val="007C7C33"/>
    <w:rsid w:val="007C7F1F"/>
    <w:rsid w:val="007D0044"/>
    <w:rsid w:val="007D06F4"/>
    <w:rsid w:val="007D125B"/>
    <w:rsid w:val="007D18FE"/>
    <w:rsid w:val="007D1FA3"/>
    <w:rsid w:val="007D2455"/>
    <w:rsid w:val="007D32B4"/>
    <w:rsid w:val="007D3AF7"/>
    <w:rsid w:val="007D434E"/>
    <w:rsid w:val="007D45C8"/>
    <w:rsid w:val="007D4BA8"/>
    <w:rsid w:val="007D4C28"/>
    <w:rsid w:val="007D4DEE"/>
    <w:rsid w:val="007D569F"/>
    <w:rsid w:val="007D59BC"/>
    <w:rsid w:val="007D5B05"/>
    <w:rsid w:val="007D653F"/>
    <w:rsid w:val="007D6A22"/>
    <w:rsid w:val="007D6F9A"/>
    <w:rsid w:val="007D716C"/>
    <w:rsid w:val="007D79D5"/>
    <w:rsid w:val="007E00E9"/>
    <w:rsid w:val="007E04BF"/>
    <w:rsid w:val="007E0DBB"/>
    <w:rsid w:val="007E0F97"/>
    <w:rsid w:val="007E100E"/>
    <w:rsid w:val="007E127A"/>
    <w:rsid w:val="007E1753"/>
    <w:rsid w:val="007E1904"/>
    <w:rsid w:val="007E1B84"/>
    <w:rsid w:val="007E1DD6"/>
    <w:rsid w:val="007E1F9F"/>
    <w:rsid w:val="007E2108"/>
    <w:rsid w:val="007E22C2"/>
    <w:rsid w:val="007E28C4"/>
    <w:rsid w:val="007E2B0A"/>
    <w:rsid w:val="007E2F61"/>
    <w:rsid w:val="007E301B"/>
    <w:rsid w:val="007E323F"/>
    <w:rsid w:val="007E35E4"/>
    <w:rsid w:val="007E376B"/>
    <w:rsid w:val="007E3A9E"/>
    <w:rsid w:val="007E3CBB"/>
    <w:rsid w:val="007E413C"/>
    <w:rsid w:val="007E41FB"/>
    <w:rsid w:val="007E4B68"/>
    <w:rsid w:val="007E4CC0"/>
    <w:rsid w:val="007E4DD3"/>
    <w:rsid w:val="007E56AE"/>
    <w:rsid w:val="007E59CA"/>
    <w:rsid w:val="007E5F7B"/>
    <w:rsid w:val="007E66D8"/>
    <w:rsid w:val="007E75C0"/>
    <w:rsid w:val="007E786E"/>
    <w:rsid w:val="007F052C"/>
    <w:rsid w:val="007F07F3"/>
    <w:rsid w:val="007F1203"/>
    <w:rsid w:val="007F1230"/>
    <w:rsid w:val="007F178D"/>
    <w:rsid w:val="007F1A1F"/>
    <w:rsid w:val="007F1D41"/>
    <w:rsid w:val="007F1F03"/>
    <w:rsid w:val="007F24B0"/>
    <w:rsid w:val="007F2625"/>
    <w:rsid w:val="007F2766"/>
    <w:rsid w:val="007F29F1"/>
    <w:rsid w:val="007F2F76"/>
    <w:rsid w:val="007F35DF"/>
    <w:rsid w:val="007F3E5C"/>
    <w:rsid w:val="007F406A"/>
    <w:rsid w:val="007F45BC"/>
    <w:rsid w:val="007F4EEF"/>
    <w:rsid w:val="007F5114"/>
    <w:rsid w:val="007F54B2"/>
    <w:rsid w:val="007F54DE"/>
    <w:rsid w:val="007F5506"/>
    <w:rsid w:val="007F5609"/>
    <w:rsid w:val="007F59DB"/>
    <w:rsid w:val="007F6592"/>
    <w:rsid w:val="007F65F9"/>
    <w:rsid w:val="007F65FF"/>
    <w:rsid w:val="007F68B7"/>
    <w:rsid w:val="007F6C61"/>
    <w:rsid w:val="007F78D5"/>
    <w:rsid w:val="007F7902"/>
    <w:rsid w:val="007F7CD3"/>
    <w:rsid w:val="007F7F48"/>
    <w:rsid w:val="0080016B"/>
    <w:rsid w:val="00800DAF"/>
    <w:rsid w:val="00801259"/>
    <w:rsid w:val="00801265"/>
    <w:rsid w:val="008013CE"/>
    <w:rsid w:val="00801843"/>
    <w:rsid w:val="00801A73"/>
    <w:rsid w:val="008024AE"/>
    <w:rsid w:val="00802E04"/>
    <w:rsid w:val="0080396D"/>
    <w:rsid w:val="00803CEE"/>
    <w:rsid w:val="00803F6D"/>
    <w:rsid w:val="00803F9C"/>
    <w:rsid w:val="00804350"/>
    <w:rsid w:val="0080444A"/>
    <w:rsid w:val="008045CF"/>
    <w:rsid w:val="008045ED"/>
    <w:rsid w:val="00805103"/>
    <w:rsid w:val="008051F0"/>
    <w:rsid w:val="00805E97"/>
    <w:rsid w:val="00805FD3"/>
    <w:rsid w:val="00805FFE"/>
    <w:rsid w:val="00806119"/>
    <w:rsid w:val="00806131"/>
    <w:rsid w:val="008069A6"/>
    <w:rsid w:val="00806CC1"/>
    <w:rsid w:val="00807560"/>
    <w:rsid w:val="00810546"/>
    <w:rsid w:val="00810653"/>
    <w:rsid w:val="00810935"/>
    <w:rsid w:val="00810D7B"/>
    <w:rsid w:val="00810DC0"/>
    <w:rsid w:val="00810E3C"/>
    <w:rsid w:val="00811441"/>
    <w:rsid w:val="00811799"/>
    <w:rsid w:val="00812597"/>
    <w:rsid w:val="00812786"/>
    <w:rsid w:val="008128C4"/>
    <w:rsid w:val="00813038"/>
    <w:rsid w:val="008134F1"/>
    <w:rsid w:val="008138E4"/>
    <w:rsid w:val="00813BBB"/>
    <w:rsid w:val="00813F65"/>
    <w:rsid w:val="00815198"/>
    <w:rsid w:val="008153F6"/>
    <w:rsid w:val="00815CEC"/>
    <w:rsid w:val="008168A5"/>
    <w:rsid w:val="00816D7C"/>
    <w:rsid w:val="00817036"/>
    <w:rsid w:val="008170E9"/>
    <w:rsid w:val="00817314"/>
    <w:rsid w:val="00817AEB"/>
    <w:rsid w:val="00817C76"/>
    <w:rsid w:val="0082004A"/>
    <w:rsid w:val="008202BA"/>
    <w:rsid w:val="008202F3"/>
    <w:rsid w:val="0082037E"/>
    <w:rsid w:val="0082079C"/>
    <w:rsid w:val="00820875"/>
    <w:rsid w:val="00820962"/>
    <w:rsid w:val="00820BE6"/>
    <w:rsid w:val="008210D3"/>
    <w:rsid w:val="008213AF"/>
    <w:rsid w:val="00821444"/>
    <w:rsid w:val="008215B9"/>
    <w:rsid w:val="008216BC"/>
    <w:rsid w:val="00821747"/>
    <w:rsid w:val="00821749"/>
    <w:rsid w:val="00821B89"/>
    <w:rsid w:val="0082235A"/>
    <w:rsid w:val="00822B95"/>
    <w:rsid w:val="00822EDB"/>
    <w:rsid w:val="008234DD"/>
    <w:rsid w:val="00823976"/>
    <w:rsid w:val="00823B36"/>
    <w:rsid w:val="00823C82"/>
    <w:rsid w:val="00823E43"/>
    <w:rsid w:val="00823F07"/>
    <w:rsid w:val="00824070"/>
    <w:rsid w:val="008241D8"/>
    <w:rsid w:val="008242AC"/>
    <w:rsid w:val="0082454A"/>
    <w:rsid w:val="00826094"/>
    <w:rsid w:val="008262D2"/>
    <w:rsid w:val="0082661D"/>
    <w:rsid w:val="00826E50"/>
    <w:rsid w:val="00830151"/>
    <w:rsid w:val="0083023D"/>
    <w:rsid w:val="00830423"/>
    <w:rsid w:val="008306CF"/>
    <w:rsid w:val="0083082F"/>
    <w:rsid w:val="00830D15"/>
    <w:rsid w:val="00830E17"/>
    <w:rsid w:val="008314D1"/>
    <w:rsid w:val="0083168F"/>
    <w:rsid w:val="00831EED"/>
    <w:rsid w:val="00832056"/>
    <w:rsid w:val="00832190"/>
    <w:rsid w:val="008326E7"/>
    <w:rsid w:val="008328E3"/>
    <w:rsid w:val="00832DEB"/>
    <w:rsid w:val="00833836"/>
    <w:rsid w:val="00834161"/>
    <w:rsid w:val="00834BCD"/>
    <w:rsid w:val="00834FB3"/>
    <w:rsid w:val="00835288"/>
    <w:rsid w:val="008354B6"/>
    <w:rsid w:val="00835CC8"/>
    <w:rsid w:val="00835DBD"/>
    <w:rsid w:val="0083601A"/>
    <w:rsid w:val="00836054"/>
    <w:rsid w:val="0083607D"/>
    <w:rsid w:val="008360FD"/>
    <w:rsid w:val="00836272"/>
    <w:rsid w:val="008362B6"/>
    <w:rsid w:val="00836D0F"/>
    <w:rsid w:val="008374FC"/>
    <w:rsid w:val="00837BEB"/>
    <w:rsid w:val="00840198"/>
    <w:rsid w:val="00840441"/>
    <w:rsid w:val="008405E0"/>
    <w:rsid w:val="00840BC5"/>
    <w:rsid w:val="00840C3C"/>
    <w:rsid w:val="00840F7F"/>
    <w:rsid w:val="00841150"/>
    <w:rsid w:val="0084199D"/>
    <w:rsid w:val="00841CA2"/>
    <w:rsid w:val="00841D85"/>
    <w:rsid w:val="00841F1E"/>
    <w:rsid w:val="00842771"/>
    <w:rsid w:val="00842B7D"/>
    <w:rsid w:val="00842ECE"/>
    <w:rsid w:val="00843CBA"/>
    <w:rsid w:val="00843EAC"/>
    <w:rsid w:val="008442D2"/>
    <w:rsid w:val="00844697"/>
    <w:rsid w:val="00844985"/>
    <w:rsid w:val="00844A9F"/>
    <w:rsid w:val="00844E9A"/>
    <w:rsid w:val="00845606"/>
    <w:rsid w:val="0084568A"/>
    <w:rsid w:val="00845BDB"/>
    <w:rsid w:val="008461BF"/>
    <w:rsid w:val="008461C8"/>
    <w:rsid w:val="008469B1"/>
    <w:rsid w:val="00846A1C"/>
    <w:rsid w:val="00846E82"/>
    <w:rsid w:val="00846F2F"/>
    <w:rsid w:val="00847A74"/>
    <w:rsid w:val="00847E54"/>
    <w:rsid w:val="00850A7B"/>
    <w:rsid w:val="00850E23"/>
    <w:rsid w:val="00850FB1"/>
    <w:rsid w:val="00850FB2"/>
    <w:rsid w:val="00851388"/>
    <w:rsid w:val="008519BC"/>
    <w:rsid w:val="00851BF8"/>
    <w:rsid w:val="00851F93"/>
    <w:rsid w:val="00852345"/>
    <w:rsid w:val="00852638"/>
    <w:rsid w:val="00852D5C"/>
    <w:rsid w:val="00852F05"/>
    <w:rsid w:val="00853090"/>
    <w:rsid w:val="00853329"/>
    <w:rsid w:val="00853509"/>
    <w:rsid w:val="00853AF2"/>
    <w:rsid w:val="00853B02"/>
    <w:rsid w:val="00853BC8"/>
    <w:rsid w:val="0085437C"/>
    <w:rsid w:val="008549B5"/>
    <w:rsid w:val="00854CCB"/>
    <w:rsid w:val="0085580B"/>
    <w:rsid w:val="00855C1C"/>
    <w:rsid w:val="00856043"/>
    <w:rsid w:val="008562F6"/>
    <w:rsid w:val="00856595"/>
    <w:rsid w:val="00856D8A"/>
    <w:rsid w:val="00856FC6"/>
    <w:rsid w:val="0085756E"/>
    <w:rsid w:val="008575D8"/>
    <w:rsid w:val="008576D3"/>
    <w:rsid w:val="00860156"/>
    <w:rsid w:val="00860F01"/>
    <w:rsid w:val="00860F36"/>
    <w:rsid w:val="00861072"/>
    <w:rsid w:val="008612A8"/>
    <w:rsid w:val="008625C0"/>
    <w:rsid w:val="008629B1"/>
    <w:rsid w:val="00862B00"/>
    <w:rsid w:val="00863FA2"/>
    <w:rsid w:val="00864133"/>
    <w:rsid w:val="00864189"/>
    <w:rsid w:val="0086438A"/>
    <w:rsid w:val="00864BAC"/>
    <w:rsid w:val="00864C1A"/>
    <w:rsid w:val="00865223"/>
    <w:rsid w:val="00865250"/>
    <w:rsid w:val="00865264"/>
    <w:rsid w:val="0086592B"/>
    <w:rsid w:val="00865D8C"/>
    <w:rsid w:val="00866142"/>
    <w:rsid w:val="0086660F"/>
    <w:rsid w:val="00866972"/>
    <w:rsid w:val="00867040"/>
    <w:rsid w:val="00867071"/>
    <w:rsid w:val="00867198"/>
    <w:rsid w:val="0086751D"/>
    <w:rsid w:val="00867903"/>
    <w:rsid w:val="00867EE1"/>
    <w:rsid w:val="00870084"/>
    <w:rsid w:val="00870638"/>
    <w:rsid w:val="0087081F"/>
    <w:rsid w:val="00870888"/>
    <w:rsid w:val="00870FA2"/>
    <w:rsid w:val="008714DD"/>
    <w:rsid w:val="00871528"/>
    <w:rsid w:val="0087158E"/>
    <w:rsid w:val="008715A1"/>
    <w:rsid w:val="0087193A"/>
    <w:rsid w:val="00871B9F"/>
    <w:rsid w:val="00871CA8"/>
    <w:rsid w:val="008722DD"/>
    <w:rsid w:val="00872D49"/>
    <w:rsid w:val="008734C1"/>
    <w:rsid w:val="00874500"/>
    <w:rsid w:val="0087488B"/>
    <w:rsid w:val="00874A2B"/>
    <w:rsid w:val="00874B1E"/>
    <w:rsid w:val="00874BAA"/>
    <w:rsid w:val="00875CB8"/>
    <w:rsid w:val="00876531"/>
    <w:rsid w:val="00876987"/>
    <w:rsid w:val="00877628"/>
    <w:rsid w:val="008777AC"/>
    <w:rsid w:val="00877A4E"/>
    <w:rsid w:val="00877F55"/>
    <w:rsid w:val="00880721"/>
    <w:rsid w:val="00880CE6"/>
    <w:rsid w:val="008811AC"/>
    <w:rsid w:val="00881978"/>
    <w:rsid w:val="00881A32"/>
    <w:rsid w:val="00881C12"/>
    <w:rsid w:val="00881DA0"/>
    <w:rsid w:val="008820D1"/>
    <w:rsid w:val="008828B3"/>
    <w:rsid w:val="00882DCD"/>
    <w:rsid w:val="00883399"/>
    <w:rsid w:val="0088368D"/>
    <w:rsid w:val="00883A3D"/>
    <w:rsid w:val="00883A43"/>
    <w:rsid w:val="00884394"/>
    <w:rsid w:val="0088475C"/>
    <w:rsid w:val="00884DE1"/>
    <w:rsid w:val="008856FD"/>
    <w:rsid w:val="00885C38"/>
    <w:rsid w:val="00886376"/>
    <w:rsid w:val="00886D08"/>
    <w:rsid w:val="00887157"/>
    <w:rsid w:val="00887FDF"/>
    <w:rsid w:val="00891B29"/>
    <w:rsid w:val="00892422"/>
    <w:rsid w:val="0089296D"/>
    <w:rsid w:val="008930F0"/>
    <w:rsid w:val="008936B4"/>
    <w:rsid w:val="00893D2C"/>
    <w:rsid w:val="00893F6D"/>
    <w:rsid w:val="008943A7"/>
    <w:rsid w:val="008947AD"/>
    <w:rsid w:val="00895BF3"/>
    <w:rsid w:val="008967D5"/>
    <w:rsid w:val="008969AB"/>
    <w:rsid w:val="00896B3C"/>
    <w:rsid w:val="00896D37"/>
    <w:rsid w:val="008971B1"/>
    <w:rsid w:val="00897432"/>
    <w:rsid w:val="00897E53"/>
    <w:rsid w:val="008A0382"/>
    <w:rsid w:val="008A0606"/>
    <w:rsid w:val="008A0A31"/>
    <w:rsid w:val="008A0DA6"/>
    <w:rsid w:val="008A0FDF"/>
    <w:rsid w:val="008A10A4"/>
    <w:rsid w:val="008A1600"/>
    <w:rsid w:val="008A1EBC"/>
    <w:rsid w:val="008A1FA2"/>
    <w:rsid w:val="008A2293"/>
    <w:rsid w:val="008A2E1E"/>
    <w:rsid w:val="008A2E6F"/>
    <w:rsid w:val="008A33BB"/>
    <w:rsid w:val="008A3859"/>
    <w:rsid w:val="008A40CE"/>
    <w:rsid w:val="008A443A"/>
    <w:rsid w:val="008A4C9D"/>
    <w:rsid w:val="008A4FD2"/>
    <w:rsid w:val="008A50AB"/>
    <w:rsid w:val="008A5701"/>
    <w:rsid w:val="008A5DC0"/>
    <w:rsid w:val="008A680B"/>
    <w:rsid w:val="008A68CE"/>
    <w:rsid w:val="008A6F20"/>
    <w:rsid w:val="008A7090"/>
    <w:rsid w:val="008B0190"/>
    <w:rsid w:val="008B041F"/>
    <w:rsid w:val="008B0629"/>
    <w:rsid w:val="008B07BC"/>
    <w:rsid w:val="008B1242"/>
    <w:rsid w:val="008B165E"/>
    <w:rsid w:val="008B16CD"/>
    <w:rsid w:val="008B173A"/>
    <w:rsid w:val="008B19FD"/>
    <w:rsid w:val="008B1D39"/>
    <w:rsid w:val="008B21AD"/>
    <w:rsid w:val="008B2795"/>
    <w:rsid w:val="008B27CF"/>
    <w:rsid w:val="008B2B3C"/>
    <w:rsid w:val="008B30B0"/>
    <w:rsid w:val="008B320A"/>
    <w:rsid w:val="008B327D"/>
    <w:rsid w:val="008B3C26"/>
    <w:rsid w:val="008B44A8"/>
    <w:rsid w:val="008B4705"/>
    <w:rsid w:val="008B4957"/>
    <w:rsid w:val="008B5D4B"/>
    <w:rsid w:val="008B6A86"/>
    <w:rsid w:val="008B70EF"/>
    <w:rsid w:val="008B7125"/>
    <w:rsid w:val="008C01D1"/>
    <w:rsid w:val="008C022C"/>
    <w:rsid w:val="008C0A2D"/>
    <w:rsid w:val="008C0F0C"/>
    <w:rsid w:val="008C1E94"/>
    <w:rsid w:val="008C248C"/>
    <w:rsid w:val="008C298A"/>
    <w:rsid w:val="008C2C08"/>
    <w:rsid w:val="008C2F0D"/>
    <w:rsid w:val="008C30EB"/>
    <w:rsid w:val="008C326F"/>
    <w:rsid w:val="008C34B2"/>
    <w:rsid w:val="008C3788"/>
    <w:rsid w:val="008C3C39"/>
    <w:rsid w:val="008C46BF"/>
    <w:rsid w:val="008C48B0"/>
    <w:rsid w:val="008C50E6"/>
    <w:rsid w:val="008C541E"/>
    <w:rsid w:val="008C57A8"/>
    <w:rsid w:val="008C635B"/>
    <w:rsid w:val="008C6976"/>
    <w:rsid w:val="008C6B7D"/>
    <w:rsid w:val="008C7074"/>
    <w:rsid w:val="008C73F7"/>
    <w:rsid w:val="008C750D"/>
    <w:rsid w:val="008C7604"/>
    <w:rsid w:val="008C7A40"/>
    <w:rsid w:val="008D006B"/>
    <w:rsid w:val="008D02CD"/>
    <w:rsid w:val="008D0DFE"/>
    <w:rsid w:val="008D1038"/>
    <w:rsid w:val="008D1112"/>
    <w:rsid w:val="008D14BB"/>
    <w:rsid w:val="008D176B"/>
    <w:rsid w:val="008D196A"/>
    <w:rsid w:val="008D1A01"/>
    <w:rsid w:val="008D1F29"/>
    <w:rsid w:val="008D22DF"/>
    <w:rsid w:val="008D25B4"/>
    <w:rsid w:val="008D2835"/>
    <w:rsid w:val="008D3836"/>
    <w:rsid w:val="008D3DDA"/>
    <w:rsid w:val="008D3FF4"/>
    <w:rsid w:val="008D4678"/>
    <w:rsid w:val="008D4831"/>
    <w:rsid w:val="008D48C6"/>
    <w:rsid w:val="008D53C2"/>
    <w:rsid w:val="008D53D8"/>
    <w:rsid w:val="008D5C9C"/>
    <w:rsid w:val="008D60BA"/>
    <w:rsid w:val="008D653F"/>
    <w:rsid w:val="008D67E9"/>
    <w:rsid w:val="008D7032"/>
    <w:rsid w:val="008D73C3"/>
    <w:rsid w:val="008D73D2"/>
    <w:rsid w:val="008D78AA"/>
    <w:rsid w:val="008E09C3"/>
    <w:rsid w:val="008E0ACA"/>
    <w:rsid w:val="008E0C42"/>
    <w:rsid w:val="008E1192"/>
    <w:rsid w:val="008E13BD"/>
    <w:rsid w:val="008E16C7"/>
    <w:rsid w:val="008E182C"/>
    <w:rsid w:val="008E1C6A"/>
    <w:rsid w:val="008E20FF"/>
    <w:rsid w:val="008E272A"/>
    <w:rsid w:val="008E3521"/>
    <w:rsid w:val="008E3A2F"/>
    <w:rsid w:val="008E3AED"/>
    <w:rsid w:val="008E3C48"/>
    <w:rsid w:val="008E3CF5"/>
    <w:rsid w:val="008E3DEE"/>
    <w:rsid w:val="008E41B5"/>
    <w:rsid w:val="008E4C75"/>
    <w:rsid w:val="008E513C"/>
    <w:rsid w:val="008E56F4"/>
    <w:rsid w:val="008E69DA"/>
    <w:rsid w:val="008E6F55"/>
    <w:rsid w:val="008E7038"/>
    <w:rsid w:val="008E72DC"/>
    <w:rsid w:val="008E75BF"/>
    <w:rsid w:val="008F0837"/>
    <w:rsid w:val="008F0D04"/>
    <w:rsid w:val="008F0DD5"/>
    <w:rsid w:val="008F1113"/>
    <w:rsid w:val="008F1134"/>
    <w:rsid w:val="008F1581"/>
    <w:rsid w:val="008F15D8"/>
    <w:rsid w:val="008F160D"/>
    <w:rsid w:val="008F1B20"/>
    <w:rsid w:val="008F1CA8"/>
    <w:rsid w:val="008F1D9B"/>
    <w:rsid w:val="008F1EA8"/>
    <w:rsid w:val="008F1EB5"/>
    <w:rsid w:val="008F209F"/>
    <w:rsid w:val="008F21BA"/>
    <w:rsid w:val="008F222A"/>
    <w:rsid w:val="008F29DC"/>
    <w:rsid w:val="008F2B13"/>
    <w:rsid w:val="008F2C55"/>
    <w:rsid w:val="008F3684"/>
    <w:rsid w:val="008F3E98"/>
    <w:rsid w:val="008F4D07"/>
    <w:rsid w:val="008F4F70"/>
    <w:rsid w:val="008F5136"/>
    <w:rsid w:val="008F51BB"/>
    <w:rsid w:val="008F542D"/>
    <w:rsid w:val="008F57F6"/>
    <w:rsid w:val="008F5D76"/>
    <w:rsid w:val="008F5E15"/>
    <w:rsid w:val="008F62EF"/>
    <w:rsid w:val="008F6AA6"/>
    <w:rsid w:val="008F6CD8"/>
    <w:rsid w:val="008F6D8B"/>
    <w:rsid w:val="008F6F6F"/>
    <w:rsid w:val="008F7938"/>
    <w:rsid w:val="008F7B9C"/>
    <w:rsid w:val="008F7EBE"/>
    <w:rsid w:val="009006AA"/>
    <w:rsid w:val="009012FB"/>
    <w:rsid w:val="009020AD"/>
    <w:rsid w:val="009020C8"/>
    <w:rsid w:val="0090215C"/>
    <w:rsid w:val="00902DFD"/>
    <w:rsid w:val="00903093"/>
    <w:rsid w:val="0090310A"/>
    <w:rsid w:val="009039C4"/>
    <w:rsid w:val="00903E34"/>
    <w:rsid w:val="0090512C"/>
    <w:rsid w:val="009051FB"/>
    <w:rsid w:val="0090557C"/>
    <w:rsid w:val="0090562D"/>
    <w:rsid w:val="00905B1C"/>
    <w:rsid w:val="00905E17"/>
    <w:rsid w:val="0090633F"/>
    <w:rsid w:val="0090641A"/>
    <w:rsid w:val="0090737E"/>
    <w:rsid w:val="00907E49"/>
    <w:rsid w:val="009108E1"/>
    <w:rsid w:val="00910E84"/>
    <w:rsid w:val="00911411"/>
    <w:rsid w:val="00911B8C"/>
    <w:rsid w:val="00911DA0"/>
    <w:rsid w:val="0091226D"/>
    <w:rsid w:val="0091286D"/>
    <w:rsid w:val="00913197"/>
    <w:rsid w:val="0091353B"/>
    <w:rsid w:val="0091366D"/>
    <w:rsid w:val="00913A18"/>
    <w:rsid w:val="00913C26"/>
    <w:rsid w:val="00914035"/>
    <w:rsid w:val="00914399"/>
    <w:rsid w:val="009144A5"/>
    <w:rsid w:val="009145A3"/>
    <w:rsid w:val="00914882"/>
    <w:rsid w:val="009149DD"/>
    <w:rsid w:val="00914A25"/>
    <w:rsid w:val="00914E08"/>
    <w:rsid w:val="0091562C"/>
    <w:rsid w:val="00915C6E"/>
    <w:rsid w:val="00915CB5"/>
    <w:rsid w:val="00915EB0"/>
    <w:rsid w:val="009160C9"/>
    <w:rsid w:val="0091667E"/>
    <w:rsid w:val="009167E2"/>
    <w:rsid w:val="0091680A"/>
    <w:rsid w:val="00916D65"/>
    <w:rsid w:val="00916F6B"/>
    <w:rsid w:val="00917990"/>
    <w:rsid w:val="00917A63"/>
    <w:rsid w:val="00917BC5"/>
    <w:rsid w:val="00920649"/>
    <w:rsid w:val="00921262"/>
    <w:rsid w:val="00921588"/>
    <w:rsid w:val="009223FB"/>
    <w:rsid w:val="00922902"/>
    <w:rsid w:val="00922FE6"/>
    <w:rsid w:val="009231A5"/>
    <w:rsid w:val="0092343F"/>
    <w:rsid w:val="00923559"/>
    <w:rsid w:val="009236A4"/>
    <w:rsid w:val="009240F6"/>
    <w:rsid w:val="0092429A"/>
    <w:rsid w:val="00924745"/>
    <w:rsid w:val="00924C97"/>
    <w:rsid w:val="0092503F"/>
    <w:rsid w:val="00925C80"/>
    <w:rsid w:val="00925E60"/>
    <w:rsid w:val="00926944"/>
    <w:rsid w:val="009269F4"/>
    <w:rsid w:val="00927292"/>
    <w:rsid w:val="009272C0"/>
    <w:rsid w:val="00927717"/>
    <w:rsid w:val="00927E90"/>
    <w:rsid w:val="00927EF1"/>
    <w:rsid w:val="0093004F"/>
    <w:rsid w:val="0093040B"/>
    <w:rsid w:val="00930DB4"/>
    <w:rsid w:val="00930E6C"/>
    <w:rsid w:val="0093163C"/>
    <w:rsid w:val="00931682"/>
    <w:rsid w:val="00931C83"/>
    <w:rsid w:val="0093211F"/>
    <w:rsid w:val="00932186"/>
    <w:rsid w:val="00932464"/>
    <w:rsid w:val="009325A8"/>
    <w:rsid w:val="00932897"/>
    <w:rsid w:val="0093296D"/>
    <w:rsid w:val="00932987"/>
    <w:rsid w:val="00932FB8"/>
    <w:rsid w:val="009333DC"/>
    <w:rsid w:val="009337DB"/>
    <w:rsid w:val="00933BBE"/>
    <w:rsid w:val="00934030"/>
    <w:rsid w:val="009343A4"/>
    <w:rsid w:val="009344DC"/>
    <w:rsid w:val="00934F91"/>
    <w:rsid w:val="00935767"/>
    <w:rsid w:val="00935852"/>
    <w:rsid w:val="009362C3"/>
    <w:rsid w:val="0093657A"/>
    <w:rsid w:val="0093667C"/>
    <w:rsid w:val="009366D4"/>
    <w:rsid w:val="009367C4"/>
    <w:rsid w:val="00936CD8"/>
    <w:rsid w:val="00937069"/>
    <w:rsid w:val="00937178"/>
    <w:rsid w:val="00937331"/>
    <w:rsid w:val="00937702"/>
    <w:rsid w:val="00937A89"/>
    <w:rsid w:val="00937E06"/>
    <w:rsid w:val="00937F0C"/>
    <w:rsid w:val="00940328"/>
    <w:rsid w:val="009403AD"/>
    <w:rsid w:val="00940EA8"/>
    <w:rsid w:val="00940FE5"/>
    <w:rsid w:val="00941E99"/>
    <w:rsid w:val="009420B2"/>
    <w:rsid w:val="009426F7"/>
    <w:rsid w:val="009427EB"/>
    <w:rsid w:val="00942C9B"/>
    <w:rsid w:val="0094308D"/>
    <w:rsid w:val="009440AF"/>
    <w:rsid w:val="00944627"/>
    <w:rsid w:val="00944890"/>
    <w:rsid w:val="009448F8"/>
    <w:rsid w:val="00944B8F"/>
    <w:rsid w:val="0094633A"/>
    <w:rsid w:val="009463C3"/>
    <w:rsid w:val="00946883"/>
    <w:rsid w:val="009474E7"/>
    <w:rsid w:val="00947D06"/>
    <w:rsid w:val="009501B4"/>
    <w:rsid w:val="0095039D"/>
    <w:rsid w:val="009507B3"/>
    <w:rsid w:val="0095090A"/>
    <w:rsid w:val="00950CAC"/>
    <w:rsid w:val="00951176"/>
    <w:rsid w:val="009519A6"/>
    <w:rsid w:val="00951C14"/>
    <w:rsid w:val="00951D98"/>
    <w:rsid w:val="00951E83"/>
    <w:rsid w:val="0095270C"/>
    <w:rsid w:val="00952D62"/>
    <w:rsid w:val="00953AB5"/>
    <w:rsid w:val="00953E5F"/>
    <w:rsid w:val="009544DF"/>
    <w:rsid w:val="00954BBF"/>
    <w:rsid w:val="00954CB6"/>
    <w:rsid w:val="00954CE2"/>
    <w:rsid w:val="00954FCD"/>
    <w:rsid w:val="009556AA"/>
    <w:rsid w:val="009557AE"/>
    <w:rsid w:val="009557EA"/>
    <w:rsid w:val="00955A05"/>
    <w:rsid w:val="00955C91"/>
    <w:rsid w:val="00955DC8"/>
    <w:rsid w:val="00955F05"/>
    <w:rsid w:val="00955F7B"/>
    <w:rsid w:val="009567AC"/>
    <w:rsid w:val="00956C35"/>
    <w:rsid w:val="00956CC1"/>
    <w:rsid w:val="00956D57"/>
    <w:rsid w:val="00956E59"/>
    <w:rsid w:val="00957AC8"/>
    <w:rsid w:val="0096006A"/>
    <w:rsid w:val="009606FD"/>
    <w:rsid w:val="00960E05"/>
    <w:rsid w:val="00961073"/>
    <w:rsid w:val="0096184C"/>
    <w:rsid w:val="009619E6"/>
    <w:rsid w:val="00961C92"/>
    <w:rsid w:val="00961D25"/>
    <w:rsid w:val="00962004"/>
    <w:rsid w:val="00962749"/>
    <w:rsid w:val="0096283A"/>
    <w:rsid w:val="00962D3D"/>
    <w:rsid w:val="00962F63"/>
    <w:rsid w:val="00962FD6"/>
    <w:rsid w:val="009635FF"/>
    <w:rsid w:val="00963633"/>
    <w:rsid w:val="00963799"/>
    <w:rsid w:val="00963E5A"/>
    <w:rsid w:val="00964232"/>
    <w:rsid w:val="009645CF"/>
    <w:rsid w:val="00964A12"/>
    <w:rsid w:val="0096512C"/>
    <w:rsid w:val="009651FA"/>
    <w:rsid w:val="009660E5"/>
    <w:rsid w:val="0096612D"/>
    <w:rsid w:val="009661FC"/>
    <w:rsid w:val="0096631B"/>
    <w:rsid w:val="00966977"/>
    <w:rsid w:val="00966F1B"/>
    <w:rsid w:val="009672EC"/>
    <w:rsid w:val="00967BB9"/>
    <w:rsid w:val="00967E84"/>
    <w:rsid w:val="00970EB8"/>
    <w:rsid w:val="00970FB3"/>
    <w:rsid w:val="00971228"/>
    <w:rsid w:val="00971857"/>
    <w:rsid w:val="00971C40"/>
    <w:rsid w:val="009722F3"/>
    <w:rsid w:val="0097264F"/>
    <w:rsid w:val="009727C2"/>
    <w:rsid w:val="00972B22"/>
    <w:rsid w:val="00973445"/>
    <w:rsid w:val="00973733"/>
    <w:rsid w:val="0097384D"/>
    <w:rsid w:val="00973B1F"/>
    <w:rsid w:val="009749AD"/>
    <w:rsid w:val="009750CE"/>
    <w:rsid w:val="00975816"/>
    <w:rsid w:val="00975E09"/>
    <w:rsid w:val="00976910"/>
    <w:rsid w:val="00976DCD"/>
    <w:rsid w:val="00976EDA"/>
    <w:rsid w:val="009772CA"/>
    <w:rsid w:val="009772D1"/>
    <w:rsid w:val="0097747C"/>
    <w:rsid w:val="009802F0"/>
    <w:rsid w:val="00980500"/>
    <w:rsid w:val="0098069D"/>
    <w:rsid w:val="00980A59"/>
    <w:rsid w:val="00980BA8"/>
    <w:rsid w:val="009810FB"/>
    <w:rsid w:val="00981316"/>
    <w:rsid w:val="009814F8"/>
    <w:rsid w:val="009819FE"/>
    <w:rsid w:val="00982109"/>
    <w:rsid w:val="00982E94"/>
    <w:rsid w:val="0098306A"/>
    <w:rsid w:val="00983265"/>
    <w:rsid w:val="00983505"/>
    <w:rsid w:val="00983D5B"/>
    <w:rsid w:val="00983F71"/>
    <w:rsid w:val="0098489A"/>
    <w:rsid w:val="0098490F"/>
    <w:rsid w:val="00984AA2"/>
    <w:rsid w:val="0098552E"/>
    <w:rsid w:val="00985622"/>
    <w:rsid w:val="00986786"/>
    <w:rsid w:val="00986D0F"/>
    <w:rsid w:val="00986FE2"/>
    <w:rsid w:val="009875A2"/>
    <w:rsid w:val="009879E8"/>
    <w:rsid w:val="00987A25"/>
    <w:rsid w:val="00987A4B"/>
    <w:rsid w:val="00987AE4"/>
    <w:rsid w:val="00987CE4"/>
    <w:rsid w:val="00987D06"/>
    <w:rsid w:val="00987F6E"/>
    <w:rsid w:val="00990210"/>
    <w:rsid w:val="00990212"/>
    <w:rsid w:val="00990A2E"/>
    <w:rsid w:val="00990D38"/>
    <w:rsid w:val="00991234"/>
    <w:rsid w:val="00991439"/>
    <w:rsid w:val="00991448"/>
    <w:rsid w:val="00991AB2"/>
    <w:rsid w:val="00991CB3"/>
    <w:rsid w:val="0099209A"/>
    <w:rsid w:val="00992478"/>
    <w:rsid w:val="009926DE"/>
    <w:rsid w:val="00992FD7"/>
    <w:rsid w:val="0099311B"/>
    <w:rsid w:val="009931B5"/>
    <w:rsid w:val="009933E4"/>
    <w:rsid w:val="0099382C"/>
    <w:rsid w:val="00994293"/>
    <w:rsid w:val="009947C7"/>
    <w:rsid w:val="00994811"/>
    <w:rsid w:val="00994F58"/>
    <w:rsid w:val="009953A7"/>
    <w:rsid w:val="009955F2"/>
    <w:rsid w:val="00995B87"/>
    <w:rsid w:val="00995EA7"/>
    <w:rsid w:val="00995F2D"/>
    <w:rsid w:val="00996230"/>
    <w:rsid w:val="009965E2"/>
    <w:rsid w:val="00996BA8"/>
    <w:rsid w:val="00996FC9"/>
    <w:rsid w:val="009970F9"/>
    <w:rsid w:val="00997295"/>
    <w:rsid w:val="009973BB"/>
    <w:rsid w:val="009975EC"/>
    <w:rsid w:val="00997A43"/>
    <w:rsid w:val="00997C45"/>
    <w:rsid w:val="009A03A7"/>
    <w:rsid w:val="009A044E"/>
    <w:rsid w:val="009A067C"/>
    <w:rsid w:val="009A08C8"/>
    <w:rsid w:val="009A0A8A"/>
    <w:rsid w:val="009A1227"/>
    <w:rsid w:val="009A1307"/>
    <w:rsid w:val="009A158A"/>
    <w:rsid w:val="009A1E9B"/>
    <w:rsid w:val="009A2220"/>
    <w:rsid w:val="009A2248"/>
    <w:rsid w:val="009A269C"/>
    <w:rsid w:val="009A2AD3"/>
    <w:rsid w:val="009A2D3C"/>
    <w:rsid w:val="009A36B2"/>
    <w:rsid w:val="009A38EA"/>
    <w:rsid w:val="009A3E8B"/>
    <w:rsid w:val="009A3FA1"/>
    <w:rsid w:val="009A407E"/>
    <w:rsid w:val="009A4373"/>
    <w:rsid w:val="009A4971"/>
    <w:rsid w:val="009A4AC9"/>
    <w:rsid w:val="009A4D08"/>
    <w:rsid w:val="009A4E0F"/>
    <w:rsid w:val="009A50B6"/>
    <w:rsid w:val="009A5168"/>
    <w:rsid w:val="009A52F8"/>
    <w:rsid w:val="009A55D4"/>
    <w:rsid w:val="009A57DC"/>
    <w:rsid w:val="009A5B5D"/>
    <w:rsid w:val="009A5BBF"/>
    <w:rsid w:val="009A5BCC"/>
    <w:rsid w:val="009A5D58"/>
    <w:rsid w:val="009A5E4F"/>
    <w:rsid w:val="009A6453"/>
    <w:rsid w:val="009A7350"/>
    <w:rsid w:val="009A76FE"/>
    <w:rsid w:val="009A7BBC"/>
    <w:rsid w:val="009A7CDC"/>
    <w:rsid w:val="009B0036"/>
    <w:rsid w:val="009B02F4"/>
    <w:rsid w:val="009B0519"/>
    <w:rsid w:val="009B051D"/>
    <w:rsid w:val="009B0738"/>
    <w:rsid w:val="009B08E4"/>
    <w:rsid w:val="009B0977"/>
    <w:rsid w:val="009B09EA"/>
    <w:rsid w:val="009B0A14"/>
    <w:rsid w:val="009B15F6"/>
    <w:rsid w:val="009B1713"/>
    <w:rsid w:val="009B1721"/>
    <w:rsid w:val="009B18F4"/>
    <w:rsid w:val="009B1E96"/>
    <w:rsid w:val="009B23DC"/>
    <w:rsid w:val="009B25F5"/>
    <w:rsid w:val="009B27F7"/>
    <w:rsid w:val="009B2E77"/>
    <w:rsid w:val="009B2FC4"/>
    <w:rsid w:val="009B3383"/>
    <w:rsid w:val="009B367E"/>
    <w:rsid w:val="009B3F96"/>
    <w:rsid w:val="009B45A3"/>
    <w:rsid w:val="009B462D"/>
    <w:rsid w:val="009B46C0"/>
    <w:rsid w:val="009B479F"/>
    <w:rsid w:val="009B4DFD"/>
    <w:rsid w:val="009B50FB"/>
    <w:rsid w:val="009B536C"/>
    <w:rsid w:val="009B62F2"/>
    <w:rsid w:val="009B6D9A"/>
    <w:rsid w:val="009B753E"/>
    <w:rsid w:val="009B78BC"/>
    <w:rsid w:val="009C0765"/>
    <w:rsid w:val="009C0F63"/>
    <w:rsid w:val="009C114E"/>
    <w:rsid w:val="009C12E9"/>
    <w:rsid w:val="009C1784"/>
    <w:rsid w:val="009C2054"/>
    <w:rsid w:val="009C24EB"/>
    <w:rsid w:val="009C2594"/>
    <w:rsid w:val="009C2A6B"/>
    <w:rsid w:val="009C2C3F"/>
    <w:rsid w:val="009C2DE0"/>
    <w:rsid w:val="009C2E5A"/>
    <w:rsid w:val="009C30A3"/>
    <w:rsid w:val="009C318D"/>
    <w:rsid w:val="009C341D"/>
    <w:rsid w:val="009C3B6A"/>
    <w:rsid w:val="009C3FD0"/>
    <w:rsid w:val="009C451B"/>
    <w:rsid w:val="009C547C"/>
    <w:rsid w:val="009C5806"/>
    <w:rsid w:val="009C5F2F"/>
    <w:rsid w:val="009C6341"/>
    <w:rsid w:val="009C653D"/>
    <w:rsid w:val="009C68D1"/>
    <w:rsid w:val="009C6A9E"/>
    <w:rsid w:val="009C6C06"/>
    <w:rsid w:val="009C721E"/>
    <w:rsid w:val="009C7B7E"/>
    <w:rsid w:val="009C7E43"/>
    <w:rsid w:val="009D0188"/>
    <w:rsid w:val="009D06E2"/>
    <w:rsid w:val="009D0ADA"/>
    <w:rsid w:val="009D0CF2"/>
    <w:rsid w:val="009D1292"/>
    <w:rsid w:val="009D192F"/>
    <w:rsid w:val="009D1F2C"/>
    <w:rsid w:val="009D1F8D"/>
    <w:rsid w:val="009D1FAB"/>
    <w:rsid w:val="009D2787"/>
    <w:rsid w:val="009D2C24"/>
    <w:rsid w:val="009D3660"/>
    <w:rsid w:val="009D3A22"/>
    <w:rsid w:val="009D3E39"/>
    <w:rsid w:val="009D4399"/>
    <w:rsid w:val="009D444A"/>
    <w:rsid w:val="009D464E"/>
    <w:rsid w:val="009D4E74"/>
    <w:rsid w:val="009D4F20"/>
    <w:rsid w:val="009D4F9E"/>
    <w:rsid w:val="009D56E3"/>
    <w:rsid w:val="009D59A8"/>
    <w:rsid w:val="009D5B81"/>
    <w:rsid w:val="009D62F2"/>
    <w:rsid w:val="009D6BBC"/>
    <w:rsid w:val="009D7B2B"/>
    <w:rsid w:val="009E0201"/>
    <w:rsid w:val="009E05D6"/>
    <w:rsid w:val="009E0DD4"/>
    <w:rsid w:val="009E0DED"/>
    <w:rsid w:val="009E12C8"/>
    <w:rsid w:val="009E13D7"/>
    <w:rsid w:val="009E1E3D"/>
    <w:rsid w:val="009E202C"/>
    <w:rsid w:val="009E28B9"/>
    <w:rsid w:val="009E2A8F"/>
    <w:rsid w:val="009E2E3B"/>
    <w:rsid w:val="009E3980"/>
    <w:rsid w:val="009E3B55"/>
    <w:rsid w:val="009E43F8"/>
    <w:rsid w:val="009E4599"/>
    <w:rsid w:val="009E469A"/>
    <w:rsid w:val="009E5646"/>
    <w:rsid w:val="009E5682"/>
    <w:rsid w:val="009E5806"/>
    <w:rsid w:val="009E6012"/>
    <w:rsid w:val="009E6B24"/>
    <w:rsid w:val="009E7B1F"/>
    <w:rsid w:val="009E7C7C"/>
    <w:rsid w:val="009E7EDD"/>
    <w:rsid w:val="009F0907"/>
    <w:rsid w:val="009F0AA2"/>
    <w:rsid w:val="009F1097"/>
    <w:rsid w:val="009F13D5"/>
    <w:rsid w:val="009F1983"/>
    <w:rsid w:val="009F1F41"/>
    <w:rsid w:val="009F23BD"/>
    <w:rsid w:val="009F24FC"/>
    <w:rsid w:val="009F2652"/>
    <w:rsid w:val="009F28DA"/>
    <w:rsid w:val="009F2913"/>
    <w:rsid w:val="009F2F4A"/>
    <w:rsid w:val="009F38CE"/>
    <w:rsid w:val="009F3C50"/>
    <w:rsid w:val="009F3FDB"/>
    <w:rsid w:val="009F421A"/>
    <w:rsid w:val="009F425D"/>
    <w:rsid w:val="009F42B3"/>
    <w:rsid w:val="009F48AA"/>
    <w:rsid w:val="009F4ACA"/>
    <w:rsid w:val="009F4E34"/>
    <w:rsid w:val="009F532D"/>
    <w:rsid w:val="009F583B"/>
    <w:rsid w:val="009F5ABB"/>
    <w:rsid w:val="009F6253"/>
    <w:rsid w:val="009F6ACC"/>
    <w:rsid w:val="009F6B67"/>
    <w:rsid w:val="009F7087"/>
    <w:rsid w:val="009F76C4"/>
    <w:rsid w:val="009F7DA5"/>
    <w:rsid w:val="009F7F00"/>
    <w:rsid w:val="00A00672"/>
    <w:rsid w:val="00A00F9E"/>
    <w:rsid w:val="00A012DB"/>
    <w:rsid w:val="00A01594"/>
    <w:rsid w:val="00A01832"/>
    <w:rsid w:val="00A01A2C"/>
    <w:rsid w:val="00A01B11"/>
    <w:rsid w:val="00A0283A"/>
    <w:rsid w:val="00A02887"/>
    <w:rsid w:val="00A02F1E"/>
    <w:rsid w:val="00A02FCC"/>
    <w:rsid w:val="00A03F4D"/>
    <w:rsid w:val="00A04318"/>
    <w:rsid w:val="00A0457F"/>
    <w:rsid w:val="00A04927"/>
    <w:rsid w:val="00A0497C"/>
    <w:rsid w:val="00A04BBC"/>
    <w:rsid w:val="00A04BE9"/>
    <w:rsid w:val="00A04F4B"/>
    <w:rsid w:val="00A04FFB"/>
    <w:rsid w:val="00A0585A"/>
    <w:rsid w:val="00A05CBF"/>
    <w:rsid w:val="00A05E5A"/>
    <w:rsid w:val="00A0695D"/>
    <w:rsid w:val="00A06E12"/>
    <w:rsid w:val="00A07554"/>
    <w:rsid w:val="00A10AC7"/>
    <w:rsid w:val="00A10AEE"/>
    <w:rsid w:val="00A10B0B"/>
    <w:rsid w:val="00A10D9D"/>
    <w:rsid w:val="00A10DA5"/>
    <w:rsid w:val="00A11319"/>
    <w:rsid w:val="00A11A60"/>
    <w:rsid w:val="00A1248A"/>
    <w:rsid w:val="00A12A2D"/>
    <w:rsid w:val="00A12E81"/>
    <w:rsid w:val="00A13915"/>
    <w:rsid w:val="00A13C4E"/>
    <w:rsid w:val="00A13F87"/>
    <w:rsid w:val="00A14560"/>
    <w:rsid w:val="00A14628"/>
    <w:rsid w:val="00A14D7C"/>
    <w:rsid w:val="00A14E53"/>
    <w:rsid w:val="00A15418"/>
    <w:rsid w:val="00A16B7B"/>
    <w:rsid w:val="00A178E7"/>
    <w:rsid w:val="00A178FD"/>
    <w:rsid w:val="00A17F7B"/>
    <w:rsid w:val="00A20195"/>
    <w:rsid w:val="00A2025F"/>
    <w:rsid w:val="00A20303"/>
    <w:rsid w:val="00A2032E"/>
    <w:rsid w:val="00A20829"/>
    <w:rsid w:val="00A20C72"/>
    <w:rsid w:val="00A225C6"/>
    <w:rsid w:val="00A23B92"/>
    <w:rsid w:val="00A23F13"/>
    <w:rsid w:val="00A240BF"/>
    <w:rsid w:val="00A242E1"/>
    <w:rsid w:val="00A24643"/>
    <w:rsid w:val="00A249A0"/>
    <w:rsid w:val="00A249F7"/>
    <w:rsid w:val="00A24B24"/>
    <w:rsid w:val="00A24B51"/>
    <w:rsid w:val="00A24C80"/>
    <w:rsid w:val="00A24E4F"/>
    <w:rsid w:val="00A252C3"/>
    <w:rsid w:val="00A252CE"/>
    <w:rsid w:val="00A26FE8"/>
    <w:rsid w:val="00A2728D"/>
    <w:rsid w:val="00A2746B"/>
    <w:rsid w:val="00A27EC4"/>
    <w:rsid w:val="00A27F83"/>
    <w:rsid w:val="00A3027C"/>
    <w:rsid w:val="00A307B9"/>
    <w:rsid w:val="00A30A76"/>
    <w:rsid w:val="00A30E02"/>
    <w:rsid w:val="00A30EB9"/>
    <w:rsid w:val="00A31367"/>
    <w:rsid w:val="00A3186F"/>
    <w:rsid w:val="00A32CAE"/>
    <w:rsid w:val="00A3371D"/>
    <w:rsid w:val="00A33C2B"/>
    <w:rsid w:val="00A33EE9"/>
    <w:rsid w:val="00A341C0"/>
    <w:rsid w:val="00A348D3"/>
    <w:rsid w:val="00A34F21"/>
    <w:rsid w:val="00A34FA2"/>
    <w:rsid w:val="00A35037"/>
    <w:rsid w:val="00A3523E"/>
    <w:rsid w:val="00A352BC"/>
    <w:rsid w:val="00A35521"/>
    <w:rsid w:val="00A35C4E"/>
    <w:rsid w:val="00A3673A"/>
    <w:rsid w:val="00A367E1"/>
    <w:rsid w:val="00A36884"/>
    <w:rsid w:val="00A3707D"/>
    <w:rsid w:val="00A37822"/>
    <w:rsid w:val="00A37C8C"/>
    <w:rsid w:val="00A37DB5"/>
    <w:rsid w:val="00A37E59"/>
    <w:rsid w:val="00A37FEC"/>
    <w:rsid w:val="00A40757"/>
    <w:rsid w:val="00A4079A"/>
    <w:rsid w:val="00A40A62"/>
    <w:rsid w:val="00A40BF6"/>
    <w:rsid w:val="00A40C5B"/>
    <w:rsid w:val="00A40D9E"/>
    <w:rsid w:val="00A40E17"/>
    <w:rsid w:val="00A40FEF"/>
    <w:rsid w:val="00A412B4"/>
    <w:rsid w:val="00A415A9"/>
    <w:rsid w:val="00A41767"/>
    <w:rsid w:val="00A417AF"/>
    <w:rsid w:val="00A41EE2"/>
    <w:rsid w:val="00A42538"/>
    <w:rsid w:val="00A42AAE"/>
    <w:rsid w:val="00A42BE2"/>
    <w:rsid w:val="00A43680"/>
    <w:rsid w:val="00A43CB2"/>
    <w:rsid w:val="00A44286"/>
    <w:rsid w:val="00A4460E"/>
    <w:rsid w:val="00A446ED"/>
    <w:rsid w:val="00A44794"/>
    <w:rsid w:val="00A448EF"/>
    <w:rsid w:val="00A44E0A"/>
    <w:rsid w:val="00A44F16"/>
    <w:rsid w:val="00A4514A"/>
    <w:rsid w:val="00A4544B"/>
    <w:rsid w:val="00A45793"/>
    <w:rsid w:val="00A45AAA"/>
    <w:rsid w:val="00A4612A"/>
    <w:rsid w:val="00A461A9"/>
    <w:rsid w:val="00A463B8"/>
    <w:rsid w:val="00A46541"/>
    <w:rsid w:val="00A473A0"/>
    <w:rsid w:val="00A47613"/>
    <w:rsid w:val="00A50017"/>
    <w:rsid w:val="00A5097F"/>
    <w:rsid w:val="00A50A2F"/>
    <w:rsid w:val="00A51505"/>
    <w:rsid w:val="00A517D9"/>
    <w:rsid w:val="00A51A64"/>
    <w:rsid w:val="00A51A85"/>
    <w:rsid w:val="00A53E27"/>
    <w:rsid w:val="00A543EB"/>
    <w:rsid w:val="00A54707"/>
    <w:rsid w:val="00A5527F"/>
    <w:rsid w:val="00A555A6"/>
    <w:rsid w:val="00A555DC"/>
    <w:rsid w:val="00A556DE"/>
    <w:rsid w:val="00A55B03"/>
    <w:rsid w:val="00A55DC7"/>
    <w:rsid w:val="00A56028"/>
    <w:rsid w:val="00A562E6"/>
    <w:rsid w:val="00A56DCA"/>
    <w:rsid w:val="00A56EB0"/>
    <w:rsid w:val="00A57135"/>
    <w:rsid w:val="00A57514"/>
    <w:rsid w:val="00A57602"/>
    <w:rsid w:val="00A57824"/>
    <w:rsid w:val="00A606AE"/>
    <w:rsid w:val="00A608D2"/>
    <w:rsid w:val="00A60A7C"/>
    <w:rsid w:val="00A60AD2"/>
    <w:rsid w:val="00A60DB5"/>
    <w:rsid w:val="00A60DE3"/>
    <w:rsid w:val="00A60EDD"/>
    <w:rsid w:val="00A62BA4"/>
    <w:rsid w:val="00A62F1B"/>
    <w:rsid w:val="00A63118"/>
    <w:rsid w:val="00A63947"/>
    <w:rsid w:val="00A63F11"/>
    <w:rsid w:val="00A64063"/>
    <w:rsid w:val="00A64B40"/>
    <w:rsid w:val="00A64DD4"/>
    <w:rsid w:val="00A6525E"/>
    <w:rsid w:val="00A6526E"/>
    <w:rsid w:val="00A6574A"/>
    <w:rsid w:val="00A66962"/>
    <w:rsid w:val="00A6696C"/>
    <w:rsid w:val="00A66988"/>
    <w:rsid w:val="00A66C6F"/>
    <w:rsid w:val="00A66F0B"/>
    <w:rsid w:val="00A674A2"/>
    <w:rsid w:val="00A67BA0"/>
    <w:rsid w:val="00A70049"/>
    <w:rsid w:val="00A700D2"/>
    <w:rsid w:val="00A71831"/>
    <w:rsid w:val="00A72295"/>
    <w:rsid w:val="00A722AF"/>
    <w:rsid w:val="00A72310"/>
    <w:rsid w:val="00A72611"/>
    <w:rsid w:val="00A72FE5"/>
    <w:rsid w:val="00A73091"/>
    <w:rsid w:val="00A73156"/>
    <w:rsid w:val="00A7328B"/>
    <w:rsid w:val="00A7388F"/>
    <w:rsid w:val="00A73DA1"/>
    <w:rsid w:val="00A73EF0"/>
    <w:rsid w:val="00A74112"/>
    <w:rsid w:val="00A74B3D"/>
    <w:rsid w:val="00A7504B"/>
    <w:rsid w:val="00A75A7C"/>
    <w:rsid w:val="00A76160"/>
    <w:rsid w:val="00A76521"/>
    <w:rsid w:val="00A77154"/>
    <w:rsid w:val="00A77462"/>
    <w:rsid w:val="00A775F1"/>
    <w:rsid w:val="00A7792B"/>
    <w:rsid w:val="00A77E37"/>
    <w:rsid w:val="00A8034E"/>
    <w:rsid w:val="00A80774"/>
    <w:rsid w:val="00A80BBE"/>
    <w:rsid w:val="00A80BD2"/>
    <w:rsid w:val="00A80E6F"/>
    <w:rsid w:val="00A81005"/>
    <w:rsid w:val="00A81543"/>
    <w:rsid w:val="00A81A39"/>
    <w:rsid w:val="00A825FF"/>
    <w:rsid w:val="00A8294F"/>
    <w:rsid w:val="00A8297B"/>
    <w:rsid w:val="00A83ED2"/>
    <w:rsid w:val="00A8413F"/>
    <w:rsid w:val="00A841C9"/>
    <w:rsid w:val="00A848B2"/>
    <w:rsid w:val="00A849A5"/>
    <w:rsid w:val="00A84E08"/>
    <w:rsid w:val="00A851FA"/>
    <w:rsid w:val="00A85204"/>
    <w:rsid w:val="00A85602"/>
    <w:rsid w:val="00A85A19"/>
    <w:rsid w:val="00A8631F"/>
    <w:rsid w:val="00A86452"/>
    <w:rsid w:val="00A87611"/>
    <w:rsid w:val="00A87C84"/>
    <w:rsid w:val="00A87D49"/>
    <w:rsid w:val="00A90030"/>
    <w:rsid w:val="00A90046"/>
    <w:rsid w:val="00A90542"/>
    <w:rsid w:val="00A909B5"/>
    <w:rsid w:val="00A90A3E"/>
    <w:rsid w:val="00A90AD0"/>
    <w:rsid w:val="00A9101B"/>
    <w:rsid w:val="00A91662"/>
    <w:rsid w:val="00A91A56"/>
    <w:rsid w:val="00A91A5F"/>
    <w:rsid w:val="00A91FD2"/>
    <w:rsid w:val="00A93845"/>
    <w:rsid w:val="00A93DD6"/>
    <w:rsid w:val="00A93E60"/>
    <w:rsid w:val="00A94AD1"/>
    <w:rsid w:val="00A94ED5"/>
    <w:rsid w:val="00A9525F"/>
    <w:rsid w:val="00A953AC"/>
    <w:rsid w:val="00A95437"/>
    <w:rsid w:val="00A95523"/>
    <w:rsid w:val="00A95852"/>
    <w:rsid w:val="00A95BDD"/>
    <w:rsid w:val="00A96705"/>
    <w:rsid w:val="00A968C9"/>
    <w:rsid w:val="00A9696C"/>
    <w:rsid w:val="00A977AE"/>
    <w:rsid w:val="00A977B0"/>
    <w:rsid w:val="00AA07C3"/>
    <w:rsid w:val="00AA0987"/>
    <w:rsid w:val="00AA0F40"/>
    <w:rsid w:val="00AA1283"/>
    <w:rsid w:val="00AA19A1"/>
    <w:rsid w:val="00AA1A2E"/>
    <w:rsid w:val="00AA1DE4"/>
    <w:rsid w:val="00AA1E72"/>
    <w:rsid w:val="00AA274A"/>
    <w:rsid w:val="00AA2F11"/>
    <w:rsid w:val="00AA3595"/>
    <w:rsid w:val="00AA3F6D"/>
    <w:rsid w:val="00AA3FD0"/>
    <w:rsid w:val="00AA4582"/>
    <w:rsid w:val="00AA5177"/>
    <w:rsid w:val="00AA54D3"/>
    <w:rsid w:val="00AA55C7"/>
    <w:rsid w:val="00AA5D97"/>
    <w:rsid w:val="00AA6367"/>
    <w:rsid w:val="00AA6792"/>
    <w:rsid w:val="00AA67FF"/>
    <w:rsid w:val="00AA6F87"/>
    <w:rsid w:val="00AA7164"/>
    <w:rsid w:val="00AA7215"/>
    <w:rsid w:val="00AA7CAF"/>
    <w:rsid w:val="00AB0046"/>
    <w:rsid w:val="00AB08CE"/>
    <w:rsid w:val="00AB0C38"/>
    <w:rsid w:val="00AB1750"/>
    <w:rsid w:val="00AB1878"/>
    <w:rsid w:val="00AB1899"/>
    <w:rsid w:val="00AB1C75"/>
    <w:rsid w:val="00AB1DE7"/>
    <w:rsid w:val="00AB1E7B"/>
    <w:rsid w:val="00AB241B"/>
    <w:rsid w:val="00AB24F1"/>
    <w:rsid w:val="00AB257C"/>
    <w:rsid w:val="00AB2F28"/>
    <w:rsid w:val="00AB365E"/>
    <w:rsid w:val="00AB443B"/>
    <w:rsid w:val="00AB44CD"/>
    <w:rsid w:val="00AB4667"/>
    <w:rsid w:val="00AB46C3"/>
    <w:rsid w:val="00AB4E1B"/>
    <w:rsid w:val="00AB4EA7"/>
    <w:rsid w:val="00AB4FEF"/>
    <w:rsid w:val="00AB57F6"/>
    <w:rsid w:val="00AB5AF3"/>
    <w:rsid w:val="00AB5DEE"/>
    <w:rsid w:val="00AB5E4E"/>
    <w:rsid w:val="00AB62E6"/>
    <w:rsid w:val="00AB638D"/>
    <w:rsid w:val="00AB6B43"/>
    <w:rsid w:val="00AB6E51"/>
    <w:rsid w:val="00AB76E0"/>
    <w:rsid w:val="00AB7A71"/>
    <w:rsid w:val="00AB7C65"/>
    <w:rsid w:val="00AC0076"/>
    <w:rsid w:val="00AC0A98"/>
    <w:rsid w:val="00AC0D24"/>
    <w:rsid w:val="00AC14EC"/>
    <w:rsid w:val="00AC1729"/>
    <w:rsid w:val="00AC18B9"/>
    <w:rsid w:val="00AC2954"/>
    <w:rsid w:val="00AC2E5B"/>
    <w:rsid w:val="00AC3200"/>
    <w:rsid w:val="00AC3300"/>
    <w:rsid w:val="00AC414B"/>
    <w:rsid w:val="00AC41AA"/>
    <w:rsid w:val="00AC420C"/>
    <w:rsid w:val="00AC4342"/>
    <w:rsid w:val="00AC49A6"/>
    <w:rsid w:val="00AC4BF9"/>
    <w:rsid w:val="00AC50F2"/>
    <w:rsid w:val="00AC535C"/>
    <w:rsid w:val="00AC539F"/>
    <w:rsid w:val="00AC559C"/>
    <w:rsid w:val="00AC563F"/>
    <w:rsid w:val="00AC6147"/>
    <w:rsid w:val="00AC6261"/>
    <w:rsid w:val="00AC63A4"/>
    <w:rsid w:val="00AC645F"/>
    <w:rsid w:val="00AC6DDB"/>
    <w:rsid w:val="00AC779C"/>
    <w:rsid w:val="00AD04FE"/>
    <w:rsid w:val="00AD06C1"/>
    <w:rsid w:val="00AD0B87"/>
    <w:rsid w:val="00AD119D"/>
    <w:rsid w:val="00AD12AC"/>
    <w:rsid w:val="00AD1536"/>
    <w:rsid w:val="00AD1C9E"/>
    <w:rsid w:val="00AD27B4"/>
    <w:rsid w:val="00AD3012"/>
    <w:rsid w:val="00AD3222"/>
    <w:rsid w:val="00AD32F7"/>
    <w:rsid w:val="00AD3A95"/>
    <w:rsid w:val="00AD3DB0"/>
    <w:rsid w:val="00AD44E5"/>
    <w:rsid w:val="00AD4519"/>
    <w:rsid w:val="00AD481E"/>
    <w:rsid w:val="00AD50E2"/>
    <w:rsid w:val="00AD584B"/>
    <w:rsid w:val="00AD5DC0"/>
    <w:rsid w:val="00AD5ED6"/>
    <w:rsid w:val="00AD5F24"/>
    <w:rsid w:val="00AD5FD7"/>
    <w:rsid w:val="00AD6061"/>
    <w:rsid w:val="00AD63D3"/>
    <w:rsid w:val="00AD65BA"/>
    <w:rsid w:val="00AD6851"/>
    <w:rsid w:val="00AD6B5D"/>
    <w:rsid w:val="00AD7027"/>
    <w:rsid w:val="00AD71D9"/>
    <w:rsid w:val="00AD7E85"/>
    <w:rsid w:val="00AE0B67"/>
    <w:rsid w:val="00AE0EE7"/>
    <w:rsid w:val="00AE11ED"/>
    <w:rsid w:val="00AE120E"/>
    <w:rsid w:val="00AE17A1"/>
    <w:rsid w:val="00AE22BE"/>
    <w:rsid w:val="00AE244F"/>
    <w:rsid w:val="00AE24A2"/>
    <w:rsid w:val="00AE2AD5"/>
    <w:rsid w:val="00AE3436"/>
    <w:rsid w:val="00AE35CD"/>
    <w:rsid w:val="00AE537F"/>
    <w:rsid w:val="00AE5544"/>
    <w:rsid w:val="00AE64A7"/>
    <w:rsid w:val="00AE6D16"/>
    <w:rsid w:val="00AE6E66"/>
    <w:rsid w:val="00AE70AA"/>
    <w:rsid w:val="00AE73F3"/>
    <w:rsid w:val="00AF0271"/>
    <w:rsid w:val="00AF099F"/>
    <w:rsid w:val="00AF1218"/>
    <w:rsid w:val="00AF1248"/>
    <w:rsid w:val="00AF12CD"/>
    <w:rsid w:val="00AF164B"/>
    <w:rsid w:val="00AF16F5"/>
    <w:rsid w:val="00AF190A"/>
    <w:rsid w:val="00AF1BD5"/>
    <w:rsid w:val="00AF1CA0"/>
    <w:rsid w:val="00AF1E89"/>
    <w:rsid w:val="00AF1FFD"/>
    <w:rsid w:val="00AF205D"/>
    <w:rsid w:val="00AF242C"/>
    <w:rsid w:val="00AF26D1"/>
    <w:rsid w:val="00AF3022"/>
    <w:rsid w:val="00AF312A"/>
    <w:rsid w:val="00AF3241"/>
    <w:rsid w:val="00AF3A3C"/>
    <w:rsid w:val="00AF3E31"/>
    <w:rsid w:val="00AF4109"/>
    <w:rsid w:val="00AF4235"/>
    <w:rsid w:val="00AF489E"/>
    <w:rsid w:val="00AF4B35"/>
    <w:rsid w:val="00AF5E98"/>
    <w:rsid w:val="00AF5ED0"/>
    <w:rsid w:val="00AF68D2"/>
    <w:rsid w:val="00AF732C"/>
    <w:rsid w:val="00AF74C8"/>
    <w:rsid w:val="00AF7B4A"/>
    <w:rsid w:val="00AF7C95"/>
    <w:rsid w:val="00AF7DE7"/>
    <w:rsid w:val="00B00085"/>
    <w:rsid w:val="00B006A8"/>
    <w:rsid w:val="00B00966"/>
    <w:rsid w:val="00B00CC1"/>
    <w:rsid w:val="00B00DE8"/>
    <w:rsid w:val="00B010C7"/>
    <w:rsid w:val="00B011F2"/>
    <w:rsid w:val="00B012DD"/>
    <w:rsid w:val="00B019A1"/>
    <w:rsid w:val="00B01EA9"/>
    <w:rsid w:val="00B0214A"/>
    <w:rsid w:val="00B0247F"/>
    <w:rsid w:val="00B02711"/>
    <w:rsid w:val="00B02A41"/>
    <w:rsid w:val="00B02B0D"/>
    <w:rsid w:val="00B0343C"/>
    <w:rsid w:val="00B036E0"/>
    <w:rsid w:val="00B039F0"/>
    <w:rsid w:val="00B03AF2"/>
    <w:rsid w:val="00B03C0C"/>
    <w:rsid w:val="00B03D11"/>
    <w:rsid w:val="00B04268"/>
    <w:rsid w:val="00B049D7"/>
    <w:rsid w:val="00B04A6B"/>
    <w:rsid w:val="00B04F49"/>
    <w:rsid w:val="00B05191"/>
    <w:rsid w:val="00B0527D"/>
    <w:rsid w:val="00B0532B"/>
    <w:rsid w:val="00B0589E"/>
    <w:rsid w:val="00B05EF9"/>
    <w:rsid w:val="00B067C3"/>
    <w:rsid w:val="00B06952"/>
    <w:rsid w:val="00B06E02"/>
    <w:rsid w:val="00B07348"/>
    <w:rsid w:val="00B0772A"/>
    <w:rsid w:val="00B078A9"/>
    <w:rsid w:val="00B07CFD"/>
    <w:rsid w:val="00B100AC"/>
    <w:rsid w:val="00B103A6"/>
    <w:rsid w:val="00B1053E"/>
    <w:rsid w:val="00B10A61"/>
    <w:rsid w:val="00B10E27"/>
    <w:rsid w:val="00B110AB"/>
    <w:rsid w:val="00B110C1"/>
    <w:rsid w:val="00B110DB"/>
    <w:rsid w:val="00B1189B"/>
    <w:rsid w:val="00B12935"/>
    <w:rsid w:val="00B129B7"/>
    <w:rsid w:val="00B12B2D"/>
    <w:rsid w:val="00B13128"/>
    <w:rsid w:val="00B13721"/>
    <w:rsid w:val="00B139AE"/>
    <w:rsid w:val="00B13C4B"/>
    <w:rsid w:val="00B14298"/>
    <w:rsid w:val="00B14BE9"/>
    <w:rsid w:val="00B14EA1"/>
    <w:rsid w:val="00B155B5"/>
    <w:rsid w:val="00B1577D"/>
    <w:rsid w:val="00B16262"/>
    <w:rsid w:val="00B16A1D"/>
    <w:rsid w:val="00B16BE0"/>
    <w:rsid w:val="00B16C80"/>
    <w:rsid w:val="00B16D2E"/>
    <w:rsid w:val="00B170A3"/>
    <w:rsid w:val="00B1783A"/>
    <w:rsid w:val="00B17ADD"/>
    <w:rsid w:val="00B17B02"/>
    <w:rsid w:val="00B17DB6"/>
    <w:rsid w:val="00B20173"/>
    <w:rsid w:val="00B201FA"/>
    <w:rsid w:val="00B20366"/>
    <w:rsid w:val="00B209F4"/>
    <w:rsid w:val="00B20BB9"/>
    <w:rsid w:val="00B20F01"/>
    <w:rsid w:val="00B2122C"/>
    <w:rsid w:val="00B21242"/>
    <w:rsid w:val="00B213AF"/>
    <w:rsid w:val="00B21884"/>
    <w:rsid w:val="00B21E9A"/>
    <w:rsid w:val="00B2229F"/>
    <w:rsid w:val="00B223D6"/>
    <w:rsid w:val="00B22D04"/>
    <w:rsid w:val="00B23068"/>
    <w:rsid w:val="00B237FA"/>
    <w:rsid w:val="00B2387C"/>
    <w:rsid w:val="00B23E91"/>
    <w:rsid w:val="00B23FEF"/>
    <w:rsid w:val="00B240E7"/>
    <w:rsid w:val="00B24250"/>
    <w:rsid w:val="00B2429A"/>
    <w:rsid w:val="00B2443F"/>
    <w:rsid w:val="00B245F2"/>
    <w:rsid w:val="00B24950"/>
    <w:rsid w:val="00B24D9B"/>
    <w:rsid w:val="00B24E45"/>
    <w:rsid w:val="00B24EA2"/>
    <w:rsid w:val="00B2623A"/>
    <w:rsid w:val="00B26519"/>
    <w:rsid w:val="00B26E23"/>
    <w:rsid w:val="00B270B6"/>
    <w:rsid w:val="00B2757E"/>
    <w:rsid w:val="00B27B66"/>
    <w:rsid w:val="00B27DEF"/>
    <w:rsid w:val="00B3002A"/>
    <w:rsid w:val="00B30909"/>
    <w:rsid w:val="00B30A94"/>
    <w:rsid w:val="00B30B56"/>
    <w:rsid w:val="00B30BDE"/>
    <w:rsid w:val="00B30CDD"/>
    <w:rsid w:val="00B30D6F"/>
    <w:rsid w:val="00B30FF5"/>
    <w:rsid w:val="00B31061"/>
    <w:rsid w:val="00B31322"/>
    <w:rsid w:val="00B31606"/>
    <w:rsid w:val="00B31D49"/>
    <w:rsid w:val="00B32126"/>
    <w:rsid w:val="00B329C7"/>
    <w:rsid w:val="00B33729"/>
    <w:rsid w:val="00B33DC4"/>
    <w:rsid w:val="00B34F16"/>
    <w:rsid w:val="00B35DC3"/>
    <w:rsid w:val="00B3677B"/>
    <w:rsid w:val="00B369D3"/>
    <w:rsid w:val="00B36A14"/>
    <w:rsid w:val="00B36C0C"/>
    <w:rsid w:val="00B3738D"/>
    <w:rsid w:val="00B378BA"/>
    <w:rsid w:val="00B378E7"/>
    <w:rsid w:val="00B378F9"/>
    <w:rsid w:val="00B37E05"/>
    <w:rsid w:val="00B37E10"/>
    <w:rsid w:val="00B37F65"/>
    <w:rsid w:val="00B37F8A"/>
    <w:rsid w:val="00B40B2F"/>
    <w:rsid w:val="00B40BE5"/>
    <w:rsid w:val="00B40C9B"/>
    <w:rsid w:val="00B40E29"/>
    <w:rsid w:val="00B40E83"/>
    <w:rsid w:val="00B414B6"/>
    <w:rsid w:val="00B4152F"/>
    <w:rsid w:val="00B417F7"/>
    <w:rsid w:val="00B418FB"/>
    <w:rsid w:val="00B41A74"/>
    <w:rsid w:val="00B41DDD"/>
    <w:rsid w:val="00B41FED"/>
    <w:rsid w:val="00B421CC"/>
    <w:rsid w:val="00B42914"/>
    <w:rsid w:val="00B42F86"/>
    <w:rsid w:val="00B432B9"/>
    <w:rsid w:val="00B4333D"/>
    <w:rsid w:val="00B43A5C"/>
    <w:rsid w:val="00B43CE3"/>
    <w:rsid w:val="00B43E7F"/>
    <w:rsid w:val="00B43EAE"/>
    <w:rsid w:val="00B44C1C"/>
    <w:rsid w:val="00B44D0D"/>
    <w:rsid w:val="00B45BCB"/>
    <w:rsid w:val="00B45C7E"/>
    <w:rsid w:val="00B45D1C"/>
    <w:rsid w:val="00B46240"/>
    <w:rsid w:val="00B4647C"/>
    <w:rsid w:val="00B466BC"/>
    <w:rsid w:val="00B47048"/>
    <w:rsid w:val="00B4726C"/>
    <w:rsid w:val="00B47270"/>
    <w:rsid w:val="00B476DE"/>
    <w:rsid w:val="00B47730"/>
    <w:rsid w:val="00B50E5D"/>
    <w:rsid w:val="00B50F25"/>
    <w:rsid w:val="00B51846"/>
    <w:rsid w:val="00B5196B"/>
    <w:rsid w:val="00B5197A"/>
    <w:rsid w:val="00B51B93"/>
    <w:rsid w:val="00B52123"/>
    <w:rsid w:val="00B52192"/>
    <w:rsid w:val="00B529DF"/>
    <w:rsid w:val="00B529E2"/>
    <w:rsid w:val="00B52E1C"/>
    <w:rsid w:val="00B53232"/>
    <w:rsid w:val="00B534FA"/>
    <w:rsid w:val="00B538A7"/>
    <w:rsid w:val="00B53984"/>
    <w:rsid w:val="00B53EDF"/>
    <w:rsid w:val="00B542CF"/>
    <w:rsid w:val="00B5493B"/>
    <w:rsid w:val="00B5516C"/>
    <w:rsid w:val="00B554CE"/>
    <w:rsid w:val="00B5559A"/>
    <w:rsid w:val="00B5581C"/>
    <w:rsid w:val="00B55E9E"/>
    <w:rsid w:val="00B565F1"/>
    <w:rsid w:val="00B566E2"/>
    <w:rsid w:val="00B56995"/>
    <w:rsid w:val="00B56C71"/>
    <w:rsid w:val="00B56E2A"/>
    <w:rsid w:val="00B5703E"/>
    <w:rsid w:val="00B573FE"/>
    <w:rsid w:val="00B57DA2"/>
    <w:rsid w:val="00B57DC1"/>
    <w:rsid w:val="00B57EE0"/>
    <w:rsid w:val="00B602EC"/>
    <w:rsid w:val="00B6079A"/>
    <w:rsid w:val="00B608A3"/>
    <w:rsid w:val="00B60FE8"/>
    <w:rsid w:val="00B6108F"/>
    <w:rsid w:val="00B6120B"/>
    <w:rsid w:val="00B61317"/>
    <w:rsid w:val="00B61869"/>
    <w:rsid w:val="00B61C85"/>
    <w:rsid w:val="00B62244"/>
    <w:rsid w:val="00B625C3"/>
    <w:rsid w:val="00B62756"/>
    <w:rsid w:val="00B6277B"/>
    <w:rsid w:val="00B62C37"/>
    <w:rsid w:val="00B63FEA"/>
    <w:rsid w:val="00B64205"/>
    <w:rsid w:val="00B6423F"/>
    <w:rsid w:val="00B64340"/>
    <w:rsid w:val="00B64364"/>
    <w:rsid w:val="00B646BF"/>
    <w:rsid w:val="00B64906"/>
    <w:rsid w:val="00B64941"/>
    <w:rsid w:val="00B654DB"/>
    <w:rsid w:val="00B657E8"/>
    <w:rsid w:val="00B65833"/>
    <w:rsid w:val="00B65A2D"/>
    <w:rsid w:val="00B65BBE"/>
    <w:rsid w:val="00B66261"/>
    <w:rsid w:val="00B66672"/>
    <w:rsid w:val="00B669A6"/>
    <w:rsid w:val="00B66F09"/>
    <w:rsid w:val="00B67B77"/>
    <w:rsid w:val="00B67EBD"/>
    <w:rsid w:val="00B703AF"/>
    <w:rsid w:val="00B705CF"/>
    <w:rsid w:val="00B708FB"/>
    <w:rsid w:val="00B70BA5"/>
    <w:rsid w:val="00B711C3"/>
    <w:rsid w:val="00B711F0"/>
    <w:rsid w:val="00B714CA"/>
    <w:rsid w:val="00B716C8"/>
    <w:rsid w:val="00B721A5"/>
    <w:rsid w:val="00B721C7"/>
    <w:rsid w:val="00B727AD"/>
    <w:rsid w:val="00B72BCF"/>
    <w:rsid w:val="00B72E9D"/>
    <w:rsid w:val="00B7329D"/>
    <w:rsid w:val="00B73395"/>
    <w:rsid w:val="00B7353A"/>
    <w:rsid w:val="00B73850"/>
    <w:rsid w:val="00B738DC"/>
    <w:rsid w:val="00B7424D"/>
    <w:rsid w:val="00B743A0"/>
    <w:rsid w:val="00B74475"/>
    <w:rsid w:val="00B74858"/>
    <w:rsid w:val="00B74A09"/>
    <w:rsid w:val="00B74A3A"/>
    <w:rsid w:val="00B74D9E"/>
    <w:rsid w:val="00B75DEF"/>
    <w:rsid w:val="00B76064"/>
    <w:rsid w:val="00B76D84"/>
    <w:rsid w:val="00B77876"/>
    <w:rsid w:val="00B7788E"/>
    <w:rsid w:val="00B80307"/>
    <w:rsid w:val="00B809F2"/>
    <w:rsid w:val="00B80E88"/>
    <w:rsid w:val="00B81096"/>
    <w:rsid w:val="00B81142"/>
    <w:rsid w:val="00B816B8"/>
    <w:rsid w:val="00B81BBB"/>
    <w:rsid w:val="00B82272"/>
    <w:rsid w:val="00B82360"/>
    <w:rsid w:val="00B82B4F"/>
    <w:rsid w:val="00B82B78"/>
    <w:rsid w:val="00B82EDC"/>
    <w:rsid w:val="00B832B4"/>
    <w:rsid w:val="00B834AF"/>
    <w:rsid w:val="00B83D67"/>
    <w:rsid w:val="00B83E74"/>
    <w:rsid w:val="00B843FE"/>
    <w:rsid w:val="00B849FA"/>
    <w:rsid w:val="00B84D8D"/>
    <w:rsid w:val="00B84E02"/>
    <w:rsid w:val="00B85129"/>
    <w:rsid w:val="00B8547C"/>
    <w:rsid w:val="00B85F9A"/>
    <w:rsid w:val="00B8608B"/>
    <w:rsid w:val="00B86279"/>
    <w:rsid w:val="00B86568"/>
    <w:rsid w:val="00B8675F"/>
    <w:rsid w:val="00B86928"/>
    <w:rsid w:val="00B869B1"/>
    <w:rsid w:val="00B86B13"/>
    <w:rsid w:val="00B87435"/>
    <w:rsid w:val="00B87481"/>
    <w:rsid w:val="00B87995"/>
    <w:rsid w:val="00B90241"/>
    <w:rsid w:val="00B906CA"/>
    <w:rsid w:val="00B907BB"/>
    <w:rsid w:val="00B90A20"/>
    <w:rsid w:val="00B90D42"/>
    <w:rsid w:val="00B90E95"/>
    <w:rsid w:val="00B9144F"/>
    <w:rsid w:val="00B91922"/>
    <w:rsid w:val="00B9199C"/>
    <w:rsid w:val="00B91AC0"/>
    <w:rsid w:val="00B9248C"/>
    <w:rsid w:val="00B924EC"/>
    <w:rsid w:val="00B92E53"/>
    <w:rsid w:val="00B92E5A"/>
    <w:rsid w:val="00B92EF5"/>
    <w:rsid w:val="00B93219"/>
    <w:rsid w:val="00B93271"/>
    <w:rsid w:val="00B9341C"/>
    <w:rsid w:val="00B9351A"/>
    <w:rsid w:val="00B93839"/>
    <w:rsid w:val="00B93973"/>
    <w:rsid w:val="00B93FD2"/>
    <w:rsid w:val="00B942AC"/>
    <w:rsid w:val="00B95110"/>
    <w:rsid w:val="00B95876"/>
    <w:rsid w:val="00B95D0F"/>
    <w:rsid w:val="00B96172"/>
    <w:rsid w:val="00B9621C"/>
    <w:rsid w:val="00B9632D"/>
    <w:rsid w:val="00B9667A"/>
    <w:rsid w:val="00B97227"/>
    <w:rsid w:val="00B976B5"/>
    <w:rsid w:val="00B979B5"/>
    <w:rsid w:val="00BA057E"/>
    <w:rsid w:val="00BA099B"/>
    <w:rsid w:val="00BA0B08"/>
    <w:rsid w:val="00BA0C6C"/>
    <w:rsid w:val="00BA1530"/>
    <w:rsid w:val="00BA173D"/>
    <w:rsid w:val="00BA1944"/>
    <w:rsid w:val="00BA1B27"/>
    <w:rsid w:val="00BA1E27"/>
    <w:rsid w:val="00BA2285"/>
    <w:rsid w:val="00BA288F"/>
    <w:rsid w:val="00BA28CC"/>
    <w:rsid w:val="00BA2FDE"/>
    <w:rsid w:val="00BA2FFA"/>
    <w:rsid w:val="00BA376D"/>
    <w:rsid w:val="00BA39C4"/>
    <w:rsid w:val="00BA4773"/>
    <w:rsid w:val="00BA5399"/>
    <w:rsid w:val="00BA5F4E"/>
    <w:rsid w:val="00BA5FDD"/>
    <w:rsid w:val="00BA6673"/>
    <w:rsid w:val="00BA6AD2"/>
    <w:rsid w:val="00BA6B11"/>
    <w:rsid w:val="00BA6D69"/>
    <w:rsid w:val="00BA6F24"/>
    <w:rsid w:val="00BA707E"/>
    <w:rsid w:val="00BA74D8"/>
    <w:rsid w:val="00BA7B75"/>
    <w:rsid w:val="00BA7B94"/>
    <w:rsid w:val="00BA7E6D"/>
    <w:rsid w:val="00BB059C"/>
    <w:rsid w:val="00BB07AE"/>
    <w:rsid w:val="00BB0DAE"/>
    <w:rsid w:val="00BB0DBD"/>
    <w:rsid w:val="00BB0FA6"/>
    <w:rsid w:val="00BB1069"/>
    <w:rsid w:val="00BB106E"/>
    <w:rsid w:val="00BB11E9"/>
    <w:rsid w:val="00BB14D2"/>
    <w:rsid w:val="00BB1BC3"/>
    <w:rsid w:val="00BB27DB"/>
    <w:rsid w:val="00BB2AD2"/>
    <w:rsid w:val="00BB2DCA"/>
    <w:rsid w:val="00BB329E"/>
    <w:rsid w:val="00BB3D38"/>
    <w:rsid w:val="00BB3D3C"/>
    <w:rsid w:val="00BB45A9"/>
    <w:rsid w:val="00BB475C"/>
    <w:rsid w:val="00BB48E1"/>
    <w:rsid w:val="00BB4A49"/>
    <w:rsid w:val="00BB4F85"/>
    <w:rsid w:val="00BB5024"/>
    <w:rsid w:val="00BB55DF"/>
    <w:rsid w:val="00BB5AD6"/>
    <w:rsid w:val="00BB5FA3"/>
    <w:rsid w:val="00BB62FD"/>
    <w:rsid w:val="00BB69B8"/>
    <w:rsid w:val="00BB6BEE"/>
    <w:rsid w:val="00BB6DC9"/>
    <w:rsid w:val="00BB6EB8"/>
    <w:rsid w:val="00BB76BF"/>
    <w:rsid w:val="00BC02C9"/>
    <w:rsid w:val="00BC0416"/>
    <w:rsid w:val="00BC11F6"/>
    <w:rsid w:val="00BC1E67"/>
    <w:rsid w:val="00BC2554"/>
    <w:rsid w:val="00BC2583"/>
    <w:rsid w:val="00BC2620"/>
    <w:rsid w:val="00BC280E"/>
    <w:rsid w:val="00BC2D54"/>
    <w:rsid w:val="00BC3134"/>
    <w:rsid w:val="00BC376A"/>
    <w:rsid w:val="00BC392D"/>
    <w:rsid w:val="00BC4CB2"/>
    <w:rsid w:val="00BC5185"/>
    <w:rsid w:val="00BC5FC4"/>
    <w:rsid w:val="00BC6426"/>
    <w:rsid w:val="00BC65A3"/>
    <w:rsid w:val="00BC6902"/>
    <w:rsid w:val="00BC6B51"/>
    <w:rsid w:val="00BC7265"/>
    <w:rsid w:val="00BC7453"/>
    <w:rsid w:val="00BC7C00"/>
    <w:rsid w:val="00BD01E6"/>
    <w:rsid w:val="00BD0223"/>
    <w:rsid w:val="00BD0265"/>
    <w:rsid w:val="00BD0457"/>
    <w:rsid w:val="00BD0864"/>
    <w:rsid w:val="00BD0C34"/>
    <w:rsid w:val="00BD0DFE"/>
    <w:rsid w:val="00BD174A"/>
    <w:rsid w:val="00BD1F2A"/>
    <w:rsid w:val="00BD209D"/>
    <w:rsid w:val="00BD25FB"/>
    <w:rsid w:val="00BD2711"/>
    <w:rsid w:val="00BD369D"/>
    <w:rsid w:val="00BD3834"/>
    <w:rsid w:val="00BD3B54"/>
    <w:rsid w:val="00BD3B97"/>
    <w:rsid w:val="00BD3E27"/>
    <w:rsid w:val="00BD462D"/>
    <w:rsid w:val="00BD4784"/>
    <w:rsid w:val="00BD4895"/>
    <w:rsid w:val="00BD4A93"/>
    <w:rsid w:val="00BD4A9D"/>
    <w:rsid w:val="00BD4E44"/>
    <w:rsid w:val="00BD68EF"/>
    <w:rsid w:val="00BD6A65"/>
    <w:rsid w:val="00BD6C15"/>
    <w:rsid w:val="00BD6F34"/>
    <w:rsid w:val="00BD712F"/>
    <w:rsid w:val="00BD7545"/>
    <w:rsid w:val="00BD756E"/>
    <w:rsid w:val="00BD76D4"/>
    <w:rsid w:val="00BD775F"/>
    <w:rsid w:val="00BD7A60"/>
    <w:rsid w:val="00BE040E"/>
    <w:rsid w:val="00BE0761"/>
    <w:rsid w:val="00BE0851"/>
    <w:rsid w:val="00BE08F4"/>
    <w:rsid w:val="00BE0C2E"/>
    <w:rsid w:val="00BE16B2"/>
    <w:rsid w:val="00BE1C49"/>
    <w:rsid w:val="00BE1D60"/>
    <w:rsid w:val="00BE1D66"/>
    <w:rsid w:val="00BE1F9B"/>
    <w:rsid w:val="00BE2024"/>
    <w:rsid w:val="00BE2100"/>
    <w:rsid w:val="00BE2721"/>
    <w:rsid w:val="00BE2C17"/>
    <w:rsid w:val="00BE3398"/>
    <w:rsid w:val="00BE3676"/>
    <w:rsid w:val="00BE4005"/>
    <w:rsid w:val="00BE44BE"/>
    <w:rsid w:val="00BE4E66"/>
    <w:rsid w:val="00BE52A7"/>
    <w:rsid w:val="00BE564B"/>
    <w:rsid w:val="00BE58FC"/>
    <w:rsid w:val="00BE5A27"/>
    <w:rsid w:val="00BE5C73"/>
    <w:rsid w:val="00BE6021"/>
    <w:rsid w:val="00BE618A"/>
    <w:rsid w:val="00BE6677"/>
    <w:rsid w:val="00BE6D00"/>
    <w:rsid w:val="00BE7049"/>
    <w:rsid w:val="00BE708F"/>
    <w:rsid w:val="00BE748D"/>
    <w:rsid w:val="00BE74A3"/>
    <w:rsid w:val="00BE7723"/>
    <w:rsid w:val="00BE7A79"/>
    <w:rsid w:val="00BF10F5"/>
    <w:rsid w:val="00BF1593"/>
    <w:rsid w:val="00BF16D5"/>
    <w:rsid w:val="00BF196E"/>
    <w:rsid w:val="00BF1D82"/>
    <w:rsid w:val="00BF2045"/>
    <w:rsid w:val="00BF3625"/>
    <w:rsid w:val="00BF3781"/>
    <w:rsid w:val="00BF3966"/>
    <w:rsid w:val="00BF3A53"/>
    <w:rsid w:val="00BF3B6B"/>
    <w:rsid w:val="00BF41E2"/>
    <w:rsid w:val="00BF466D"/>
    <w:rsid w:val="00BF51EA"/>
    <w:rsid w:val="00BF5443"/>
    <w:rsid w:val="00BF5729"/>
    <w:rsid w:val="00BF5936"/>
    <w:rsid w:val="00BF62D3"/>
    <w:rsid w:val="00BF662F"/>
    <w:rsid w:val="00BF6977"/>
    <w:rsid w:val="00BF6E7C"/>
    <w:rsid w:val="00BF7316"/>
    <w:rsid w:val="00BF7CC7"/>
    <w:rsid w:val="00BF7DD9"/>
    <w:rsid w:val="00C0025C"/>
    <w:rsid w:val="00C0099A"/>
    <w:rsid w:val="00C00B59"/>
    <w:rsid w:val="00C00BB2"/>
    <w:rsid w:val="00C00CBC"/>
    <w:rsid w:val="00C012E6"/>
    <w:rsid w:val="00C02276"/>
    <w:rsid w:val="00C024A9"/>
    <w:rsid w:val="00C02536"/>
    <w:rsid w:val="00C026FD"/>
    <w:rsid w:val="00C02C91"/>
    <w:rsid w:val="00C032BF"/>
    <w:rsid w:val="00C03941"/>
    <w:rsid w:val="00C0398A"/>
    <w:rsid w:val="00C03A0A"/>
    <w:rsid w:val="00C03B14"/>
    <w:rsid w:val="00C03C31"/>
    <w:rsid w:val="00C04181"/>
    <w:rsid w:val="00C0419A"/>
    <w:rsid w:val="00C04331"/>
    <w:rsid w:val="00C04363"/>
    <w:rsid w:val="00C04B0A"/>
    <w:rsid w:val="00C04E9D"/>
    <w:rsid w:val="00C05184"/>
    <w:rsid w:val="00C06F91"/>
    <w:rsid w:val="00C07085"/>
    <w:rsid w:val="00C07293"/>
    <w:rsid w:val="00C07ACA"/>
    <w:rsid w:val="00C07C2B"/>
    <w:rsid w:val="00C1022A"/>
    <w:rsid w:val="00C10F9E"/>
    <w:rsid w:val="00C1149B"/>
    <w:rsid w:val="00C12A73"/>
    <w:rsid w:val="00C13515"/>
    <w:rsid w:val="00C13E1A"/>
    <w:rsid w:val="00C14078"/>
    <w:rsid w:val="00C14213"/>
    <w:rsid w:val="00C14CAF"/>
    <w:rsid w:val="00C14F79"/>
    <w:rsid w:val="00C1518C"/>
    <w:rsid w:val="00C156DF"/>
    <w:rsid w:val="00C157CD"/>
    <w:rsid w:val="00C15913"/>
    <w:rsid w:val="00C15AEF"/>
    <w:rsid w:val="00C16110"/>
    <w:rsid w:val="00C1636B"/>
    <w:rsid w:val="00C1715B"/>
    <w:rsid w:val="00C17244"/>
    <w:rsid w:val="00C173DC"/>
    <w:rsid w:val="00C17491"/>
    <w:rsid w:val="00C17775"/>
    <w:rsid w:val="00C17D8D"/>
    <w:rsid w:val="00C17F22"/>
    <w:rsid w:val="00C20200"/>
    <w:rsid w:val="00C2042B"/>
    <w:rsid w:val="00C205BF"/>
    <w:rsid w:val="00C20631"/>
    <w:rsid w:val="00C20868"/>
    <w:rsid w:val="00C22592"/>
    <w:rsid w:val="00C2259C"/>
    <w:rsid w:val="00C22672"/>
    <w:rsid w:val="00C227C7"/>
    <w:rsid w:val="00C22C28"/>
    <w:rsid w:val="00C22CC4"/>
    <w:rsid w:val="00C22CC7"/>
    <w:rsid w:val="00C22E7A"/>
    <w:rsid w:val="00C23B2D"/>
    <w:rsid w:val="00C23E1C"/>
    <w:rsid w:val="00C23ED2"/>
    <w:rsid w:val="00C2406A"/>
    <w:rsid w:val="00C2409D"/>
    <w:rsid w:val="00C248F3"/>
    <w:rsid w:val="00C24A17"/>
    <w:rsid w:val="00C24AE4"/>
    <w:rsid w:val="00C24DBE"/>
    <w:rsid w:val="00C25290"/>
    <w:rsid w:val="00C25683"/>
    <w:rsid w:val="00C25FA5"/>
    <w:rsid w:val="00C26351"/>
    <w:rsid w:val="00C26FED"/>
    <w:rsid w:val="00C27662"/>
    <w:rsid w:val="00C27DB0"/>
    <w:rsid w:val="00C27DEF"/>
    <w:rsid w:val="00C27E77"/>
    <w:rsid w:val="00C27E86"/>
    <w:rsid w:val="00C304B9"/>
    <w:rsid w:val="00C30D70"/>
    <w:rsid w:val="00C30F29"/>
    <w:rsid w:val="00C311D2"/>
    <w:rsid w:val="00C3169F"/>
    <w:rsid w:val="00C31729"/>
    <w:rsid w:val="00C31A7B"/>
    <w:rsid w:val="00C31DA6"/>
    <w:rsid w:val="00C320D1"/>
    <w:rsid w:val="00C32154"/>
    <w:rsid w:val="00C331F6"/>
    <w:rsid w:val="00C3320C"/>
    <w:rsid w:val="00C33489"/>
    <w:rsid w:val="00C33A80"/>
    <w:rsid w:val="00C346C5"/>
    <w:rsid w:val="00C34BD6"/>
    <w:rsid w:val="00C34BF2"/>
    <w:rsid w:val="00C34E44"/>
    <w:rsid w:val="00C35849"/>
    <w:rsid w:val="00C35BF5"/>
    <w:rsid w:val="00C35C17"/>
    <w:rsid w:val="00C35D84"/>
    <w:rsid w:val="00C36431"/>
    <w:rsid w:val="00C3669A"/>
    <w:rsid w:val="00C36700"/>
    <w:rsid w:val="00C36718"/>
    <w:rsid w:val="00C3675D"/>
    <w:rsid w:val="00C36DB2"/>
    <w:rsid w:val="00C370BE"/>
    <w:rsid w:val="00C370E6"/>
    <w:rsid w:val="00C37249"/>
    <w:rsid w:val="00C3726E"/>
    <w:rsid w:val="00C373E3"/>
    <w:rsid w:val="00C3755D"/>
    <w:rsid w:val="00C37918"/>
    <w:rsid w:val="00C3796D"/>
    <w:rsid w:val="00C4018A"/>
    <w:rsid w:val="00C40557"/>
    <w:rsid w:val="00C41216"/>
    <w:rsid w:val="00C41F11"/>
    <w:rsid w:val="00C420F6"/>
    <w:rsid w:val="00C422BA"/>
    <w:rsid w:val="00C423D5"/>
    <w:rsid w:val="00C4277C"/>
    <w:rsid w:val="00C42992"/>
    <w:rsid w:val="00C42B66"/>
    <w:rsid w:val="00C430C7"/>
    <w:rsid w:val="00C431F9"/>
    <w:rsid w:val="00C4338C"/>
    <w:rsid w:val="00C4366D"/>
    <w:rsid w:val="00C437B7"/>
    <w:rsid w:val="00C4395A"/>
    <w:rsid w:val="00C43C1A"/>
    <w:rsid w:val="00C43EE2"/>
    <w:rsid w:val="00C441F1"/>
    <w:rsid w:val="00C445D2"/>
    <w:rsid w:val="00C44DA0"/>
    <w:rsid w:val="00C44DA1"/>
    <w:rsid w:val="00C44EEA"/>
    <w:rsid w:val="00C454D3"/>
    <w:rsid w:val="00C45602"/>
    <w:rsid w:val="00C45F7B"/>
    <w:rsid w:val="00C45F9A"/>
    <w:rsid w:val="00C47272"/>
    <w:rsid w:val="00C47283"/>
    <w:rsid w:val="00C4733D"/>
    <w:rsid w:val="00C474EF"/>
    <w:rsid w:val="00C47586"/>
    <w:rsid w:val="00C47D8D"/>
    <w:rsid w:val="00C50227"/>
    <w:rsid w:val="00C50296"/>
    <w:rsid w:val="00C50631"/>
    <w:rsid w:val="00C5090E"/>
    <w:rsid w:val="00C50B51"/>
    <w:rsid w:val="00C50B99"/>
    <w:rsid w:val="00C50DB6"/>
    <w:rsid w:val="00C514DD"/>
    <w:rsid w:val="00C5196B"/>
    <w:rsid w:val="00C51F24"/>
    <w:rsid w:val="00C522AE"/>
    <w:rsid w:val="00C52625"/>
    <w:rsid w:val="00C52B8B"/>
    <w:rsid w:val="00C52C8E"/>
    <w:rsid w:val="00C52EE1"/>
    <w:rsid w:val="00C536AD"/>
    <w:rsid w:val="00C53A72"/>
    <w:rsid w:val="00C53B42"/>
    <w:rsid w:val="00C53FE2"/>
    <w:rsid w:val="00C54248"/>
    <w:rsid w:val="00C5430D"/>
    <w:rsid w:val="00C54440"/>
    <w:rsid w:val="00C544EB"/>
    <w:rsid w:val="00C54510"/>
    <w:rsid w:val="00C54573"/>
    <w:rsid w:val="00C5461E"/>
    <w:rsid w:val="00C54A11"/>
    <w:rsid w:val="00C54BB2"/>
    <w:rsid w:val="00C54FCA"/>
    <w:rsid w:val="00C5543F"/>
    <w:rsid w:val="00C55A10"/>
    <w:rsid w:val="00C562E5"/>
    <w:rsid w:val="00C5641A"/>
    <w:rsid w:val="00C56BDE"/>
    <w:rsid w:val="00C56F44"/>
    <w:rsid w:val="00C56F84"/>
    <w:rsid w:val="00C57040"/>
    <w:rsid w:val="00C5705A"/>
    <w:rsid w:val="00C570F8"/>
    <w:rsid w:val="00C571FE"/>
    <w:rsid w:val="00C5757B"/>
    <w:rsid w:val="00C60682"/>
    <w:rsid w:val="00C60B25"/>
    <w:rsid w:val="00C610F1"/>
    <w:rsid w:val="00C61620"/>
    <w:rsid w:val="00C6163A"/>
    <w:rsid w:val="00C61C61"/>
    <w:rsid w:val="00C61CDC"/>
    <w:rsid w:val="00C6269A"/>
    <w:rsid w:val="00C62849"/>
    <w:rsid w:val="00C62B54"/>
    <w:rsid w:val="00C63188"/>
    <w:rsid w:val="00C634DB"/>
    <w:rsid w:val="00C637A9"/>
    <w:rsid w:val="00C63BFF"/>
    <w:rsid w:val="00C63E05"/>
    <w:rsid w:val="00C64164"/>
    <w:rsid w:val="00C64362"/>
    <w:rsid w:val="00C64633"/>
    <w:rsid w:val="00C646EF"/>
    <w:rsid w:val="00C647A9"/>
    <w:rsid w:val="00C652D4"/>
    <w:rsid w:val="00C65416"/>
    <w:rsid w:val="00C65450"/>
    <w:rsid w:val="00C65952"/>
    <w:rsid w:val="00C659A2"/>
    <w:rsid w:val="00C65FAA"/>
    <w:rsid w:val="00C660F5"/>
    <w:rsid w:val="00C664A3"/>
    <w:rsid w:val="00C66B1D"/>
    <w:rsid w:val="00C66F48"/>
    <w:rsid w:val="00C66F7C"/>
    <w:rsid w:val="00C671EF"/>
    <w:rsid w:val="00C67DE6"/>
    <w:rsid w:val="00C70400"/>
    <w:rsid w:val="00C707C2"/>
    <w:rsid w:val="00C70992"/>
    <w:rsid w:val="00C70A90"/>
    <w:rsid w:val="00C70DD2"/>
    <w:rsid w:val="00C70E7B"/>
    <w:rsid w:val="00C70FB7"/>
    <w:rsid w:val="00C712FD"/>
    <w:rsid w:val="00C7158C"/>
    <w:rsid w:val="00C71A83"/>
    <w:rsid w:val="00C71C93"/>
    <w:rsid w:val="00C71ECC"/>
    <w:rsid w:val="00C7257C"/>
    <w:rsid w:val="00C72624"/>
    <w:rsid w:val="00C727A8"/>
    <w:rsid w:val="00C72B02"/>
    <w:rsid w:val="00C72F1B"/>
    <w:rsid w:val="00C73372"/>
    <w:rsid w:val="00C73541"/>
    <w:rsid w:val="00C73808"/>
    <w:rsid w:val="00C7384F"/>
    <w:rsid w:val="00C73984"/>
    <w:rsid w:val="00C74044"/>
    <w:rsid w:val="00C74314"/>
    <w:rsid w:val="00C747F6"/>
    <w:rsid w:val="00C74DAC"/>
    <w:rsid w:val="00C75557"/>
    <w:rsid w:val="00C75F99"/>
    <w:rsid w:val="00C76712"/>
    <w:rsid w:val="00C76DEC"/>
    <w:rsid w:val="00C76F0B"/>
    <w:rsid w:val="00C772BA"/>
    <w:rsid w:val="00C77324"/>
    <w:rsid w:val="00C77A13"/>
    <w:rsid w:val="00C80BC1"/>
    <w:rsid w:val="00C80C93"/>
    <w:rsid w:val="00C80F1A"/>
    <w:rsid w:val="00C813BD"/>
    <w:rsid w:val="00C818E7"/>
    <w:rsid w:val="00C81F7E"/>
    <w:rsid w:val="00C823FA"/>
    <w:rsid w:val="00C828FC"/>
    <w:rsid w:val="00C82AA2"/>
    <w:rsid w:val="00C82AD3"/>
    <w:rsid w:val="00C82FEC"/>
    <w:rsid w:val="00C83494"/>
    <w:rsid w:val="00C83498"/>
    <w:rsid w:val="00C846DA"/>
    <w:rsid w:val="00C84919"/>
    <w:rsid w:val="00C853E8"/>
    <w:rsid w:val="00C85452"/>
    <w:rsid w:val="00C860D0"/>
    <w:rsid w:val="00C8701E"/>
    <w:rsid w:val="00C873BC"/>
    <w:rsid w:val="00C87725"/>
    <w:rsid w:val="00C87A81"/>
    <w:rsid w:val="00C87E68"/>
    <w:rsid w:val="00C87F8A"/>
    <w:rsid w:val="00C9046A"/>
    <w:rsid w:val="00C9048F"/>
    <w:rsid w:val="00C90693"/>
    <w:rsid w:val="00C909DB"/>
    <w:rsid w:val="00C90F2E"/>
    <w:rsid w:val="00C910DB"/>
    <w:rsid w:val="00C91166"/>
    <w:rsid w:val="00C913C1"/>
    <w:rsid w:val="00C917EE"/>
    <w:rsid w:val="00C9192D"/>
    <w:rsid w:val="00C91A45"/>
    <w:rsid w:val="00C92174"/>
    <w:rsid w:val="00C93692"/>
    <w:rsid w:val="00C93859"/>
    <w:rsid w:val="00C93B71"/>
    <w:rsid w:val="00C942FA"/>
    <w:rsid w:val="00C94BBF"/>
    <w:rsid w:val="00C94EC9"/>
    <w:rsid w:val="00C956DB"/>
    <w:rsid w:val="00C95C27"/>
    <w:rsid w:val="00C95DF8"/>
    <w:rsid w:val="00C95E32"/>
    <w:rsid w:val="00C9617A"/>
    <w:rsid w:val="00C96244"/>
    <w:rsid w:val="00C9678B"/>
    <w:rsid w:val="00C9680B"/>
    <w:rsid w:val="00C96981"/>
    <w:rsid w:val="00C96FF7"/>
    <w:rsid w:val="00C976DB"/>
    <w:rsid w:val="00C977E8"/>
    <w:rsid w:val="00C97F61"/>
    <w:rsid w:val="00CA0B2C"/>
    <w:rsid w:val="00CA0F20"/>
    <w:rsid w:val="00CA118D"/>
    <w:rsid w:val="00CA179F"/>
    <w:rsid w:val="00CA17BD"/>
    <w:rsid w:val="00CA1A2A"/>
    <w:rsid w:val="00CA1D02"/>
    <w:rsid w:val="00CA1DC5"/>
    <w:rsid w:val="00CA22C4"/>
    <w:rsid w:val="00CA2753"/>
    <w:rsid w:val="00CA2BE7"/>
    <w:rsid w:val="00CA2D3F"/>
    <w:rsid w:val="00CA2F18"/>
    <w:rsid w:val="00CA34CE"/>
    <w:rsid w:val="00CA34ED"/>
    <w:rsid w:val="00CA3F79"/>
    <w:rsid w:val="00CA413E"/>
    <w:rsid w:val="00CA4187"/>
    <w:rsid w:val="00CA41AB"/>
    <w:rsid w:val="00CA45AD"/>
    <w:rsid w:val="00CA46B8"/>
    <w:rsid w:val="00CA48B0"/>
    <w:rsid w:val="00CA4B97"/>
    <w:rsid w:val="00CA4C49"/>
    <w:rsid w:val="00CA4D46"/>
    <w:rsid w:val="00CA4EF0"/>
    <w:rsid w:val="00CA5471"/>
    <w:rsid w:val="00CA56AC"/>
    <w:rsid w:val="00CA5E8D"/>
    <w:rsid w:val="00CA6765"/>
    <w:rsid w:val="00CA680E"/>
    <w:rsid w:val="00CA68C9"/>
    <w:rsid w:val="00CA69AE"/>
    <w:rsid w:val="00CA6B7A"/>
    <w:rsid w:val="00CA71A3"/>
    <w:rsid w:val="00CA72D2"/>
    <w:rsid w:val="00CA75AB"/>
    <w:rsid w:val="00CA78F9"/>
    <w:rsid w:val="00CA7C01"/>
    <w:rsid w:val="00CA7CA8"/>
    <w:rsid w:val="00CA7EB4"/>
    <w:rsid w:val="00CB019A"/>
    <w:rsid w:val="00CB0395"/>
    <w:rsid w:val="00CB0ED7"/>
    <w:rsid w:val="00CB15CA"/>
    <w:rsid w:val="00CB19A5"/>
    <w:rsid w:val="00CB1C7E"/>
    <w:rsid w:val="00CB29B4"/>
    <w:rsid w:val="00CB2E15"/>
    <w:rsid w:val="00CB2E79"/>
    <w:rsid w:val="00CB2FA2"/>
    <w:rsid w:val="00CB3013"/>
    <w:rsid w:val="00CB312F"/>
    <w:rsid w:val="00CB39AF"/>
    <w:rsid w:val="00CB3AA1"/>
    <w:rsid w:val="00CB3CB9"/>
    <w:rsid w:val="00CB4730"/>
    <w:rsid w:val="00CB49E4"/>
    <w:rsid w:val="00CB4A79"/>
    <w:rsid w:val="00CB54D4"/>
    <w:rsid w:val="00CB57A1"/>
    <w:rsid w:val="00CB57D8"/>
    <w:rsid w:val="00CB59ED"/>
    <w:rsid w:val="00CB5A40"/>
    <w:rsid w:val="00CB5EAF"/>
    <w:rsid w:val="00CB5FC6"/>
    <w:rsid w:val="00CB6ED8"/>
    <w:rsid w:val="00CB7771"/>
    <w:rsid w:val="00CB7A7A"/>
    <w:rsid w:val="00CB7FEE"/>
    <w:rsid w:val="00CC0687"/>
    <w:rsid w:val="00CC0B06"/>
    <w:rsid w:val="00CC181C"/>
    <w:rsid w:val="00CC1AAA"/>
    <w:rsid w:val="00CC1E51"/>
    <w:rsid w:val="00CC1F5F"/>
    <w:rsid w:val="00CC20C0"/>
    <w:rsid w:val="00CC2882"/>
    <w:rsid w:val="00CC2F61"/>
    <w:rsid w:val="00CC3186"/>
    <w:rsid w:val="00CC341C"/>
    <w:rsid w:val="00CC4022"/>
    <w:rsid w:val="00CC404A"/>
    <w:rsid w:val="00CC4216"/>
    <w:rsid w:val="00CC42CE"/>
    <w:rsid w:val="00CC449A"/>
    <w:rsid w:val="00CC4BE9"/>
    <w:rsid w:val="00CC4D42"/>
    <w:rsid w:val="00CC4FE0"/>
    <w:rsid w:val="00CC51BE"/>
    <w:rsid w:val="00CC52AC"/>
    <w:rsid w:val="00CC564F"/>
    <w:rsid w:val="00CC5B57"/>
    <w:rsid w:val="00CC5BFC"/>
    <w:rsid w:val="00CC5F6E"/>
    <w:rsid w:val="00CC7420"/>
    <w:rsid w:val="00CC7486"/>
    <w:rsid w:val="00CC75BE"/>
    <w:rsid w:val="00CC75D4"/>
    <w:rsid w:val="00CC79D5"/>
    <w:rsid w:val="00CC7D7B"/>
    <w:rsid w:val="00CC7D8F"/>
    <w:rsid w:val="00CD031C"/>
    <w:rsid w:val="00CD03D6"/>
    <w:rsid w:val="00CD070B"/>
    <w:rsid w:val="00CD157C"/>
    <w:rsid w:val="00CD1BF5"/>
    <w:rsid w:val="00CD1C94"/>
    <w:rsid w:val="00CD22D3"/>
    <w:rsid w:val="00CD2A1F"/>
    <w:rsid w:val="00CD2F95"/>
    <w:rsid w:val="00CD3064"/>
    <w:rsid w:val="00CD3441"/>
    <w:rsid w:val="00CD35CC"/>
    <w:rsid w:val="00CD390B"/>
    <w:rsid w:val="00CD394B"/>
    <w:rsid w:val="00CD4152"/>
    <w:rsid w:val="00CD43A3"/>
    <w:rsid w:val="00CD4483"/>
    <w:rsid w:val="00CD46ED"/>
    <w:rsid w:val="00CD477E"/>
    <w:rsid w:val="00CD4B7F"/>
    <w:rsid w:val="00CD4C41"/>
    <w:rsid w:val="00CD4DB7"/>
    <w:rsid w:val="00CD5348"/>
    <w:rsid w:val="00CD5355"/>
    <w:rsid w:val="00CD5803"/>
    <w:rsid w:val="00CD5CE1"/>
    <w:rsid w:val="00CD5D72"/>
    <w:rsid w:val="00CD60FA"/>
    <w:rsid w:val="00CD61A5"/>
    <w:rsid w:val="00CD628F"/>
    <w:rsid w:val="00CD62FE"/>
    <w:rsid w:val="00CD766B"/>
    <w:rsid w:val="00CD7D58"/>
    <w:rsid w:val="00CD7EB6"/>
    <w:rsid w:val="00CD7FBB"/>
    <w:rsid w:val="00CE0350"/>
    <w:rsid w:val="00CE04DE"/>
    <w:rsid w:val="00CE09A2"/>
    <w:rsid w:val="00CE0E84"/>
    <w:rsid w:val="00CE1041"/>
    <w:rsid w:val="00CE10B1"/>
    <w:rsid w:val="00CE14D6"/>
    <w:rsid w:val="00CE153D"/>
    <w:rsid w:val="00CE1D7B"/>
    <w:rsid w:val="00CE2118"/>
    <w:rsid w:val="00CE243F"/>
    <w:rsid w:val="00CE2551"/>
    <w:rsid w:val="00CE25FD"/>
    <w:rsid w:val="00CE3175"/>
    <w:rsid w:val="00CE3293"/>
    <w:rsid w:val="00CE3C6D"/>
    <w:rsid w:val="00CE3C82"/>
    <w:rsid w:val="00CE43B1"/>
    <w:rsid w:val="00CE45DB"/>
    <w:rsid w:val="00CE4964"/>
    <w:rsid w:val="00CE4BCF"/>
    <w:rsid w:val="00CE4ED1"/>
    <w:rsid w:val="00CE537D"/>
    <w:rsid w:val="00CE5414"/>
    <w:rsid w:val="00CE55AA"/>
    <w:rsid w:val="00CE5E44"/>
    <w:rsid w:val="00CE6540"/>
    <w:rsid w:val="00CE6D9E"/>
    <w:rsid w:val="00CE6DB4"/>
    <w:rsid w:val="00CE70AB"/>
    <w:rsid w:val="00CE7426"/>
    <w:rsid w:val="00CE794B"/>
    <w:rsid w:val="00CE7C39"/>
    <w:rsid w:val="00CF05EA"/>
    <w:rsid w:val="00CF0731"/>
    <w:rsid w:val="00CF088B"/>
    <w:rsid w:val="00CF08DE"/>
    <w:rsid w:val="00CF0FB9"/>
    <w:rsid w:val="00CF204F"/>
    <w:rsid w:val="00CF21A8"/>
    <w:rsid w:val="00CF248F"/>
    <w:rsid w:val="00CF2A96"/>
    <w:rsid w:val="00CF2AB7"/>
    <w:rsid w:val="00CF3394"/>
    <w:rsid w:val="00CF3522"/>
    <w:rsid w:val="00CF370F"/>
    <w:rsid w:val="00CF3F37"/>
    <w:rsid w:val="00CF487F"/>
    <w:rsid w:val="00CF4A46"/>
    <w:rsid w:val="00CF4BD8"/>
    <w:rsid w:val="00CF4C97"/>
    <w:rsid w:val="00CF581A"/>
    <w:rsid w:val="00CF6248"/>
    <w:rsid w:val="00CF63D1"/>
    <w:rsid w:val="00CF6BBF"/>
    <w:rsid w:val="00CF6E5F"/>
    <w:rsid w:val="00CF74C0"/>
    <w:rsid w:val="00CF7897"/>
    <w:rsid w:val="00CF7997"/>
    <w:rsid w:val="00CF7BFA"/>
    <w:rsid w:val="00D009E0"/>
    <w:rsid w:val="00D00DD6"/>
    <w:rsid w:val="00D01230"/>
    <w:rsid w:val="00D013D9"/>
    <w:rsid w:val="00D017A2"/>
    <w:rsid w:val="00D019BF"/>
    <w:rsid w:val="00D01CAD"/>
    <w:rsid w:val="00D01E38"/>
    <w:rsid w:val="00D022BA"/>
    <w:rsid w:val="00D026AB"/>
    <w:rsid w:val="00D0283B"/>
    <w:rsid w:val="00D02ABB"/>
    <w:rsid w:val="00D03A98"/>
    <w:rsid w:val="00D03BB9"/>
    <w:rsid w:val="00D03D4D"/>
    <w:rsid w:val="00D03E69"/>
    <w:rsid w:val="00D03F6C"/>
    <w:rsid w:val="00D0415C"/>
    <w:rsid w:val="00D04983"/>
    <w:rsid w:val="00D04CDF"/>
    <w:rsid w:val="00D05778"/>
    <w:rsid w:val="00D06378"/>
    <w:rsid w:val="00D06937"/>
    <w:rsid w:val="00D06F86"/>
    <w:rsid w:val="00D070FF"/>
    <w:rsid w:val="00D075A4"/>
    <w:rsid w:val="00D07D94"/>
    <w:rsid w:val="00D10407"/>
    <w:rsid w:val="00D1058E"/>
    <w:rsid w:val="00D109C1"/>
    <w:rsid w:val="00D10AE5"/>
    <w:rsid w:val="00D11433"/>
    <w:rsid w:val="00D11542"/>
    <w:rsid w:val="00D11573"/>
    <w:rsid w:val="00D11EC5"/>
    <w:rsid w:val="00D12059"/>
    <w:rsid w:val="00D122E6"/>
    <w:rsid w:val="00D1239D"/>
    <w:rsid w:val="00D12549"/>
    <w:rsid w:val="00D125DE"/>
    <w:rsid w:val="00D12DF5"/>
    <w:rsid w:val="00D13777"/>
    <w:rsid w:val="00D13BB6"/>
    <w:rsid w:val="00D13C2D"/>
    <w:rsid w:val="00D140A1"/>
    <w:rsid w:val="00D1459C"/>
    <w:rsid w:val="00D14E96"/>
    <w:rsid w:val="00D151F0"/>
    <w:rsid w:val="00D156B6"/>
    <w:rsid w:val="00D15F8E"/>
    <w:rsid w:val="00D1690E"/>
    <w:rsid w:val="00D172D8"/>
    <w:rsid w:val="00D173A5"/>
    <w:rsid w:val="00D173FA"/>
    <w:rsid w:val="00D178E9"/>
    <w:rsid w:val="00D17AB7"/>
    <w:rsid w:val="00D17B3F"/>
    <w:rsid w:val="00D17E74"/>
    <w:rsid w:val="00D17F1D"/>
    <w:rsid w:val="00D219D5"/>
    <w:rsid w:val="00D2203E"/>
    <w:rsid w:val="00D2231C"/>
    <w:rsid w:val="00D2254A"/>
    <w:rsid w:val="00D22704"/>
    <w:rsid w:val="00D230FC"/>
    <w:rsid w:val="00D23513"/>
    <w:rsid w:val="00D237C9"/>
    <w:rsid w:val="00D23C31"/>
    <w:rsid w:val="00D242CF"/>
    <w:rsid w:val="00D24573"/>
    <w:rsid w:val="00D245E2"/>
    <w:rsid w:val="00D24A53"/>
    <w:rsid w:val="00D24C69"/>
    <w:rsid w:val="00D25047"/>
    <w:rsid w:val="00D251CF"/>
    <w:rsid w:val="00D252B8"/>
    <w:rsid w:val="00D26621"/>
    <w:rsid w:val="00D267D6"/>
    <w:rsid w:val="00D26BEC"/>
    <w:rsid w:val="00D2729A"/>
    <w:rsid w:val="00D27506"/>
    <w:rsid w:val="00D2757B"/>
    <w:rsid w:val="00D27E6C"/>
    <w:rsid w:val="00D306E6"/>
    <w:rsid w:val="00D30F5A"/>
    <w:rsid w:val="00D3198D"/>
    <w:rsid w:val="00D31FC6"/>
    <w:rsid w:val="00D323B7"/>
    <w:rsid w:val="00D32EAB"/>
    <w:rsid w:val="00D3357B"/>
    <w:rsid w:val="00D34338"/>
    <w:rsid w:val="00D34688"/>
    <w:rsid w:val="00D35601"/>
    <w:rsid w:val="00D35F3B"/>
    <w:rsid w:val="00D36027"/>
    <w:rsid w:val="00D36337"/>
    <w:rsid w:val="00D363AA"/>
    <w:rsid w:val="00D36522"/>
    <w:rsid w:val="00D366B7"/>
    <w:rsid w:val="00D367F5"/>
    <w:rsid w:val="00D36C23"/>
    <w:rsid w:val="00D36FB2"/>
    <w:rsid w:val="00D37072"/>
    <w:rsid w:val="00D375C7"/>
    <w:rsid w:val="00D3769E"/>
    <w:rsid w:val="00D37B7E"/>
    <w:rsid w:val="00D40081"/>
    <w:rsid w:val="00D407D8"/>
    <w:rsid w:val="00D40E3B"/>
    <w:rsid w:val="00D40EAF"/>
    <w:rsid w:val="00D41034"/>
    <w:rsid w:val="00D411A8"/>
    <w:rsid w:val="00D413DA"/>
    <w:rsid w:val="00D418A3"/>
    <w:rsid w:val="00D41B99"/>
    <w:rsid w:val="00D42249"/>
    <w:rsid w:val="00D4244A"/>
    <w:rsid w:val="00D42487"/>
    <w:rsid w:val="00D430C6"/>
    <w:rsid w:val="00D4341B"/>
    <w:rsid w:val="00D43539"/>
    <w:rsid w:val="00D43FBC"/>
    <w:rsid w:val="00D440EE"/>
    <w:rsid w:val="00D4432C"/>
    <w:rsid w:val="00D44522"/>
    <w:rsid w:val="00D44CC7"/>
    <w:rsid w:val="00D45865"/>
    <w:rsid w:val="00D45867"/>
    <w:rsid w:val="00D458A5"/>
    <w:rsid w:val="00D4595F"/>
    <w:rsid w:val="00D45CE3"/>
    <w:rsid w:val="00D46157"/>
    <w:rsid w:val="00D4646A"/>
    <w:rsid w:val="00D466A8"/>
    <w:rsid w:val="00D46A18"/>
    <w:rsid w:val="00D46BEF"/>
    <w:rsid w:val="00D47187"/>
    <w:rsid w:val="00D4751A"/>
    <w:rsid w:val="00D477E0"/>
    <w:rsid w:val="00D47805"/>
    <w:rsid w:val="00D47A56"/>
    <w:rsid w:val="00D47DDB"/>
    <w:rsid w:val="00D47FF2"/>
    <w:rsid w:val="00D50011"/>
    <w:rsid w:val="00D500F2"/>
    <w:rsid w:val="00D5017E"/>
    <w:rsid w:val="00D501F5"/>
    <w:rsid w:val="00D50728"/>
    <w:rsid w:val="00D508E4"/>
    <w:rsid w:val="00D50B2C"/>
    <w:rsid w:val="00D50EB3"/>
    <w:rsid w:val="00D519D2"/>
    <w:rsid w:val="00D52284"/>
    <w:rsid w:val="00D528B5"/>
    <w:rsid w:val="00D52C6F"/>
    <w:rsid w:val="00D5322C"/>
    <w:rsid w:val="00D533A1"/>
    <w:rsid w:val="00D533BF"/>
    <w:rsid w:val="00D53841"/>
    <w:rsid w:val="00D53C05"/>
    <w:rsid w:val="00D544C2"/>
    <w:rsid w:val="00D546B8"/>
    <w:rsid w:val="00D55294"/>
    <w:rsid w:val="00D567E0"/>
    <w:rsid w:val="00D56ACF"/>
    <w:rsid w:val="00D56BDE"/>
    <w:rsid w:val="00D57152"/>
    <w:rsid w:val="00D571A7"/>
    <w:rsid w:val="00D57692"/>
    <w:rsid w:val="00D576D7"/>
    <w:rsid w:val="00D57AF1"/>
    <w:rsid w:val="00D57CBB"/>
    <w:rsid w:val="00D57DBE"/>
    <w:rsid w:val="00D60236"/>
    <w:rsid w:val="00D6063B"/>
    <w:rsid w:val="00D60B43"/>
    <w:rsid w:val="00D60C45"/>
    <w:rsid w:val="00D613F0"/>
    <w:rsid w:val="00D614C7"/>
    <w:rsid w:val="00D61A0C"/>
    <w:rsid w:val="00D61E9C"/>
    <w:rsid w:val="00D61F3D"/>
    <w:rsid w:val="00D61F93"/>
    <w:rsid w:val="00D623A8"/>
    <w:rsid w:val="00D62472"/>
    <w:rsid w:val="00D62545"/>
    <w:rsid w:val="00D62EEF"/>
    <w:rsid w:val="00D6312F"/>
    <w:rsid w:val="00D633BB"/>
    <w:rsid w:val="00D63A3E"/>
    <w:rsid w:val="00D63B7F"/>
    <w:rsid w:val="00D63D36"/>
    <w:rsid w:val="00D63D69"/>
    <w:rsid w:val="00D640F2"/>
    <w:rsid w:val="00D64236"/>
    <w:rsid w:val="00D64240"/>
    <w:rsid w:val="00D642AD"/>
    <w:rsid w:val="00D64A40"/>
    <w:rsid w:val="00D64BD4"/>
    <w:rsid w:val="00D64E02"/>
    <w:rsid w:val="00D654E8"/>
    <w:rsid w:val="00D654FB"/>
    <w:rsid w:val="00D65619"/>
    <w:rsid w:val="00D66229"/>
    <w:rsid w:val="00D667D9"/>
    <w:rsid w:val="00D66C42"/>
    <w:rsid w:val="00D6715C"/>
    <w:rsid w:val="00D671FA"/>
    <w:rsid w:val="00D67216"/>
    <w:rsid w:val="00D67780"/>
    <w:rsid w:val="00D701C2"/>
    <w:rsid w:val="00D7055C"/>
    <w:rsid w:val="00D709B0"/>
    <w:rsid w:val="00D70DED"/>
    <w:rsid w:val="00D71468"/>
    <w:rsid w:val="00D71604"/>
    <w:rsid w:val="00D7160C"/>
    <w:rsid w:val="00D71741"/>
    <w:rsid w:val="00D71A0A"/>
    <w:rsid w:val="00D71A70"/>
    <w:rsid w:val="00D71C1F"/>
    <w:rsid w:val="00D71CE6"/>
    <w:rsid w:val="00D71F03"/>
    <w:rsid w:val="00D72304"/>
    <w:rsid w:val="00D7249D"/>
    <w:rsid w:val="00D727B3"/>
    <w:rsid w:val="00D73210"/>
    <w:rsid w:val="00D73AD4"/>
    <w:rsid w:val="00D73C8C"/>
    <w:rsid w:val="00D744AF"/>
    <w:rsid w:val="00D74862"/>
    <w:rsid w:val="00D74FD2"/>
    <w:rsid w:val="00D75172"/>
    <w:rsid w:val="00D7538F"/>
    <w:rsid w:val="00D7555D"/>
    <w:rsid w:val="00D756D2"/>
    <w:rsid w:val="00D75879"/>
    <w:rsid w:val="00D75908"/>
    <w:rsid w:val="00D75C42"/>
    <w:rsid w:val="00D75CD0"/>
    <w:rsid w:val="00D75ECA"/>
    <w:rsid w:val="00D760B5"/>
    <w:rsid w:val="00D764EB"/>
    <w:rsid w:val="00D766A9"/>
    <w:rsid w:val="00D7731C"/>
    <w:rsid w:val="00D7733A"/>
    <w:rsid w:val="00D775CD"/>
    <w:rsid w:val="00D778F2"/>
    <w:rsid w:val="00D8005C"/>
    <w:rsid w:val="00D80539"/>
    <w:rsid w:val="00D808EE"/>
    <w:rsid w:val="00D80A72"/>
    <w:rsid w:val="00D80AF5"/>
    <w:rsid w:val="00D81003"/>
    <w:rsid w:val="00D81129"/>
    <w:rsid w:val="00D818D0"/>
    <w:rsid w:val="00D81A7D"/>
    <w:rsid w:val="00D8202C"/>
    <w:rsid w:val="00D82223"/>
    <w:rsid w:val="00D822E5"/>
    <w:rsid w:val="00D82F39"/>
    <w:rsid w:val="00D8300D"/>
    <w:rsid w:val="00D8378B"/>
    <w:rsid w:val="00D840BF"/>
    <w:rsid w:val="00D841CB"/>
    <w:rsid w:val="00D846D9"/>
    <w:rsid w:val="00D8480B"/>
    <w:rsid w:val="00D84B62"/>
    <w:rsid w:val="00D84CF1"/>
    <w:rsid w:val="00D84F1E"/>
    <w:rsid w:val="00D859E0"/>
    <w:rsid w:val="00D85CF7"/>
    <w:rsid w:val="00D863F7"/>
    <w:rsid w:val="00D87225"/>
    <w:rsid w:val="00D87307"/>
    <w:rsid w:val="00D87322"/>
    <w:rsid w:val="00D8792C"/>
    <w:rsid w:val="00D87974"/>
    <w:rsid w:val="00D87B4D"/>
    <w:rsid w:val="00D87C8F"/>
    <w:rsid w:val="00D87F7F"/>
    <w:rsid w:val="00D90235"/>
    <w:rsid w:val="00D90662"/>
    <w:rsid w:val="00D90712"/>
    <w:rsid w:val="00D9076C"/>
    <w:rsid w:val="00D90F3C"/>
    <w:rsid w:val="00D91043"/>
    <w:rsid w:val="00D911ED"/>
    <w:rsid w:val="00D91651"/>
    <w:rsid w:val="00D91686"/>
    <w:rsid w:val="00D9181C"/>
    <w:rsid w:val="00D91841"/>
    <w:rsid w:val="00D918BC"/>
    <w:rsid w:val="00D9191D"/>
    <w:rsid w:val="00D91A49"/>
    <w:rsid w:val="00D91D95"/>
    <w:rsid w:val="00D91E5A"/>
    <w:rsid w:val="00D921A2"/>
    <w:rsid w:val="00D92400"/>
    <w:rsid w:val="00D92454"/>
    <w:rsid w:val="00D9270B"/>
    <w:rsid w:val="00D927AB"/>
    <w:rsid w:val="00D93CB6"/>
    <w:rsid w:val="00D94506"/>
    <w:rsid w:val="00D947E8"/>
    <w:rsid w:val="00D94AA3"/>
    <w:rsid w:val="00D94C19"/>
    <w:rsid w:val="00D94DB2"/>
    <w:rsid w:val="00D94FA6"/>
    <w:rsid w:val="00D950AF"/>
    <w:rsid w:val="00D95DD1"/>
    <w:rsid w:val="00D96A20"/>
    <w:rsid w:val="00D96D76"/>
    <w:rsid w:val="00D97020"/>
    <w:rsid w:val="00D9744D"/>
    <w:rsid w:val="00D97FAC"/>
    <w:rsid w:val="00DA10C4"/>
    <w:rsid w:val="00DA123A"/>
    <w:rsid w:val="00DA1662"/>
    <w:rsid w:val="00DA1F5A"/>
    <w:rsid w:val="00DA2813"/>
    <w:rsid w:val="00DA2C32"/>
    <w:rsid w:val="00DA2DF2"/>
    <w:rsid w:val="00DA31ED"/>
    <w:rsid w:val="00DA36B3"/>
    <w:rsid w:val="00DA467B"/>
    <w:rsid w:val="00DA4DDB"/>
    <w:rsid w:val="00DA53B9"/>
    <w:rsid w:val="00DA64C9"/>
    <w:rsid w:val="00DA66C7"/>
    <w:rsid w:val="00DA6B67"/>
    <w:rsid w:val="00DA7371"/>
    <w:rsid w:val="00DA74CE"/>
    <w:rsid w:val="00DA7705"/>
    <w:rsid w:val="00DA7878"/>
    <w:rsid w:val="00DA7ABE"/>
    <w:rsid w:val="00DA7D78"/>
    <w:rsid w:val="00DA7F35"/>
    <w:rsid w:val="00DB005E"/>
    <w:rsid w:val="00DB0592"/>
    <w:rsid w:val="00DB0B44"/>
    <w:rsid w:val="00DB17F3"/>
    <w:rsid w:val="00DB1D21"/>
    <w:rsid w:val="00DB1FA4"/>
    <w:rsid w:val="00DB2A05"/>
    <w:rsid w:val="00DB2C57"/>
    <w:rsid w:val="00DB2DF8"/>
    <w:rsid w:val="00DB3023"/>
    <w:rsid w:val="00DB3562"/>
    <w:rsid w:val="00DB3613"/>
    <w:rsid w:val="00DB3DB1"/>
    <w:rsid w:val="00DB3E6A"/>
    <w:rsid w:val="00DB3FDB"/>
    <w:rsid w:val="00DB4274"/>
    <w:rsid w:val="00DB4D86"/>
    <w:rsid w:val="00DB514B"/>
    <w:rsid w:val="00DB5712"/>
    <w:rsid w:val="00DB5C0E"/>
    <w:rsid w:val="00DB5E0E"/>
    <w:rsid w:val="00DB6379"/>
    <w:rsid w:val="00DB64AA"/>
    <w:rsid w:val="00DB657F"/>
    <w:rsid w:val="00DB65C2"/>
    <w:rsid w:val="00DB66CE"/>
    <w:rsid w:val="00DB6952"/>
    <w:rsid w:val="00DB70EE"/>
    <w:rsid w:val="00DB7503"/>
    <w:rsid w:val="00DB75A4"/>
    <w:rsid w:val="00DB7827"/>
    <w:rsid w:val="00DB7BF9"/>
    <w:rsid w:val="00DC00C7"/>
    <w:rsid w:val="00DC023B"/>
    <w:rsid w:val="00DC0554"/>
    <w:rsid w:val="00DC07EC"/>
    <w:rsid w:val="00DC07F1"/>
    <w:rsid w:val="00DC0AEF"/>
    <w:rsid w:val="00DC128B"/>
    <w:rsid w:val="00DC1828"/>
    <w:rsid w:val="00DC1A6F"/>
    <w:rsid w:val="00DC2DC5"/>
    <w:rsid w:val="00DC2E98"/>
    <w:rsid w:val="00DC30EA"/>
    <w:rsid w:val="00DC33EC"/>
    <w:rsid w:val="00DC3F9B"/>
    <w:rsid w:val="00DC4D22"/>
    <w:rsid w:val="00DC5B2D"/>
    <w:rsid w:val="00DC6491"/>
    <w:rsid w:val="00DC6E16"/>
    <w:rsid w:val="00DC7045"/>
    <w:rsid w:val="00DC70CD"/>
    <w:rsid w:val="00DC7601"/>
    <w:rsid w:val="00DC7E6F"/>
    <w:rsid w:val="00DD00EA"/>
    <w:rsid w:val="00DD0208"/>
    <w:rsid w:val="00DD1524"/>
    <w:rsid w:val="00DD1635"/>
    <w:rsid w:val="00DD1728"/>
    <w:rsid w:val="00DD1BD3"/>
    <w:rsid w:val="00DD1EFE"/>
    <w:rsid w:val="00DD20DE"/>
    <w:rsid w:val="00DD2E4E"/>
    <w:rsid w:val="00DD35C4"/>
    <w:rsid w:val="00DD36AA"/>
    <w:rsid w:val="00DD389D"/>
    <w:rsid w:val="00DD3B6A"/>
    <w:rsid w:val="00DD405B"/>
    <w:rsid w:val="00DD40F9"/>
    <w:rsid w:val="00DD45BB"/>
    <w:rsid w:val="00DD4974"/>
    <w:rsid w:val="00DD4991"/>
    <w:rsid w:val="00DD553E"/>
    <w:rsid w:val="00DD564B"/>
    <w:rsid w:val="00DD638A"/>
    <w:rsid w:val="00DD64A2"/>
    <w:rsid w:val="00DD64CB"/>
    <w:rsid w:val="00DD6531"/>
    <w:rsid w:val="00DD671F"/>
    <w:rsid w:val="00DD6801"/>
    <w:rsid w:val="00DD6925"/>
    <w:rsid w:val="00DD6A21"/>
    <w:rsid w:val="00DD6E0E"/>
    <w:rsid w:val="00DD6F13"/>
    <w:rsid w:val="00DD7BF9"/>
    <w:rsid w:val="00DD7C13"/>
    <w:rsid w:val="00DD7C7A"/>
    <w:rsid w:val="00DE037E"/>
    <w:rsid w:val="00DE0759"/>
    <w:rsid w:val="00DE0DFB"/>
    <w:rsid w:val="00DE1550"/>
    <w:rsid w:val="00DE176E"/>
    <w:rsid w:val="00DE1EC9"/>
    <w:rsid w:val="00DE23F2"/>
    <w:rsid w:val="00DE24B0"/>
    <w:rsid w:val="00DE28B1"/>
    <w:rsid w:val="00DE38AA"/>
    <w:rsid w:val="00DE4CB8"/>
    <w:rsid w:val="00DE4E9C"/>
    <w:rsid w:val="00DE5A1E"/>
    <w:rsid w:val="00DE5EEE"/>
    <w:rsid w:val="00DE6721"/>
    <w:rsid w:val="00DE6912"/>
    <w:rsid w:val="00DE6F95"/>
    <w:rsid w:val="00DE7140"/>
    <w:rsid w:val="00DE7355"/>
    <w:rsid w:val="00DE77E7"/>
    <w:rsid w:val="00DE7E8B"/>
    <w:rsid w:val="00DF0365"/>
    <w:rsid w:val="00DF04A6"/>
    <w:rsid w:val="00DF0745"/>
    <w:rsid w:val="00DF0790"/>
    <w:rsid w:val="00DF0DF8"/>
    <w:rsid w:val="00DF1011"/>
    <w:rsid w:val="00DF15B6"/>
    <w:rsid w:val="00DF15EC"/>
    <w:rsid w:val="00DF1806"/>
    <w:rsid w:val="00DF1C2D"/>
    <w:rsid w:val="00DF1F17"/>
    <w:rsid w:val="00DF1F85"/>
    <w:rsid w:val="00DF20CE"/>
    <w:rsid w:val="00DF20EA"/>
    <w:rsid w:val="00DF2425"/>
    <w:rsid w:val="00DF2974"/>
    <w:rsid w:val="00DF297F"/>
    <w:rsid w:val="00DF2B4F"/>
    <w:rsid w:val="00DF3422"/>
    <w:rsid w:val="00DF3E3B"/>
    <w:rsid w:val="00DF45FF"/>
    <w:rsid w:val="00DF4AC7"/>
    <w:rsid w:val="00DF4CEB"/>
    <w:rsid w:val="00DF52F8"/>
    <w:rsid w:val="00DF6191"/>
    <w:rsid w:val="00DF73CF"/>
    <w:rsid w:val="00DF79A3"/>
    <w:rsid w:val="00DF7C8C"/>
    <w:rsid w:val="00E00282"/>
    <w:rsid w:val="00E0043E"/>
    <w:rsid w:val="00E00A75"/>
    <w:rsid w:val="00E00C22"/>
    <w:rsid w:val="00E0156F"/>
    <w:rsid w:val="00E019C8"/>
    <w:rsid w:val="00E01C97"/>
    <w:rsid w:val="00E01CF0"/>
    <w:rsid w:val="00E027C2"/>
    <w:rsid w:val="00E02F4E"/>
    <w:rsid w:val="00E031F0"/>
    <w:rsid w:val="00E0320F"/>
    <w:rsid w:val="00E04064"/>
    <w:rsid w:val="00E045EF"/>
    <w:rsid w:val="00E04E2B"/>
    <w:rsid w:val="00E0514D"/>
    <w:rsid w:val="00E052C4"/>
    <w:rsid w:val="00E05CBA"/>
    <w:rsid w:val="00E05D37"/>
    <w:rsid w:val="00E06166"/>
    <w:rsid w:val="00E0621A"/>
    <w:rsid w:val="00E06561"/>
    <w:rsid w:val="00E06583"/>
    <w:rsid w:val="00E065DC"/>
    <w:rsid w:val="00E06C17"/>
    <w:rsid w:val="00E07228"/>
    <w:rsid w:val="00E0766D"/>
    <w:rsid w:val="00E07847"/>
    <w:rsid w:val="00E10090"/>
    <w:rsid w:val="00E102DD"/>
    <w:rsid w:val="00E10331"/>
    <w:rsid w:val="00E10935"/>
    <w:rsid w:val="00E10B43"/>
    <w:rsid w:val="00E10C1D"/>
    <w:rsid w:val="00E10D76"/>
    <w:rsid w:val="00E11A6C"/>
    <w:rsid w:val="00E11AE0"/>
    <w:rsid w:val="00E11E8D"/>
    <w:rsid w:val="00E12585"/>
    <w:rsid w:val="00E12613"/>
    <w:rsid w:val="00E126E5"/>
    <w:rsid w:val="00E13153"/>
    <w:rsid w:val="00E13C3D"/>
    <w:rsid w:val="00E13CC6"/>
    <w:rsid w:val="00E13E3F"/>
    <w:rsid w:val="00E1421F"/>
    <w:rsid w:val="00E1436D"/>
    <w:rsid w:val="00E14415"/>
    <w:rsid w:val="00E1449F"/>
    <w:rsid w:val="00E14A2C"/>
    <w:rsid w:val="00E14C3C"/>
    <w:rsid w:val="00E15157"/>
    <w:rsid w:val="00E15484"/>
    <w:rsid w:val="00E15680"/>
    <w:rsid w:val="00E15BCB"/>
    <w:rsid w:val="00E1644C"/>
    <w:rsid w:val="00E16730"/>
    <w:rsid w:val="00E16852"/>
    <w:rsid w:val="00E168FA"/>
    <w:rsid w:val="00E16DB7"/>
    <w:rsid w:val="00E177F1"/>
    <w:rsid w:val="00E17D33"/>
    <w:rsid w:val="00E202FC"/>
    <w:rsid w:val="00E203ED"/>
    <w:rsid w:val="00E20CD7"/>
    <w:rsid w:val="00E20D09"/>
    <w:rsid w:val="00E2106E"/>
    <w:rsid w:val="00E21495"/>
    <w:rsid w:val="00E219C6"/>
    <w:rsid w:val="00E21AD7"/>
    <w:rsid w:val="00E22183"/>
    <w:rsid w:val="00E22D0F"/>
    <w:rsid w:val="00E23557"/>
    <w:rsid w:val="00E23D4C"/>
    <w:rsid w:val="00E23E7D"/>
    <w:rsid w:val="00E24B81"/>
    <w:rsid w:val="00E24C2A"/>
    <w:rsid w:val="00E24F41"/>
    <w:rsid w:val="00E24FFE"/>
    <w:rsid w:val="00E251C3"/>
    <w:rsid w:val="00E252E5"/>
    <w:rsid w:val="00E25EB1"/>
    <w:rsid w:val="00E2604C"/>
    <w:rsid w:val="00E260B0"/>
    <w:rsid w:val="00E26382"/>
    <w:rsid w:val="00E264C0"/>
    <w:rsid w:val="00E264F9"/>
    <w:rsid w:val="00E267AA"/>
    <w:rsid w:val="00E26870"/>
    <w:rsid w:val="00E273E5"/>
    <w:rsid w:val="00E278E8"/>
    <w:rsid w:val="00E27FB8"/>
    <w:rsid w:val="00E30064"/>
    <w:rsid w:val="00E301E4"/>
    <w:rsid w:val="00E3078A"/>
    <w:rsid w:val="00E31099"/>
    <w:rsid w:val="00E31801"/>
    <w:rsid w:val="00E319E0"/>
    <w:rsid w:val="00E32209"/>
    <w:rsid w:val="00E3275C"/>
    <w:rsid w:val="00E327B1"/>
    <w:rsid w:val="00E327B9"/>
    <w:rsid w:val="00E32A5A"/>
    <w:rsid w:val="00E32A5E"/>
    <w:rsid w:val="00E32E66"/>
    <w:rsid w:val="00E3307A"/>
    <w:rsid w:val="00E331E4"/>
    <w:rsid w:val="00E3328F"/>
    <w:rsid w:val="00E336AB"/>
    <w:rsid w:val="00E33880"/>
    <w:rsid w:val="00E33C15"/>
    <w:rsid w:val="00E3413D"/>
    <w:rsid w:val="00E34633"/>
    <w:rsid w:val="00E3470A"/>
    <w:rsid w:val="00E34977"/>
    <w:rsid w:val="00E34C64"/>
    <w:rsid w:val="00E34CED"/>
    <w:rsid w:val="00E35CBE"/>
    <w:rsid w:val="00E35DC5"/>
    <w:rsid w:val="00E36239"/>
    <w:rsid w:val="00E36C10"/>
    <w:rsid w:val="00E36EB8"/>
    <w:rsid w:val="00E374E2"/>
    <w:rsid w:val="00E37695"/>
    <w:rsid w:val="00E37830"/>
    <w:rsid w:val="00E37F55"/>
    <w:rsid w:val="00E40453"/>
    <w:rsid w:val="00E4059C"/>
    <w:rsid w:val="00E405F0"/>
    <w:rsid w:val="00E40680"/>
    <w:rsid w:val="00E40C15"/>
    <w:rsid w:val="00E40C1A"/>
    <w:rsid w:val="00E40DE8"/>
    <w:rsid w:val="00E41014"/>
    <w:rsid w:val="00E41601"/>
    <w:rsid w:val="00E421F2"/>
    <w:rsid w:val="00E42555"/>
    <w:rsid w:val="00E428CB"/>
    <w:rsid w:val="00E438C5"/>
    <w:rsid w:val="00E43C0A"/>
    <w:rsid w:val="00E4423D"/>
    <w:rsid w:val="00E44378"/>
    <w:rsid w:val="00E449C3"/>
    <w:rsid w:val="00E45020"/>
    <w:rsid w:val="00E450D8"/>
    <w:rsid w:val="00E4528A"/>
    <w:rsid w:val="00E45835"/>
    <w:rsid w:val="00E4591D"/>
    <w:rsid w:val="00E45C08"/>
    <w:rsid w:val="00E464DF"/>
    <w:rsid w:val="00E46502"/>
    <w:rsid w:val="00E46F6A"/>
    <w:rsid w:val="00E471E6"/>
    <w:rsid w:val="00E473AE"/>
    <w:rsid w:val="00E476E0"/>
    <w:rsid w:val="00E47DDE"/>
    <w:rsid w:val="00E50124"/>
    <w:rsid w:val="00E5134D"/>
    <w:rsid w:val="00E519D8"/>
    <w:rsid w:val="00E51DD3"/>
    <w:rsid w:val="00E5209E"/>
    <w:rsid w:val="00E5241D"/>
    <w:rsid w:val="00E5271E"/>
    <w:rsid w:val="00E5276F"/>
    <w:rsid w:val="00E52BC4"/>
    <w:rsid w:val="00E53315"/>
    <w:rsid w:val="00E5334A"/>
    <w:rsid w:val="00E53532"/>
    <w:rsid w:val="00E536C6"/>
    <w:rsid w:val="00E53B8E"/>
    <w:rsid w:val="00E53BBA"/>
    <w:rsid w:val="00E542AA"/>
    <w:rsid w:val="00E543EE"/>
    <w:rsid w:val="00E548D1"/>
    <w:rsid w:val="00E54D9C"/>
    <w:rsid w:val="00E54DFC"/>
    <w:rsid w:val="00E54DFF"/>
    <w:rsid w:val="00E54E59"/>
    <w:rsid w:val="00E54EA3"/>
    <w:rsid w:val="00E554DE"/>
    <w:rsid w:val="00E55B02"/>
    <w:rsid w:val="00E55EA3"/>
    <w:rsid w:val="00E55FAC"/>
    <w:rsid w:val="00E56130"/>
    <w:rsid w:val="00E563F0"/>
    <w:rsid w:val="00E56574"/>
    <w:rsid w:val="00E565B4"/>
    <w:rsid w:val="00E56C0F"/>
    <w:rsid w:val="00E56D19"/>
    <w:rsid w:val="00E57012"/>
    <w:rsid w:val="00E5737A"/>
    <w:rsid w:val="00E57481"/>
    <w:rsid w:val="00E57704"/>
    <w:rsid w:val="00E5776E"/>
    <w:rsid w:val="00E57954"/>
    <w:rsid w:val="00E57AA2"/>
    <w:rsid w:val="00E57C07"/>
    <w:rsid w:val="00E57D82"/>
    <w:rsid w:val="00E57EE7"/>
    <w:rsid w:val="00E6032B"/>
    <w:rsid w:val="00E604CA"/>
    <w:rsid w:val="00E60D04"/>
    <w:rsid w:val="00E612CC"/>
    <w:rsid w:val="00E617FF"/>
    <w:rsid w:val="00E62268"/>
    <w:rsid w:val="00E6294C"/>
    <w:rsid w:val="00E62B0B"/>
    <w:rsid w:val="00E62C32"/>
    <w:rsid w:val="00E63504"/>
    <w:rsid w:val="00E635B9"/>
    <w:rsid w:val="00E638BA"/>
    <w:rsid w:val="00E6426E"/>
    <w:rsid w:val="00E64509"/>
    <w:rsid w:val="00E646E7"/>
    <w:rsid w:val="00E649FC"/>
    <w:rsid w:val="00E64AAF"/>
    <w:rsid w:val="00E64B6D"/>
    <w:rsid w:val="00E64EDF"/>
    <w:rsid w:val="00E65903"/>
    <w:rsid w:val="00E6592E"/>
    <w:rsid w:val="00E65958"/>
    <w:rsid w:val="00E65DDD"/>
    <w:rsid w:val="00E65EFB"/>
    <w:rsid w:val="00E6668F"/>
    <w:rsid w:val="00E666DD"/>
    <w:rsid w:val="00E66856"/>
    <w:rsid w:val="00E66B4A"/>
    <w:rsid w:val="00E670C5"/>
    <w:rsid w:val="00E671F0"/>
    <w:rsid w:val="00E67B43"/>
    <w:rsid w:val="00E70402"/>
    <w:rsid w:val="00E707EA"/>
    <w:rsid w:val="00E7123B"/>
    <w:rsid w:val="00E712EA"/>
    <w:rsid w:val="00E7142E"/>
    <w:rsid w:val="00E71813"/>
    <w:rsid w:val="00E722A5"/>
    <w:rsid w:val="00E72478"/>
    <w:rsid w:val="00E726BE"/>
    <w:rsid w:val="00E7292C"/>
    <w:rsid w:val="00E72DBA"/>
    <w:rsid w:val="00E73482"/>
    <w:rsid w:val="00E73537"/>
    <w:rsid w:val="00E739A6"/>
    <w:rsid w:val="00E73AFD"/>
    <w:rsid w:val="00E740DA"/>
    <w:rsid w:val="00E7455D"/>
    <w:rsid w:val="00E745C0"/>
    <w:rsid w:val="00E747EA"/>
    <w:rsid w:val="00E747EE"/>
    <w:rsid w:val="00E74802"/>
    <w:rsid w:val="00E74B06"/>
    <w:rsid w:val="00E74D9F"/>
    <w:rsid w:val="00E74FA2"/>
    <w:rsid w:val="00E74FCB"/>
    <w:rsid w:val="00E75AAC"/>
    <w:rsid w:val="00E75D1F"/>
    <w:rsid w:val="00E76345"/>
    <w:rsid w:val="00E76625"/>
    <w:rsid w:val="00E76C41"/>
    <w:rsid w:val="00E76F7A"/>
    <w:rsid w:val="00E775FB"/>
    <w:rsid w:val="00E77687"/>
    <w:rsid w:val="00E776F4"/>
    <w:rsid w:val="00E77DAA"/>
    <w:rsid w:val="00E80094"/>
    <w:rsid w:val="00E804A3"/>
    <w:rsid w:val="00E80681"/>
    <w:rsid w:val="00E8086C"/>
    <w:rsid w:val="00E80B98"/>
    <w:rsid w:val="00E813F4"/>
    <w:rsid w:val="00E819A8"/>
    <w:rsid w:val="00E819BE"/>
    <w:rsid w:val="00E81A7F"/>
    <w:rsid w:val="00E826D1"/>
    <w:rsid w:val="00E82815"/>
    <w:rsid w:val="00E8286D"/>
    <w:rsid w:val="00E828CB"/>
    <w:rsid w:val="00E83A5E"/>
    <w:rsid w:val="00E83AFD"/>
    <w:rsid w:val="00E844C3"/>
    <w:rsid w:val="00E845F8"/>
    <w:rsid w:val="00E846DB"/>
    <w:rsid w:val="00E85157"/>
    <w:rsid w:val="00E8521F"/>
    <w:rsid w:val="00E863AA"/>
    <w:rsid w:val="00E86555"/>
    <w:rsid w:val="00E86608"/>
    <w:rsid w:val="00E8695C"/>
    <w:rsid w:val="00E86FEA"/>
    <w:rsid w:val="00E87559"/>
    <w:rsid w:val="00E87A01"/>
    <w:rsid w:val="00E87DDD"/>
    <w:rsid w:val="00E9006C"/>
    <w:rsid w:val="00E9023B"/>
    <w:rsid w:val="00E9047A"/>
    <w:rsid w:val="00E90609"/>
    <w:rsid w:val="00E90B5E"/>
    <w:rsid w:val="00E90C89"/>
    <w:rsid w:val="00E913B3"/>
    <w:rsid w:val="00E918B7"/>
    <w:rsid w:val="00E92565"/>
    <w:rsid w:val="00E925EA"/>
    <w:rsid w:val="00E9260C"/>
    <w:rsid w:val="00E9266C"/>
    <w:rsid w:val="00E93001"/>
    <w:rsid w:val="00E932D1"/>
    <w:rsid w:val="00E93C7E"/>
    <w:rsid w:val="00E93EB9"/>
    <w:rsid w:val="00E94084"/>
    <w:rsid w:val="00E94113"/>
    <w:rsid w:val="00E94BA7"/>
    <w:rsid w:val="00E94DAA"/>
    <w:rsid w:val="00E9526E"/>
    <w:rsid w:val="00E96468"/>
    <w:rsid w:val="00E96AEB"/>
    <w:rsid w:val="00E96F68"/>
    <w:rsid w:val="00E970D7"/>
    <w:rsid w:val="00E972EE"/>
    <w:rsid w:val="00E97779"/>
    <w:rsid w:val="00E978CC"/>
    <w:rsid w:val="00E97A9E"/>
    <w:rsid w:val="00E97B84"/>
    <w:rsid w:val="00E97F38"/>
    <w:rsid w:val="00EA0289"/>
    <w:rsid w:val="00EA08EC"/>
    <w:rsid w:val="00EA0FCE"/>
    <w:rsid w:val="00EA18A8"/>
    <w:rsid w:val="00EA1FE5"/>
    <w:rsid w:val="00EA2142"/>
    <w:rsid w:val="00EA2ADD"/>
    <w:rsid w:val="00EA2D29"/>
    <w:rsid w:val="00EA3749"/>
    <w:rsid w:val="00EA3AB1"/>
    <w:rsid w:val="00EA3CF5"/>
    <w:rsid w:val="00EA3D21"/>
    <w:rsid w:val="00EA48C9"/>
    <w:rsid w:val="00EA4BB6"/>
    <w:rsid w:val="00EA538B"/>
    <w:rsid w:val="00EA59B0"/>
    <w:rsid w:val="00EA6094"/>
    <w:rsid w:val="00EA6224"/>
    <w:rsid w:val="00EA69A5"/>
    <w:rsid w:val="00EA6D93"/>
    <w:rsid w:val="00EA70F7"/>
    <w:rsid w:val="00EA7446"/>
    <w:rsid w:val="00EA7509"/>
    <w:rsid w:val="00EB004D"/>
    <w:rsid w:val="00EB0146"/>
    <w:rsid w:val="00EB02C1"/>
    <w:rsid w:val="00EB0322"/>
    <w:rsid w:val="00EB05F5"/>
    <w:rsid w:val="00EB0ACA"/>
    <w:rsid w:val="00EB126D"/>
    <w:rsid w:val="00EB153B"/>
    <w:rsid w:val="00EB159C"/>
    <w:rsid w:val="00EB17F3"/>
    <w:rsid w:val="00EB1BE8"/>
    <w:rsid w:val="00EB292B"/>
    <w:rsid w:val="00EB2D5C"/>
    <w:rsid w:val="00EB3802"/>
    <w:rsid w:val="00EB3EAF"/>
    <w:rsid w:val="00EB46FA"/>
    <w:rsid w:val="00EB48F6"/>
    <w:rsid w:val="00EB4BEB"/>
    <w:rsid w:val="00EB4D75"/>
    <w:rsid w:val="00EB5287"/>
    <w:rsid w:val="00EB5B30"/>
    <w:rsid w:val="00EB6405"/>
    <w:rsid w:val="00EB6587"/>
    <w:rsid w:val="00EB66AC"/>
    <w:rsid w:val="00EB69B4"/>
    <w:rsid w:val="00EB6A0D"/>
    <w:rsid w:val="00EB7059"/>
    <w:rsid w:val="00EB75D2"/>
    <w:rsid w:val="00EB7932"/>
    <w:rsid w:val="00EB7DD0"/>
    <w:rsid w:val="00EB7E38"/>
    <w:rsid w:val="00EC0191"/>
    <w:rsid w:val="00EC0214"/>
    <w:rsid w:val="00EC05BA"/>
    <w:rsid w:val="00EC0B35"/>
    <w:rsid w:val="00EC0BAA"/>
    <w:rsid w:val="00EC0D64"/>
    <w:rsid w:val="00EC104C"/>
    <w:rsid w:val="00EC178C"/>
    <w:rsid w:val="00EC17E3"/>
    <w:rsid w:val="00EC1A16"/>
    <w:rsid w:val="00EC1D75"/>
    <w:rsid w:val="00EC20DA"/>
    <w:rsid w:val="00EC2127"/>
    <w:rsid w:val="00EC238B"/>
    <w:rsid w:val="00EC2B1A"/>
    <w:rsid w:val="00EC3117"/>
    <w:rsid w:val="00EC3329"/>
    <w:rsid w:val="00EC3C44"/>
    <w:rsid w:val="00EC478C"/>
    <w:rsid w:val="00EC498D"/>
    <w:rsid w:val="00EC4BC9"/>
    <w:rsid w:val="00EC4CE0"/>
    <w:rsid w:val="00EC517B"/>
    <w:rsid w:val="00EC5B0D"/>
    <w:rsid w:val="00EC5BB4"/>
    <w:rsid w:val="00EC6364"/>
    <w:rsid w:val="00EC654A"/>
    <w:rsid w:val="00EC7114"/>
    <w:rsid w:val="00EC7551"/>
    <w:rsid w:val="00EC7D15"/>
    <w:rsid w:val="00EC7DAA"/>
    <w:rsid w:val="00EC7DB0"/>
    <w:rsid w:val="00EC7EDB"/>
    <w:rsid w:val="00ED024A"/>
    <w:rsid w:val="00ED12B0"/>
    <w:rsid w:val="00ED1D36"/>
    <w:rsid w:val="00ED1F83"/>
    <w:rsid w:val="00ED213F"/>
    <w:rsid w:val="00ED2540"/>
    <w:rsid w:val="00ED2B9A"/>
    <w:rsid w:val="00ED2DB8"/>
    <w:rsid w:val="00ED379B"/>
    <w:rsid w:val="00ED38E3"/>
    <w:rsid w:val="00ED3A92"/>
    <w:rsid w:val="00ED4060"/>
    <w:rsid w:val="00ED45E3"/>
    <w:rsid w:val="00ED4783"/>
    <w:rsid w:val="00ED49B3"/>
    <w:rsid w:val="00ED51DE"/>
    <w:rsid w:val="00ED52CD"/>
    <w:rsid w:val="00ED539C"/>
    <w:rsid w:val="00ED53CB"/>
    <w:rsid w:val="00ED5447"/>
    <w:rsid w:val="00ED54B4"/>
    <w:rsid w:val="00ED5993"/>
    <w:rsid w:val="00ED5A24"/>
    <w:rsid w:val="00ED6222"/>
    <w:rsid w:val="00ED689C"/>
    <w:rsid w:val="00ED6D5F"/>
    <w:rsid w:val="00ED6F3C"/>
    <w:rsid w:val="00ED74B3"/>
    <w:rsid w:val="00ED74C3"/>
    <w:rsid w:val="00ED79B4"/>
    <w:rsid w:val="00ED7E44"/>
    <w:rsid w:val="00EE0456"/>
    <w:rsid w:val="00EE081A"/>
    <w:rsid w:val="00EE08CA"/>
    <w:rsid w:val="00EE0A57"/>
    <w:rsid w:val="00EE0C9C"/>
    <w:rsid w:val="00EE1228"/>
    <w:rsid w:val="00EE1B4A"/>
    <w:rsid w:val="00EE1C17"/>
    <w:rsid w:val="00EE1D56"/>
    <w:rsid w:val="00EE1F84"/>
    <w:rsid w:val="00EE20B1"/>
    <w:rsid w:val="00EE235A"/>
    <w:rsid w:val="00EE294E"/>
    <w:rsid w:val="00EE35B8"/>
    <w:rsid w:val="00EE3632"/>
    <w:rsid w:val="00EE3EC0"/>
    <w:rsid w:val="00EE427C"/>
    <w:rsid w:val="00EE4392"/>
    <w:rsid w:val="00EE43C1"/>
    <w:rsid w:val="00EE4B3F"/>
    <w:rsid w:val="00EE4DCC"/>
    <w:rsid w:val="00EE5425"/>
    <w:rsid w:val="00EE559E"/>
    <w:rsid w:val="00EE5BB3"/>
    <w:rsid w:val="00EE620B"/>
    <w:rsid w:val="00EE6D82"/>
    <w:rsid w:val="00EE715D"/>
    <w:rsid w:val="00EE7273"/>
    <w:rsid w:val="00EE74FC"/>
    <w:rsid w:val="00EE7916"/>
    <w:rsid w:val="00EE793A"/>
    <w:rsid w:val="00EE7A69"/>
    <w:rsid w:val="00EE7C99"/>
    <w:rsid w:val="00EF0A64"/>
    <w:rsid w:val="00EF132F"/>
    <w:rsid w:val="00EF1392"/>
    <w:rsid w:val="00EF150A"/>
    <w:rsid w:val="00EF18AD"/>
    <w:rsid w:val="00EF19D9"/>
    <w:rsid w:val="00EF2467"/>
    <w:rsid w:val="00EF4844"/>
    <w:rsid w:val="00EF4853"/>
    <w:rsid w:val="00EF4A5A"/>
    <w:rsid w:val="00EF4E5E"/>
    <w:rsid w:val="00EF5112"/>
    <w:rsid w:val="00EF5132"/>
    <w:rsid w:val="00EF5667"/>
    <w:rsid w:val="00EF5D5A"/>
    <w:rsid w:val="00EF5D5C"/>
    <w:rsid w:val="00EF63BB"/>
    <w:rsid w:val="00EF6662"/>
    <w:rsid w:val="00EF6786"/>
    <w:rsid w:val="00EF6D04"/>
    <w:rsid w:val="00EF6D93"/>
    <w:rsid w:val="00EF6EEB"/>
    <w:rsid w:val="00EF760F"/>
    <w:rsid w:val="00EF7671"/>
    <w:rsid w:val="00EF77F0"/>
    <w:rsid w:val="00EF7E34"/>
    <w:rsid w:val="00F00002"/>
    <w:rsid w:val="00F001EC"/>
    <w:rsid w:val="00F003C1"/>
    <w:rsid w:val="00F00918"/>
    <w:rsid w:val="00F009C1"/>
    <w:rsid w:val="00F00EA8"/>
    <w:rsid w:val="00F01186"/>
    <w:rsid w:val="00F011DB"/>
    <w:rsid w:val="00F01A4D"/>
    <w:rsid w:val="00F01EB1"/>
    <w:rsid w:val="00F021AC"/>
    <w:rsid w:val="00F0223F"/>
    <w:rsid w:val="00F029BC"/>
    <w:rsid w:val="00F02BBD"/>
    <w:rsid w:val="00F02C66"/>
    <w:rsid w:val="00F02F44"/>
    <w:rsid w:val="00F0307D"/>
    <w:rsid w:val="00F031F5"/>
    <w:rsid w:val="00F036A3"/>
    <w:rsid w:val="00F0373C"/>
    <w:rsid w:val="00F03B42"/>
    <w:rsid w:val="00F04921"/>
    <w:rsid w:val="00F04E78"/>
    <w:rsid w:val="00F04FEF"/>
    <w:rsid w:val="00F05361"/>
    <w:rsid w:val="00F05B65"/>
    <w:rsid w:val="00F05D9F"/>
    <w:rsid w:val="00F0636F"/>
    <w:rsid w:val="00F06854"/>
    <w:rsid w:val="00F07604"/>
    <w:rsid w:val="00F07613"/>
    <w:rsid w:val="00F0767F"/>
    <w:rsid w:val="00F0785A"/>
    <w:rsid w:val="00F078EC"/>
    <w:rsid w:val="00F07B52"/>
    <w:rsid w:val="00F07B9B"/>
    <w:rsid w:val="00F07C18"/>
    <w:rsid w:val="00F11356"/>
    <w:rsid w:val="00F116D0"/>
    <w:rsid w:val="00F11778"/>
    <w:rsid w:val="00F121D1"/>
    <w:rsid w:val="00F12629"/>
    <w:rsid w:val="00F12B69"/>
    <w:rsid w:val="00F1308B"/>
    <w:rsid w:val="00F134C6"/>
    <w:rsid w:val="00F1354C"/>
    <w:rsid w:val="00F143DE"/>
    <w:rsid w:val="00F1440B"/>
    <w:rsid w:val="00F14777"/>
    <w:rsid w:val="00F147E6"/>
    <w:rsid w:val="00F14FD5"/>
    <w:rsid w:val="00F152D3"/>
    <w:rsid w:val="00F15440"/>
    <w:rsid w:val="00F15515"/>
    <w:rsid w:val="00F15E67"/>
    <w:rsid w:val="00F15EFD"/>
    <w:rsid w:val="00F15EFE"/>
    <w:rsid w:val="00F164DE"/>
    <w:rsid w:val="00F16634"/>
    <w:rsid w:val="00F16853"/>
    <w:rsid w:val="00F171F9"/>
    <w:rsid w:val="00F1730F"/>
    <w:rsid w:val="00F178D2"/>
    <w:rsid w:val="00F17A79"/>
    <w:rsid w:val="00F17C66"/>
    <w:rsid w:val="00F202DD"/>
    <w:rsid w:val="00F209F8"/>
    <w:rsid w:val="00F20C34"/>
    <w:rsid w:val="00F2147E"/>
    <w:rsid w:val="00F21609"/>
    <w:rsid w:val="00F21A45"/>
    <w:rsid w:val="00F21B53"/>
    <w:rsid w:val="00F21EB0"/>
    <w:rsid w:val="00F2201B"/>
    <w:rsid w:val="00F22065"/>
    <w:rsid w:val="00F22313"/>
    <w:rsid w:val="00F22343"/>
    <w:rsid w:val="00F22404"/>
    <w:rsid w:val="00F226B6"/>
    <w:rsid w:val="00F22D6E"/>
    <w:rsid w:val="00F236D5"/>
    <w:rsid w:val="00F238EF"/>
    <w:rsid w:val="00F23DE7"/>
    <w:rsid w:val="00F23EBE"/>
    <w:rsid w:val="00F248C7"/>
    <w:rsid w:val="00F24B8E"/>
    <w:rsid w:val="00F24D6A"/>
    <w:rsid w:val="00F24FFD"/>
    <w:rsid w:val="00F2574A"/>
    <w:rsid w:val="00F25763"/>
    <w:rsid w:val="00F2594A"/>
    <w:rsid w:val="00F25CA3"/>
    <w:rsid w:val="00F25F64"/>
    <w:rsid w:val="00F25FC7"/>
    <w:rsid w:val="00F2630A"/>
    <w:rsid w:val="00F263AD"/>
    <w:rsid w:val="00F264B8"/>
    <w:rsid w:val="00F26A5A"/>
    <w:rsid w:val="00F26BBA"/>
    <w:rsid w:val="00F26C88"/>
    <w:rsid w:val="00F26D06"/>
    <w:rsid w:val="00F26D38"/>
    <w:rsid w:val="00F26E72"/>
    <w:rsid w:val="00F27536"/>
    <w:rsid w:val="00F27B76"/>
    <w:rsid w:val="00F3040E"/>
    <w:rsid w:val="00F304A8"/>
    <w:rsid w:val="00F309CA"/>
    <w:rsid w:val="00F30B91"/>
    <w:rsid w:val="00F30F5D"/>
    <w:rsid w:val="00F31206"/>
    <w:rsid w:val="00F31532"/>
    <w:rsid w:val="00F3173A"/>
    <w:rsid w:val="00F31861"/>
    <w:rsid w:val="00F32088"/>
    <w:rsid w:val="00F32418"/>
    <w:rsid w:val="00F32913"/>
    <w:rsid w:val="00F32A66"/>
    <w:rsid w:val="00F3324D"/>
    <w:rsid w:val="00F34210"/>
    <w:rsid w:val="00F34F66"/>
    <w:rsid w:val="00F350C6"/>
    <w:rsid w:val="00F3511E"/>
    <w:rsid w:val="00F351F7"/>
    <w:rsid w:val="00F3525E"/>
    <w:rsid w:val="00F35549"/>
    <w:rsid w:val="00F35885"/>
    <w:rsid w:val="00F36019"/>
    <w:rsid w:val="00F36605"/>
    <w:rsid w:val="00F366FB"/>
    <w:rsid w:val="00F36C9F"/>
    <w:rsid w:val="00F373DC"/>
    <w:rsid w:val="00F375F4"/>
    <w:rsid w:val="00F378A6"/>
    <w:rsid w:val="00F3796D"/>
    <w:rsid w:val="00F4000E"/>
    <w:rsid w:val="00F40202"/>
    <w:rsid w:val="00F40BE9"/>
    <w:rsid w:val="00F40ED3"/>
    <w:rsid w:val="00F411C1"/>
    <w:rsid w:val="00F4123C"/>
    <w:rsid w:val="00F4131E"/>
    <w:rsid w:val="00F4135A"/>
    <w:rsid w:val="00F41386"/>
    <w:rsid w:val="00F41BD1"/>
    <w:rsid w:val="00F42164"/>
    <w:rsid w:val="00F42AC0"/>
    <w:rsid w:val="00F4345F"/>
    <w:rsid w:val="00F43A56"/>
    <w:rsid w:val="00F43DD0"/>
    <w:rsid w:val="00F4417C"/>
    <w:rsid w:val="00F44203"/>
    <w:rsid w:val="00F445FF"/>
    <w:rsid w:val="00F4463B"/>
    <w:rsid w:val="00F44AF1"/>
    <w:rsid w:val="00F451D4"/>
    <w:rsid w:val="00F4541A"/>
    <w:rsid w:val="00F45AE2"/>
    <w:rsid w:val="00F45BD4"/>
    <w:rsid w:val="00F45EDF"/>
    <w:rsid w:val="00F46184"/>
    <w:rsid w:val="00F4625D"/>
    <w:rsid w:val="00F4638F"/>
    <w:rsid w:val="00F466B3"/>
    <w:rsid w:val="00F467AF"/>
    <w:rsid w:val="00F468E9"/>
    <w:rsid w:val="00F470D0"/>
    <w:rsid w:val="00F473D8"/>
    <w:rsid w:val="00F47643"/>
    <w:rsid w:val="00F47788"/>
    <w:rsid w:val="00F47849"/>
    <w:rsid w:val="00F478EB"/>
    <w:rsid w:val="00F47DD5"/>
    <w:rsid w:val="00F50BA3"/>
    <w:rsid w:val="00F51106"/>
    <w:rsid w:val="00F514E3"/>
    <w:rsid w:val="00F51A14"/>
    <w:rsid w:val="00F521AA"/>
    <w:rsid w:val="00F52501"/>
    <w:rsid w:val="00F52838"/>
    <w:rsid w:val="00F531C9"/>
    <w:rsid w:val="00F53B78"/>
    <w:rsid w:val="00F53BB4"/>
    <w:rsid w:val="00F54251"/>
    <w:rsid w:val="00F5455E"/>
    <w:rsid w:val="00F547A4"/>
    <w:rsid w:val="00F54897"/>
    <w:rsid w:val="00F548B6"/>
    <w:rsid w:val="00F54D38"/>
    <w:rsid w:val="00F55082"/>
    <w:rsid w:val="00F553BF"/>
    <w:rsid w:val="00F558E6"/>
    <w:rsid w:val="00F55EAA"/>
    <w:rsid w:val="00F55F46"/>
    <w:rsid w:val="00F5629A"/>
    <w:rsid w:val="00F562A2"/>
    <w:rsid w:val="00F56A10"/>
    <w:rsid w:val="00F56BAE"/>
    <w:rsid w:val="00F57054"/>
    <w:rsid w:val="00F571DB"/>
    <w:rsid w:val="00F572FE"/>
    <w:rsid w:val="00F5769E"/>
    <w:rsid w:val="00F5774F"/>
    <w:rsid w:val="00F579D5"/>
    <w:rsid w:val="00F57E50"/>
    <w:rsid w:val="00F57F20"/>
    <w:rsid w:val="00F60617"/>
    <w:rsid w:val="00F60639"/>
    <w:rsid w:val="00F60C47"/>
    <w:rsid w:val="00F60F0A"/>
    <w:rsid w:val="00F6140D"/>
    <w:rsid w:val="00F61C2B"/>
    <w:rsid w:val="00F62348"/>
    <w:rsid w:val="00F625E6"/>
    <w:rsid w:val="00F62660"/>
    <w:rsid w:val="00F6281D"/>
    <w:rsid w:val="00F62D25"/>
    <w:rsid w:val="00F62FEE"/>
    <w:rsid w:val="00F630ED"/>
    <w:rsid w:val="00F6367D"/>
    <w:rsid w:val="00F6436A"/>
    <w:rsid w:val="00F6480B"/>
    <w:rsid w:val="00F64A00"/>
    <w:rsid w:val="00F64B26"/>
    <w:rsid w:val="00F64BC9"/>
    <w:rsid w:val="00F651FB"/>
    <w:rsid w:val="00F655F5"/>
    <w:rsid w:val="00F65886"/>
    <w:rsid w:val="00F65A67"/>
    <w:rsid w:val="00F65BDC"/>
    <w:rsid w:val="00F65F1F"/>
    <w:rsid w:val="00F66042"/>
    <w:rsid w:val="00F663E4"/>
    <w:rsid w:val="00F66822"/>
    <w:rsid w:val="00F66A6E"/>
    <w:rsid w:val="00F66D44"/>
    <w:rsid w:val="00F66F07"/>
    <w:rsid w:val="00F67097"/>
    <w:rsid w:val="00F67329"/>
    <w:rsid w:val="00F674DA"/>
    <w:rsid w:val="00F67D3F"/>
    <w:rsid w:val="00F67EE8"/>
    <w:rsid w:val="00F7002C"/>
    <w:rsid w:val="00F700D8"/>
    <w:rsid w:val="00F708F1"/>
    <w:rsid w:val="00F70ED3"/>
    <w:rsid w:val="00F70FDD"/>
    <w:rsid w:val="00F71320"/>
    <w:rsid w:val="00F715E5"/>
    <w:rsid w:val="00F71A7A"/>
    <w:rsid w:val="00F722BE"/>
    <w:rsid w:val="00F72844"/>
    <w:rsid w:val="00F729DC"/>
    <w:rsid w:val="00F729F1"/>
    <w:rsid w:val="00F72B73"/>
    <w:rsid w:val="00F731D7"/>
    <w:rsid w:val="00F73702"/>
    <w:rsid w:val="00F73BCF"/>
    <w:rsid w:val="00F74166"/>
    <w:rsid w:val="00F74B26"/>
    <w:rsid w:val="00F752A2"/>
    <w:rsid w:val="00F752EC"/>
    <w:rsid w:val="00F75776"/>
    <w:rsid w:val="00F75AC3"/>
    <w:rsid w:val="00F75ADB"/>
    <w:rsid w:val="00F75EF5"/>
    <w:rsid w:val="00F7602D"/>
    <w:rsid w:val="00F76363"/>
    <w:rsid w:val="00F7685D"/>
    <w:rsid w:val="00F76C6C"/>
    <w:rsid w:val="00F76D4A"/>
    <w:rsid w:val="00F77119"/>
    <w:rsid w:val="00F77328"/>
    <w:rsid w:val="00F77CBA"/>
    <w:rsid w:val="00F77E63"/>
    <w:rsid w:val="00F8037E"/>
    <w:rsid w:val="00F803B7"/>
    <w:rsid w:val="00F806C9"/>
    <w:rsid w:val="00F807F7"/>
    <w:rsid w:val="00F8099F"/>
    <w:rsid w:val="00F816F6"/>
    <w:rsid w:val="00F818A9"/>
    <w:rsid w:val="00F81CDD"/>
    <w:rsid w:val="00F82D8A"/>
    <w:rsid w:val="00F8324B"/>
    <w:rsid w:val="00F838A8"/>
    <w:rsid w:val="00F83A8A"/>
    <w:rsid w:val="00F83E26"/>
    <w:rsid w:val="00F84A5A"/>
    <w:rsid w:val="00F85A9D"/>
    <w:rsid w:val="00F85B83"/>
    <w:rsid w:val="00F860D8"/>
    <w:rsid w:val="00F86914"/>
    <w:rsid w:val="00F86B73"/>
    <w:rsid w:val="00F86B8F"/>
    <w:rsid w:val="00F870BF"/>
    <w:rsid w:val="00F8754B"/>
    <w:rsid w:val="00F9012C"/>
    <w:rsid w:val="00F90377"/>
    <w:rsid w:val="00F90ADE"/>
    <w:rsid w:val="00F9176D"/>
    <w:rsid w:val="00F91D3B"/>
    <w:rsid w:val="00F91D8E"/>
    <w:rsid w:val="00F91FB6"/>
    <w:rsid w:val="00F923B9"/>
    <w:rsid w:val="00F927E3"/>
    <w:rsid w:val="00F92F2C"/>
    <w:rsid w:val="00F934BB"/>
    <w:rsid w:val="00F939B6"/>
    <w:rsid w:val="00F93D52"/>
    <w:rsid w:val="00F93E25"/>
    <w:rsid w:val="00F93EC8"/>
    <w:rsid w:val="00F9440D"/>
    <w:rsid w:val="00F94A68"/>
    <w:rsid w:val="00F94BC6"/>
    <w:rsid w:val="00F94BC8"/>
    <w:rsid w:val="00F94C99"/>
    <w:rsid w:val="00F95E60"/>
    <w:rsid w:val="00F96019"/>
    <w:rsid w:val="00F9640C"/>
    <w:rsid w:val="00F9667A"/>
    <w:rsid w:val="00F9727D"/>
    <w:rsid w:val="00F9741B"/>
    <w:rsid w:val="00F97B70"/>
    <w:rsid w:val="00F97BCC"/>
    <w:rsid w:val="00FA057A"/>
    <w:rsid w:val="00FA0665"/>
    <w:rsid w:val="00FA0A8E"/>
    <w:rsid w:val="00FA189A"/>
    <w:rsid w:val="00FA1A50"/>
    <w:rsid w:val="00FA1D9A"/>
    <w:rsid w:val="00FA1F76"/>
    <w:rsid w:val="00FA26F8"/>
    <w:rsid w:val="00FA276F"/>
    <w:rsid w:val="00FA2B8C"/>
    <w:rsid w:val="00FA33C1"/>
    <w:rsid w:val="00FA3509"/>
    <w:rsid w:val="00FA357D"/>
    <w:rsid w:val="00FA3AE6"/>
    <w:rsid w:val="00FA3E60"/>
    <w:rsid w:val="00FA3EC1"/>
    <w:rsid w:val="00FA40E6"/>
    <w:rsid w:val="00FA4628"/>
    <w:rsid w:val="00FA49E0"/>
    <w:rsid w:val="00FA5819"/>
    <w:rsid w:val="00FA5C9E"/>
    <w:rsid w:val="00FA5D5F"/>
    <w:rsid w:val="00FA66C6"/>
    <w:rsid w:val="00FA6F3D"/>
    <w:rsid w:val="00FA77FB"/>
    <w:rsid w:val="00FA7D36"/>
    <w:rsid w:val="00FB016A"/>
    <w:rsid w:val="00FB055C"/>
    <w:rsid w:val="00FB0D77"/>
    <w:rsid w:val="00FB0D91"/>
    <w:rsid w:val="00FB0E86"/>
    <w:rsid w:val="00FB0F89"/>
    <w:rsid w:val="00FB172B"/>
    <w:rsid w:val="00FB24EB"/>
    <w:rsid w:val="00FB274B"/>
    <w:rsid w:val="00FB39F2"/>
    <w:rsid w:val="00FB3C2C"/>
    <w:rsid w:val="00FB3FE2"/>
    <w:rsid w:val="00FB3FEE"/>
    <w:rsid w:val="00FB4372"/>
    <w:rsid w:val="00FB568A"/>
    <w:rsid w:val="00FB5967"/>
    <w:rsid w:val="00FB5AFD"/>
    <w:rsid w:val="00FB5B5B"/>
    <w:rsid w:val="00FB5D5B"/>
    <w:rsid w:val="00FB6CE2"/>
    <w:rsid w:val="00FB77CF"/>
    <w:rsid w:val="00FB7A8F"/>
    <w:rsid w:val="00FB7ACB"/>
    <w:rsid w:val="00FB7F03"/>
    <w:rsid w:val="00FC01EC"/>
    <w:rsid w:val="00FC051A"/>
    <w:rsid w:val="00FC0E47"/>
    <w:rsid w:val="00FC1402"/>
    <w:rsid w:val="00FC15F6"/>
    <w:rsid w:val="00FC194F"/>
    <w:rsid w:val="00FC1B18"/>
    <w:rsid w:val="00FC2295"/>
    <w:rsid w:val="00FC29D5"/>
    <w:rsid w:val="00FC2AF3"/>
    <w:rsid w:val="00FC2DCC"/>
    <w:rsid w:val="00FC35FA"/>
    <w:rsid w:val="00FC370E"/>
    <w:rsid w:val="00FC3B85"/>
    <w:rsid w:val="00FC3D15"/>
    <w:rsid w:val="00FC3D4C"/>
    <w:rsid w:val="00FC40E0"/>
    <w:rsid w:val="00FC4846"/>
    <w:rsid w:val="00FC4D1E"/>
    <w:rsid w:val="00FC4FE0"/>
    <w:rsid w:val="00FC5486"/>
    <w:rsid w:val="00FC58D3"/>
    <w:rsid w:val="00FC6222"/>
    <w:rsid w:val="00FC6EC0"/>
    <w:rsid w:val="00FC7770"/>
    <w:rsid w:val="00FC77C7"/>
    <w:rsid w:val="00FC7F65"/>
    <w:rsid w:val="00FD0D3F"/>
    <w:rsid w:val="00FD0F5C"/>
    <w:rsid w:val="00FD1298"/>
    <w:rsid w:val="00FD1CCA"/>
    <w:rsid w:val="00FD277B"/>
    <w:rsid w:val="00FD2CBA"/>
    <w:rsid w:val="00FD362E"/>
    <w:rsid w:val="00FD3816"/>
    <w:rsid w:val="00FD3AEE"/>
    <w:rsid w:val="00FD4281"/>
    <w:rsid w:val="00FD510F"/>
    <w:rsid w:val="00FD55E2"/>
    <w:rsid w:val="00FD56F6"/>
    <w:rsid w:val="00FD5A91"/>
    <w:rsid w:val="00FD5DF2"/>
    <w:rsid w:val="00FD5E28"/>
    <w:rsid w:val="00FD5E9E"/>
    <w:rsid w:val="00FD675A"/>
    <w:rsid w:val="00FD6EA3"/>
    <w:rsid w:val="00FD7514"/>
    <w:rsid w:val="00FD77A4"/>
    <w:rsid w:val="00FE03DA"/>
    <w:rsid w:val="00FE0897"/>
    <w:rsid w:val="00FE0940"/>
    <w:rsid w:val="00FE0989"/>
    <w:rsid w:val="00FE0E36"/>
    <w:rsid w:val="00FE102E"/>
    <w:rsid w:val="00FE1A57"/>
    <w:rsid w:val="00FE1FB4"/>
    <w:rsid w:val="00FE23B0"/>
    <w:rsid w:val="00FE24A9"/>
    <w:rsid w:val="00FE28C4"/>
    <w:rsid w:val="00FE34DC"/>
    <w:rsid w:val="00FE354B"/>
    <w:rsid w:val="00FE371A"/>
    <w:rsid w:val="00FE37A8"/>
    <w:rsid w:val="00FE37E9"/>
    <w:rsid w:val="00FE38A4"/>
    <w:rsid w:val="00FE3D93"/>
    <w:rsid w:val="00FE4329"/>
    <w:rsid w:val="00FE44CB"/>
    <w:rsid w:val="00FE45BD"/>
    <w:rsid w:val="00FE4BD1"/>
    <w:rsid w:val="00FE4D06"/>
    <w:rsid w:val="00FE574B"/>
    <w:rsid w:val="00FE6632"/>
    <w:rsid w:val="00FE66ED"/>
    <w:rsid w:val="00FE68E7"/>
    <w:rsid w:val="00FE6C64"/>
    <w:rsid w:val="00FE6F3D"/>
    <w:rsid w:val="00FE76FA"/>
    <w:rsid w:val="00FE77D3"/>
    <w:rsid w:val="00FF02F7"/>
    <w:rsid w:val="00FF062D"/>
    <w:rsid w:val="00FF0D5B"/>
    <w:rsid w:val="00FF1329"/>
    <w:rsid w:val="00FF1643"/>
    <w:rsid w:val="00FF1B15"/>
    <w:rsid w:val="00FF1CE1"/>
    <w:rsid w:val="00FF1E0B"/>
    <w:rsid w:val="00FF2021"/>
    <w:rsid w:val="00FF24A7"/>
    <w:rsid w:val="00FF267E"/>
    <w:rsid w:val="00FF2948"/>
    <w:rsid w:val="00FF2A25"/>
    <w:rsid w:val="00FF2A98"/>
    <w:rsid w:val="00FF2C48"/>
    <w:rsid w:val="00FF2F44"/>
    <w:rsid w:val="00FF314A"/>
    <w:rsid w:val="00FF34CD"/>
    <w:rsid w:val="00FF352D"/>
    <w:rsid w:val="00FF360F"/>
    <w:rsid w:val="00FF3965"/>
    <w:rsid w:val="00FF396F"/>
    <w:rsid w:val="00FF3AA1"/>
    <w:rsid w:val="00FF3F93"/>
    <w:rsid w:val="00FF4397"/>
    <w:rsid w:val="00FF4541"/>
    <w:rsid w:val="00FF463E"/>
    <w:rsid w:val="00FF4BAF"/>
    <w:rsid w:val="00FF4ED3"/>
    <w:rsid w:val="00FF50D5"/>
    <w:rsid w:val="00FF537D"/>
    <w:rsid w:val="00FF6180"/>
    <w:rsid w:val="00FF64E9"/>
    <w:rsid w:val="00FF6E50"/>
    <w:rsid w:val="00FF6E89"/>
    <w:rsid w:val="00FF7965"/>
    <w:rsid w:val="00FF799E"/>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E121C"/>
  <w15:docId w15:val="{A5C8966F-F4DB-474E-A98C-DCBB6D89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E15"/>
    <w:rPr>
      <w:sz w:val="24"/>
      <w:szCs w:val="24"/>
      <w:lang w:val="bg-BG"/>
    </w:rPr>
  </w:style>
  <w:style w:type="paragraph" w:styleId="Heading1">
    <w:name w:val="heading 1"/>
    <w:basedOn w:val="Normal"/>
    <w:next w:val="Normal"/>
    <w:link w:val="Heading1Char"/>
    <w:qFormat/>
    <w:rsid w:val="00063E15"/>
    <w:pPr>
      <w:keepNext/>
      <w:jc w:val="center"/>
      <w:outlineLvl w:val="0"/>
    </w:pPr>
    <w:rPr>
      <w:b/>
      <w:bCs/>
      <w:sz w:val="28"/>
    </w:rPr>
  </w:style>
  <w:style w:type="paragraph" w:styleId="Heading2">
    <w:name w:val="heading 2"/>
    <w:basedOn w:val="Normal"/>
    <w:next w:val="Normal"/>
    <w:link w:val="Heading2Char"/>
    <w:uiPriority w:val="99"/>
    <w:qFormat/>
    <w:rsid w:val="00C26F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623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E15"/>
    <w:pPr>
      <w:jc w:val="center"/>
    </w:pPr>
    <w:rPr>
      <w:b/>
      <w:szCs w:val="20"/>
    </w:rPr>
  </w:style>
  <w:style w:type="paragraph" w:customStyle="1" w:styleId="ParagraphNumbering">
    <w:name w:val="Paragraph Numbering"/>
    <w:basedOn w:val="Normal"/>
    <w:rsid w:val="0028159B"/>
    <w:pPr>
      <w:numPr>
        <w:numId w:val="1"/>
      </w:numPr>
      <w:spacing w:after="240"/>
    </w:pPr>
    <w:rPr>
      <w:lang w:val="en-US"/>
    </w:rPr>
  </w:style>
  <w:style w:type="paragraph" w:styleId="FootnoteText">
    <w:name w:val="footnote text"/>
    <w:aliases w:val="Fußnotentext arial,Footnote1,Footnote2,Footnote3,stile 1,Footnote4,Footnote5,Footnote6,Footnote7,Footnote8,Footnote9,Footnote10,Footnote11,Footnote21,Footnote31,Footnote41,Footnote51,Footnote61,Footnote71,Footnote81,Footnote91,single spa"/>
    <w:basedOn w:val="Normal"/>
    <w:link w:val="FootnoteTextChar"/>
    <w:uiPriority w:val="99"/>
    <w:qFormat/>
    <w:rsid w:val="003459AC"/>
    <w:rPr>
      <w:sz w:val="20"/>
      <w:szCs w:val="20"/>
      <w:lang w:val="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Nota,BVI fnr1"/>
    <w:link w:val="FootnotesymbolCarZchn"/>
    <w:uiPriority w:val="99"/>
    <w:qFormat/>
    <w:rsid w:val="003459AC"/>
    <w:rPr>
      <w:vertAlign w:val="superscript"/>
    </w:rPr>
  </w:style>
  <w:style w:type="paragraph" w:styleId="BodyText">
    <w:name w:val="Body Text"/>
    <w:basedOn w:val="Normal"/>
    <w:link w:val="BodyTextChar"/>
    <w:rsid w:val="003459AC"/>
    <w:pPr>
      <w:jc w:val="both"/>
    </w:pPr>
  </w:style>
  <w:style w:type="paragraph" w:styleId="BodyTextIndent">
    <w:name w:val="Body Text Indent"/>
    <w:basedOn w:val="Normal"/>
    <w:link w:val="BodyTextIndentChar"/>
    <w:uiPriority w:val="99"/>
    <w:rsid w:val="003459AC"/>
    <w:pPr>
      <w:spacing w:after="120"/>
      <w:ind w:left="283"/>
    </w:pPr>
  </w:style>
  <w:style w:type="paragraph" w:styleId="BodyText2">
    <w:name w:val="Body Text 2"/>
    <w:basedOn w:val="Normal"/>
    <w:link w:val="BodyText2Char"/>
    <w:rsid w:val="003459AC"/>
    <w:pPr>
      <w:spacing w:after="120" w:line="480" w:lineRule="auto"/>
    </w:pPr>
  </w:style>
  <w:style w:type="paragraph" w:styleId="BlockText">
    <w:name w:val="Block Text"/>
    <w:basedOn w:val="Normal"/>
    <w:rsid w:val="003459AC"/>
    <w:pPr>
      <w:ind w:left="720" w:right="1106"/>
    </w:pPr>
    <w:rPr>
      <w:b/>
      <w:bCs/>
    </w:rPr>
  </w:style>
  <w:style w:type="table" w:styleId="TableGrid">
    <w:name w:val="Table Grid"/>
    <w:basedOn w:val="TableNormal"/>
    <w:rsid w:val="0034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1 Char,Header Char Char Char,Header Char3 Char Char Char,Header Char1 Char Char Char Char1 Char,Header Char Char Char Char Char Char1 Char,Header Char2 Char1 Char Char Char,Header Char2,Header Char1 Char1,Header Char Char1"/>
    <w:basedOn w:val="Normal"/>
    <w:link w:val="HeaderChar1"/>
    <w:rsid w:val="001D40DA"/>
    <w:pPr>
      <w:tabs>
        <w:tab w:val="center" w:pos="4153"/>
        <w:tab w:val="right" w:pos="8306"/>
      </w:tabs>
    </w:pPr>
    <w:rPr>
      <w:lang w:eastAsia="bg-BG"/>
    </w:rPr>
  </w:style>
  <w:style w:type="paragraph" w:styleId="BodyText3">
    <w:name w:val="Body Text 3"/>
    <w:basedOn w:val="Normal"/>
    <w:link w:val="BodyText3Char"/>
    <w:rsid w:val="00262391"/>
    <w:pPr>
      <w:spacing w:after="120"/>
    </w:pPr>
    <w:rPr>
      <w:sz w:val="16"/>
      <w:szCs w:val="16"/>
    </w:rPr>
  </w:style>
  <w:style w:type="paragraph" w:styleId="Footer">
    <w:name w:val="footer"/>
    <w:basedOn w:val="Normal"/>
    <w:link w:val="FooterChar"/>
    <w:uiPriority w:val="99"/>
    <w:rsid w:val="00A74112"/>
    <w:pPr>
      <w:tabs>
        <w:tab w:val="center" w:pos="4536"/>
        <w:tab w:val="right" w:pos="9072"/>
      </w:tabs>
    </w:pPr>
  </w:style>
  <w:style w:type="character" w:styleId="PageNumber">
    <w:name w:val="page number"/>
    <w:basedOn w:val="DefaultParagraphFont"/>
    <w:rsid w:val="00A74112"/>
  </w:style>
  <w:style w:type="paragraph" w:customStyle="1" w:styleId="CharChar3CharChar">
    <w:name w:val="Char Char3 Char Char"/>
    <w:basedOn w:val="Normal"/>
    <w:semiHidden/>
    <w:rsid w:val="00EE4B3F"/>
    <w:pPr>
      <w:tabs>
        <w:tab w:val="left" w:pos="709"/>
      </w:tabs>
    </w:pPr>
    <w:rPr>
      <w:rFonts w:ascii="Futura Bk" w:hAnsi="Futura Bk"/>
      <w:lang w:val="pl-PL" w:eastAsia="pl-PL"/>
    </w:rPr>
  </w:style>
  <w:style w:type="paragraph" w:customStyle="1" w:styleId="CharCharCharChar">
    <w:name w:val="Char Char Char Char"/>
    <w:basedOn w:val="Normal"/>
    <w:rsid w:val="00A14560"/>
    <w:pPr>
      <w:spacing w:after="160" w:line="240" w:lineRule="exact"/>
    </w:pPr>
    <w:rPr>
      <w:rFonts w:ascii="Tahoma" w:hAnsi="Tahoma"/>
      <w:sz w:val="20"/>
      <w:szCs w:val="20"/>
      <w:lang w:val="en-US"/>
    </w:rPr>
  </w:style>
  <w:style w:type="paragraph" w:styleId="BodyTextIndent2">
    <w:name w:val="Body Text Indent 2"/>
    <w:basedOn w:val="Normal"/>
    <w:link w:val="BodyTextIndent2Char"/>
    <w:rsid w:val="00C32154"/>
    <w:pPr>
      <w:spacing w:after="120" w:line="480" w:lineRule="auto"/>
      <w:ind w:left="283"/>
    </w:pPr>
  </w:style>
  <w:style w:type="paragraph" w:styleId="BalloonText">
    <w:name w:val="Balloon Text"/>
    <w:basedOn w:val="Normal"/>
    <w:link w:val="BalloonTextChar"/>
    <w:semiHidden/>
    <w:rsid w:val="00144BF2"/>
    <w:rPr>
      <w:rFonts w:ascii="Tahoma" w:hAnsi="Tahoma" w:cs="Tahoma"/>
      <w:sz w:val="16"/>
      <w:szCs w:val="16"/>
    </w:rPr>
  </w:style>
  <w:style w:type="paragraph" w:styleId="EndnoteText">
    <w:name w:val="endnote text"/>
    <w:basedOn w:val="Normal"/>
    <w:link w:val="EndnoteTextChar"/>
    <w:semiHidden/>
    <w:rsid w:val="00F870BF"/>
    <w:rPr>
      <w:sz w:val="20"/>
      <w:szCs w:val="20"/>
    </w:rPr>
  </w:style>
  <w:style w:type="character" w:styleId="EndnoteReference">
    <w:name w:val="endnote reference"/>
    <w:semiHidden/>
    <w:rsid w:val="00F870BF"/>
    <w:rPr>
      <w:vertAlign w:val="superscript"/>
    </w:rPr>
  </w:style>
  <w:style w:type="character" w:styleId="CommentReference">
    <w:name w:val="annotation reference"/>
    <w:semiHidden/>
    <w:rsid w:val="00A252C3"/>
    <w:rPr>
      <w:sz w:val="16"/>
      <w:szCs w:val="16"/>
    </w:rPr>
  </w:style>
  <w:style w:type="paragraph" w:styleId="CommentText">
    <w:name w:val="annotation text"/>
    <w:basedOn w:val="Normal"/>
    <w:link w:val="CommentTextChar"/>
    <w:semiHidden/>
    <w:rsid w:val="00A252C3"/>
    <w:rPr>
      <w:sz w:val="20"/>
      <w:szCs w:val="20"/>
    </w:rPr>
  </w:style>
  <w:style w:type="character" w:customStyle="1" w:styleId="HeaderChar1">
    <w:name w:val="Header Char1"/>
    <w:aliases w:val="Header Char Char,Header Char1 Char Char,Header Char Char Char Char,Header Char3 Char Char Char Char,Header Char1 Char Char Char Char1 Char Char,Header Char Char Char Char Char Char1 Char Char,Header Char2 Char1 Char Char Char Char"/>
    <w:link w:val="Header"/>
    <w:rsid w:val="00166023"/>
    <w:rPr>
      <w:sz w:val="24"/>
      <w:szCs w:val="24"/>
      <w:lang w:val="bg-BG" w:eastAsia="bg-BG" w:bidi="ar-SA"/>
    </w:rPr>
  </w:style>
  <w:style w:type="paragraph" w:customStyle="1" w:styleId="Char1">
    <w:name w:val="Char1"/>
    <w:basedOn w:val="Normal"/>
    <w:semiHidden/>
    <w:rsid w:val="008138E4"/>
    <w:pPr>
      <w:tabs>
        <w:tab w:val="left" w:pos="709"/>
      </w:tabs>
    </w:pPr>
    <w:rPr>
      <w:rFonts w:ascii="Futura Bk" w:hAnsi="Futura Bk"/>
      <w:lang w:val="pl-PL" w:eastAsia="pl-PL"/>
    </w:rPr>
  </w:style>
  <w:style w:type="paragraph" w:customStyle="1" w:styleId="default">
    <w:name w:val="default"/>
    <w:basedOn w:val="Normal"/>
    <w:rsid w:val="003C14B1"/>
    <w:pPr>
      <w:spacing w:before="100" w:beforeAutospacing="1" w:after="100" w:afterAutospacing="1"/>
    </w:pPr>
    <w:rPr>
      <w:lang w:eastAsia="bg-BG"/>
    </w:rPr>
  </w:style>
  <w:style w:type="character" w:styleId="Strong">
    <w:name w:val="Strong"/>
    <w:uiPriority w:val="99"/>
    <w:qFormat/>
    <w:rsid w:val="003E37A0"/>
    <w:rPr>
      <w:b/>
      <w:bCs/>
    </w:rPr>
  </w:style>
  <w:style w:type="character" w:customStyle="1" w:styleId="BalloonTextChar">
    <w:name w:val="Balloon Text Char"/>
    <w:link w:val="BalloonText"/>
    <w:semiHidden/>
    <w:locked/>
    <w:rsid w:val="00DD1EFE"/>
    <w:rPr>
      <w:rFonts w:ascii="Tahoma" w:hAnsi="Tahoma" w:cs="Tahoma"/>
      <w:sz w:val="16"/>
      <w:szCs w:val="16"/>
      <w:lang w:val="en-GB" w:eastAsia="en-US" w:bidi="ar-SA"/>
    </w:rPr>
  </w:style>
  <w:style w:type="paragraph" w:customStyle="1" w:styleId="Default0">
    <w:name w:val="Default"/>
    <w:rsid w:val="00DD1EFE"/>
    <w:pPr>
      <w:autoSpaceDE w:val="0"/>
      <w:autoSpaceDN w:val="0"/>
      <w:adjustRightInd w:val="0"/>
    </w:pPr>
    <w:rPr>
      <w:rFonts w:ascii="Calibri" w:hAnsi="Calibri" w:cs="Calibri"/>
      <w:color w:val="000000"/>
      <w:sz w:val="24"/>
      <w:szCs w:val="24"/>
      <w:lang w:val="bg-BG"/>
    </w:rPr>
  </w:style>
  <w:style w:type="character" w:customStyle="1" w:styleId="FootnoteTextChar">
    <w:name w:val="Footnote Text Char"/>
    <w:aliases w:val="Fußnotentext arial Char,Footnote1 Char,Footnote2 Char,Footnote3 Char,stile 1 Char,Footnote4 Char,Footnote5 Char,Footnote6 Char,Footnote7 Char,Footnote8 Char,Footnote9 Char,Footnote10 Char,Footnote11 Char,Footnote21 Char"/>
    <w:link w:val="FootnoteText"/>
    <w:uiPriority w:val="99"/>
    <w:rsid w:val="009A3FA1"/>
    <w:rPr>
      <w:lang w:val="en-US" w:eastAsia="en-US" w:bidi="ar-SA"/>
    </w:rPr>
  </w:style>
  <w:style w:type="paragraph" w:customStyle="1" w:styleId="CharCharCharChar1">
    <w:name w:val="Char Char Char Char1"/>
    <w:basedOn w:val="Normal"/>
    <w:semiHidden/>
    <w:rsid w:val="00B20BB9"/>
    <w:pPr>
      <w:tabs>
        <w:tab w:val="left" w:pos="709"/>
      </w:tabs>
    </w:pPr>
    <w:rPr>
      <w:rFonts w:ascii="Futura Bk" w:hAnsi="Futura Bk"/>
      <w:lang w:val="pl-PL" w:eastAsia="pl-PL"/>
    </w:rPr>
  </w:style>
  <w:style w:type="character" w:customStyle="1" w:styleId="BodyText2Char">
    <w:name w:val="Body Text 2 Char"/>
    <w:link w:val="BodyText2"/>
    <w:locked/>
    <w:rsid w:val="002D5811"/>
    <w:rPr>
      <w:sz w:val="24"/>
      <w:szCs w:val="24"/>
      <w:lang w:val="en-GB" w:eastAsia="en-US" w:bidi="ar-SA"/>
    </w:rPr>
  </w:style>
  <w:style w:type="character" w:styleId="Hyperlink">
    <w:name w:val="Hyperlink"/>
    <w:unhideWhenUsed/>
    <w:rsid w:val="00231385"/>
    <w:rPr>
      <w:strike w:val="0"/>
      <w:dstrike w:val="0"/>
      <w:color w:val="004A8F"/>
      <w:u w:val="none"/>
      <w:effect w:val="none"/>
    </w:rPr>
  </w:style>
  <w:style w:type="paragraph" w:styleId="NormalWeb">
    <w:name w:val="Normal (Web)"/>
    <w:basedOn w:val="Normal"/>
    <w:unhideWhenUsed/>
    <w:rsid w:val="00231385"/>
    <w:pPr>
      <w:spacing w:before="100" w:beforeAutospacing="1" w:after="100" w:afterAutospacing="1" w:line="312" w:lineRule="atLeast"/>
      <w:jc w:val="both"/>
    </w:pPr>
    <w:rPr>
      <w:lang w:val="en-US"/>
    </w:rPr>
  </w:style>
  <w:style w:type="character" w:customStyle="1" w:styleId="ala13">
    <w:name w:val="al_a13"/>
    <w:uiPriority w:val="99"/>
    <w:rsid w:val="00B7424D"/>
  </w:style>
  <w:style w:type="paragraph" w:styleId="ListParagraph">
    <w:name w:val="List Paragraph"/>
    <w:aliases w:val="Recommendatio,Párrafo de lista,Recommendation,OBC Bullet,Dot pt,F5 List Paragraph,No Spacing1,List Paragraph Char Char Char,Indicator Text,Numbered Para 1,Bullet 1,Bullet Points,List Paragraph2,L,3,References,Colorful List - Accent 11"/>
    <w:basedOn w:val="Normal"/>
    <w:link w:val="ListParagraphChar"/>
    <w:uiPriority w:val="34"/>
    <w:qFormat/>
    <w:rsid w:val="00C818E7"/>
    <w:pPr>
      <w:spacing w:after="120" w:line="360" w:lineRule="auto"/>
      <w:ind w:left="720" w:firstLine="720"/>
      <w:contextualSpacing/>
      <w:jc w:val="both"/>
    </w:pPr>
    <w:rPr>
      <w:rFonts w:ascii="Arial" w:hAnsi="Arial"/>
      <w:szCs w:val="20"/>
    </w:rPr>
  </w:style>
  <w:style w:type="paragraph" w:customStyle="1" w:styleId="CharChar3">
    <w:name w:val="Char Char3"/>
    <w:basedOn w:val="Normal"/>
    <w:semiHidden/>
    <w:rsid w:val="009269F4"/>
    <w:pPr>
      <w:tabs>
        <w:tab w:val="left" w:pos="709"/>
      </w:tabs>
    </w:pPr>
    <w:rPr>
      <w:rFonts w:ascii="Futura Bk" w:hAnsi="Futura Bk"/>
      <w:lang w:val="pl-PL" w:eastAsia="pl-PL"/>
    </w:rPr>
  </w:style>
  <w:style w:type="character" w:customStyle="1" w:styleId="BodyTextIndentChar">
    <w:name w:val="Body Text Indent Char"/>
    <w:link w:val="BodyTextIndent"/>
    <w:uiPriority w:val="99"/>
    <w:locked/>
    <w:rsid w:val="00DA31ED"/>
    <w:rPr>
      <w:sz w:val="24"/>
      <w:szCs w:val="24"/>
      <w:lang w:val="bg-BG"/>
    </w:rPr>
  </w:style>
  <w:style w:type="paragraph" w:customStyle="1" w:styleId="NormalFirstline">
    <w:name w:val="Normal + First line"/>
    <w:aliases w:val="1.25 cm,After 6 pt"/>
    <w:basedOn w:val="Normal"/>
    <w:rsid w:val="00BD3B54"/>
    <w:rPr>
      <w:sz w:val="20"/>
      <w:szCs w:val="20"/>
    </w:rPr>
  </w:style>
  <w:style w:type="paragraph" w:styleId="CommentSubject">
    <w:name w:val="annotation subject"/>
    <w:basedOn w:val="CommentText"/>
    <w:next w:val="CommentText"/>
    <w:link w:val="CommentSubjectChar"/>
    <w:semiHidden/>
    <w:rsid w:val="00381745"/>
    <w:rPr>
      <w:b/>
      <w:bCs/>
    </w:rPr>
  </w:style>
  <w:style w:type="character" w:customStyle="1" w:styleId="CommentTextChar">
    <w:name w:val="Comment Text Char"/>
    <w:link w:val="CommentText"/>
    <w:semiHidden/>
    <w:rsid w:val="009F38CE"/>
    <w:rPr>
      <w:lang w:eastAsia="en-US"/>
    </w:rPr>
  </w:style>
  <w:style w:type="character" w:customStyle="1" w:styleId="CommentSubjectChar">
    <w:name w:val="Comment Subject Char"/>
    <w:link w:val="CommentSubject"/>
    <w:semiHidden/>
    <w:rsid w:val="009F38CE"/>
    <w:rPr>
      <w:b/>
      <w:bCs/>
      <w:lang w:eastAsia="en-US"/>
    </w:rPr>
  </w:style>
  <w:style w:type="character" w:customStyle="1" w:styleId="TitleChar">
    <w:name w:val="Title Char"/>
    <w:link w:val="Title"/>
    <w:rsid w:val="00C1518C"/>
    <w:rPr>
      <w:b/>
      <w:sz w:val="24"/>
      <w:lang w:eastAsia="en-US"/>
    </w:rPr>
  </w:style>
  <w:style w:type="character" w:customStyle="1" w:styleId="BodyTextChar">
    <w:name w:val="Body Text Char"/>
    <w:link w:val="BodyText"/>
    <w:rsid w:val="00A10AC7"/>
    <w:rPr>
      <w:sz w:val="24"/>
      <w:szCs w:val="24"/>
      <w:lang w:val="bg-BG"/>
    </w:rPr>
  </w:style>
  <w:style w:type="paragraph" w:styleId="Revision">
    <w:name w:val="Revision"/>
    <w:hidden/>
    <w:uiPriority w:val="99"/>
    <w:semiHidden/>
    <w:rsid w:val="00F32913"/>
    <w:rPr>
      <w:sz w:val="24"/>
      <w:szCs w:val="24"/>
      <w:lang w:val="bg-BG"/>
    </w:rPr>
  </w:style>
  <w:style w:type="paragraph" w:customStyle="1" w:styleId="m">
    <w:name w:val="m"/>
    <w:basedOn w:val="Normal"/>
    <w:rsid w:val="00675E99"/>
    <w:pPr>
      <w:spacing w:before="100" w:beforeAutospacing="1" w:after="100" w:afterAutospacing="1"/>
    </w:pPr>
    <w:rPr>
      <w:lang w:eastAsia="bg-BG"/>
    </w:rPr>
  </w:style>
  <w:style w:type="character" w:customStyle="1" w:styleId="Heading1Char">
    <w:name w:val="Heading 1 Char"/>
    <w:basedOn w:val="DefaultParagraphFont"/>
    <w:link w:val="Heading1"/>
    <w:rsid w:val="002E2C27"/>
    <w:rPr>
      <w:b/>
      <w:bCs/>
      <w:sz w:val="28"/>
      <w:szCs w:val="24"/>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Numbered Para 1 Char,Bullet 1 Char,L Char,3 Char"/>
    <w:link w:val="ListParagraph"/>
    <w:uiPriority w:val="34"/>
    <w:qFormat/>
    <w:locked/>
    <w:rsid w:val="00207C9E"/>
    <w:rPr>
      <w:rFonts w:ascii="Arial" w:hAnsi="Arial"/>
      <w:sz w:val="24"/>
      <w:lang w:val="bg-BG"/>
    </w:rPr>
  </w:style>
  <w:style w:type="character" w:customStyle="1" w:styleId="HeaderChar2Char">
    <w:name w:val="Header Char2 Char"/>
    <w:aliases w:val="Header Char1 Char1 Char,Header Char Char Char1 Char,Header Char1 Char Char Char Char,Header Char Char Char Char Char Char,Header Char Char1 Char,Header Char1 Char Char1 Char,Header Char Char Char Char1 Char"/>
    <w:basedOn w:val="DefaultParagraphFont"/>
    <w:rsid w:val="005F1F3A"/>
    <w:rPr>
      <w:rFonts w:ascii="Arial" w:hAnsi="Arial"/>
      <w:sz w:val="24"/>
      <w:lang w:val="en-AU" w:eastAsia="en-US"/>
    </w:rPr>
  </w:style>
  <w:style w:type="paragraph" w:customStyle="1" w:styleId="1">
    <w:name w:val="1"/>
    <w:basedOn w:val="Normal"/>
    <w:semiHidden/>
    <w:rsid w:val="008969AB"/>
    <w:pPr>
      <w:tabs>
        <w:tab w:val="left" w:pos="709"/>
      </w:tabs>
    </w:pPr>
    <w:rPr>
      <w:rFonts w:ascii="Futura Bk" w:hAnsi="Futura Bk"/>
      <w:lang w:val="pl-PL" w:eastAsia="pl-PL"/>
    </w:rPr>
  </w:style>
  <w:style w:type="paragraph" w:customStyle="1" w:styleId="CharCharCharChar1CharCharCharCharCharCharCharCharChar">
    <w:name w:val="Char Char Char Char1 Char Char Char Char Char Char Char Char Char"/>
    <w:basedOn w:val="Normal"/>
    <w:rsid w:val="008969AB"/>
    <w:pPr>
      <w:spacing w:after="160" w:line="240" w:lineRule="exact"/>
    </w:pPr>
    <w:rPr>
      <w:rFonts w:ascii="Tahoma" w:hAnsi="Tahoma"/>
      <w:sz w:val="20"/>
      <w:szCs w:val="20"/>
      <w:lang w:val="en-US"/>
    </w:rPr>
  </w:style>
  <w:style w:type="paragraph" w:customStyle="1" w:styleId="Char1CharCharChar">
    <w:name w:val="Char1 Char Char Char"/>
    <w:basedOn w:val="Normal"/>
    <w:semiHidden/>
    <w:rsid w:val="008969AB"/>
    <w:pPr>
      <w:tabs>
        <w:tab w:val="left" w:pos="709"/>
      </w:tabs>
    </w:pPr>
    <w:rPr>
      <w:rFonts w:ascii="Futura Bk" w:hAnsi="Futura Bk"/>
      <w:lang w:val="pl-PL" w:eastAsia="pl-PL"/>
    </w:rPr>
  </w:style>
  <w:style w:type="paragraph" w:customStyle="1" w:styleId="Char">
    <w:name w:val="Char"/>
    <w:basedOn w:val="Normal"/>
    <w:semiHidden/>
    <w:rsid w:val="008969AB"/>
    <w:pPr>
      <w:tabs>
        <w:tab w:val="left" w:pos="709"/>
      </w:tabs>
    </w:pPr>
    <w:rPr>
      <w:rFonts w:ascii="Futura Bk" w:hAnsi="Futura Bk"/>
      <w:lang w:val="pl-PL" w:eastAsia="pl-PL"/>
    </w:rPr>
  </w:style>
  <w:style w:type="paragraph" w:styleId="TOC1">
    <w:name w:val="toc 1"/>
    <w:basedOn w:val="Normal"/>
    <w:next w:val="Normal"/>
    <w:autoRedefine/>
    <w:semiHidden/>
    <w:rsid w:val="008969AB"/>
    <w:pPr>
      <w:tabs>
        <w:tab w:val="right" w:leader="dot" w:pos="9062"/>
      </w:tabs>
      <w:ind w:left="-180" w:hanging="360"/>
      <w:jc w:val="center"/>
    </w:pPr>
    <w:rPr>
      <w:b/>
      <w:noProof/>
      <w:lang w:val="en-US" w:eastAsia="bg-BG"/>
    </w:rPr>
  </w:style>
  <w:style w:type="character" w:styleId="Emphasis">
    <w:name w:val="Emphasis"/>
    <w:qFormat/>
    <w:rsid w:val="008969AB"/>
    <w:rPr>
      <w:i/>
      <w:iCs/>
    </w:rPr>
  </w:style>
  <w:style w:type="paragraph" w:customStyle="1" w:styleId="CharChar1CharCharCharCharCharChar">
    <w:name w:val="Char Char1 Char Char Char Char Char Char"/>
    <w:basedOn w:val="Normal"/>
    <w:semiHidden/>
    <w:rsid w:val="008969AB"/>
    <w:pPr>
      <w:tabs>
        <w:tab w:val="left" w:pos="709"/>
      </w:tabs>
    </w:pPr>
    <w:rPr>
      <w:rFonts w:ascii="Futura Bk" w:hAnsi="Futura Bk"/>
      <w:lang w:val="pl-PL" w:eastAsia="pl-PL"/>
    </w:rPr>
  </w:style>
  <w:style w:type="paragraph" w:styleId="Subtitle">
    <w:name w:val="Subtitle"/>
    <w:basedOn w:val="Normal"/>
    <w:next w:val="Normal"/>
    <w:link w:val="SubtitleChar"/>
    <w:qFormat/>
    <w:rsid w:val="008969AB"/>
    <w:pPr>
      <w:spacing w:after="60"/>
      <w:jc w:val="center"/>
      <w:outlineLvl w:val="1"/>
    </w:pPr>
    <w:rPr>
      <w:rFonts w:ascii="Cambria" w:hAnsi="Cambria"/>
      <w:lang w:eastAsia="bg-BG"/>
    </w:rPr>
  </w:style>
  <w:style w:type="character" w:customStyle="1" w:styleId="SubtitleChar">
    <w:name w:val="Subtitle Char"/>
    <w:basedOn w:val="DefaultParagraphFont"/>
    <w:link w:val="Subtitle"/>
    <w:rsid w:val="008969AB"/>
    <w:rPr>
      <w:rFonts w:ascii="Cambria" w:hAnsi="Cambria"/>
      <w:sz w:val="24"/>
      <w:szCs w:val="24"/>
      <w:lang w:val="bg-BG" w:eastAsia="bg-BG"/>
    </w:rPr>
  </w:style>
  <w:style w:type="character" w:customStyle="1" w:styleId="FooterChar">
    <w:name w:val="Footer Char"/>
    <w:link w:val="Footer"/>
    <w:uiPriority w:val="99"/>
    <w:rsid w:val="008969AB"/>
    <w:rPr>
      <w:sz w:val="24"/>
      <w:szCs w:val="24"/>
      <w:lang w:val="bg-BG"/>
    </w:rPr>
  </w:style>
  <w:style w:type="paragraph" w:styleId="Quote">
    <w:name w:val="Quote"/>
    <w:basedOn w:val="Normal"/>
    <w:next w:val="Normal"/>
    <w:link w:val="QuoteChar"/>
    <w:uiPriority w:val="29"/>
    <w:qFormat/>
    <w:rsid w:val="00A6525E"/>
    <w:pPr>
      <w:spacing w:before="200" w:after="160"/>
      <w:ind w:left="864" w:right="864"/>
      <w:jc w:val="center"/>
    </w:pPr>
    <w:rPr>
      <w:i/>
      <w:iCs/>
      <w:color w:val="404040" w:themeColor="text1" w:themeTint="BF"/>
      <w:lang w:eastAsia="bg-BG"/>
    </w:rPr>
  </w:style>
  <w:style w:type="character" w:customStyle="1" w:styleId="QuoteChar">
    <w:name w:val="Quote Char"/>
    <w:basedOn w:val="DefaultParagraphFont"/>
    <w:link w:val="Quote"/>
    <w:uiPriority w:val="29"/>
    <w:rsid w:val="00A6525E"/>
    <w:rPr>
      <w:i/>
      <w:iCs/>
      <w:color w:val="404040" w:themeColor="text1" w:themeTint="BF"/>
      <w:sz w:val="24"/>
      <w:szCs w:val="24"/>
      <w:lang w:val="bg-BG" w:eastAsia="bg-BG"/>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C63FC"/>
    <w:pPr>
      <w:spacing w:after="160" w:line="240" w:lineRule="exact"/>
      <w:jc w:val="both"/>
    </w:pPr>
    <w:rPr>
      <w:sz w:val="20"/>
      <w:szCs w:val="20"/>
      <w:vertAlign w:val="superscript"/>
      <w:lang w:val="en-US"/>
    </w:rPr>
  </w:style>
  <w:style w:type="character" w:customStyle="1" w:styleId="Heading2Char">
    <w:name w:val="Heading 2 Char"/>
    <w:basedOn w:val="DefaultParagraphFont"/>
    <w:link w:val="Heading2"/>
    <w:uiPriority w:val="99"/>
    <w:rsid w:val="00581832"/>
    <w:rPr>
      <w:rFonts w:ascii="Arial" w:hAnsi="Arial" w:cs="Arial"/>
      <w:b/>
      <w:bCs/>
      <w:i/>
      <w:iCs/>
      <w:sz w:val="28"/>
      <w:szCs w:val="28"/>
      <w:lang w:val="bg-BG"/>
    </w:rPr>
  </w:style>
  <w:style w:type="character" w:customStyle="1" w:styleId="Heading3Char">
    <w:name w:val="Heading 3 Char"/>
    <w:basedOn w:val="DefaultParagraphFont"/>
    <w:link w:val="Heading3"/>
    <w:rsid w:val="00581832"/>
    <w:rPr>
      <w:rFonts w:ascii="Arial" w:hAnsi="Arial" w:cs="Arial"/>
      <w:b/>
      <w:bCs/>
      <w:sz w:val="26"/>
      <w:szCs w:val="26"/>
      <w:lang w:val="bg-BG"/>
    </w:rPr>
  </w:style>
  <w:style w:type="character" w:customStyle="1" w:styleId="BodyText3Char">
    <w:name w:val="Body Text 3 Char"/>
    <w:basedOn w:val="DefaultParagraphFont"/>
    <w:link w:val="BodyText3"/>
    <w:rsid w:val="00581832"/>
    <w:rPr>
      <w:sz w:val="16"/>
      <w:szCs w:val="16"/>
      <w:lang w:val="bg-BG"/>
    </w:rPr>
  </w:style>
  <w:style w:type="character" w:customStyle="1" w:styleId="BodyTextIndent2Char">
    <w:name w:val="Body Text Indent 2 Char"/>
    <w:basedOn w:val="DefaultParagraphFont"/>
    <w:link w:val="BodyTextIndent2"/>
    <w:rsid w:val="00581832"/>
    <w:rPr>
      <w:sz w:val="24"/>
      <w:szCs w:val="24"/>
      <w:lang w:val="bg-BG"/>
    </w:rPr>
  </w:style>
  <w:style w:type="character" w:customStyle="1" w:styleId="EndnoteTextChar">
    <w:name w:val="Endnote Text Char"/>
    <w:basedOn w:val="DefaultParagraphFont"/>
    <w:link w:val="EndnoteText"/>
    <w:semiHidden/>
    <w:rsid w:val="00581832"/>
    <w:rPr>
      <w:lang w:val="bg-BG"/>
    </w:rPr>
  </w:style>
  <w:style w:type="character" w:styleId="IntenseEmphasis">
    <w:name w:val="Intense Emphasis"/>
    <w:basedOn w:val="DefaultParagraphFont"/>
    <w:uiPriority w:val="21"/>
    <w:qFormat/>
    <w:rsid w:val="00E62C3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0982">
      <w:bodyDiv w:val="1"/>
      <w:marLeft w:val="0"/>
      <w:marRight w:val="0"/>
      <w:marTop w:val="0"/>
      <w:marBottom w:val="0"/>
      <w:divBdr>
        <w:top w:val="none" w:sz="0" w:space="0" w:color="auto"/>
        <w:left w:val="none" w:sz="0" w:space="0" w:color="auto"/>
        <w:bottom w:val="none" w:sz="0" w:space="0" w:color="auto"/>
        <w:right w:val="none" w:sz="0" w:space="0" w:color="auto"/>
      </w:divBdr>
    </w:div>
    <w:div w:id="146098401">
      <w:bodyDiv w:val="1"/>
      <w:marLeft w:val="0"/>
      <w:marRight w:val="0"/>
      <w:marTop w:val="0"/>
      <w:marBottom w:val="0"/>
      <w:divBdr>
        <w:top w:val="none" w:sz="0" w:space="0" w:color="auto"/>
        <w:left w:val="none" w:sz="0" w:space="0" w:color="auto"/>
        <w:bottom w:val="none" w:sz="0" w:space="0" w:color="auto"/>
        <w:right w:val="none" w:sz="0" w:space="0" w:color="auto"/>
      </w:divBdr>
    </w:div>
    <w:div w:id="272128182">
      <w:bodyDiv w:val="1"/>
      <w:marLeft w:val="0"/>
      <w:marRight w:val="0"/>
      <w:marTop w:val="0"/>
      <w:marBottom w:val="0"/>
      <w:divBdr>
        <w:top w:val="none" w:sz="0" w:space="0" w:color="auto"/>
        <w:left w:val="none" w:sz="0" w:space="0" w:color="auto"/>
        <w:bottom w:val="none" w:sz="0" w:space="0" w:color="auto"/>
        <w:right w:val="none" w:sz="0" w:space="0" w:color="auto"/>
      </w:divBdr>
    </w:div>
    <w:div w:id="488985167">
      <w:bodyDiv w:val="1"/>
      <w:marLeft w:val="0"/>
      <w:marRight w:val="0"/>
      <w:marTop w:val="0"/>
      <w:marBottom w:val="0"/>
      <w:divBdr>
        <w:top w:val="none" w:sz="0" w:space="0" w:color="auto"/>
        <w:left w:val="none" w:sz="0" w:space="0" w:color="auto"/>
        <w:bottom w:val="none" w:sz="0" w:space="0" w:color="auto"/>
        <w:right w:val="none" w:sz="0" w:space="0" w:color="auto"/>
      </w:divBdr>
    </w:div>
    <w:div w:id="490483776">
      <w:bodyDiv w:val="1"/>
      <w:marLeft w:val="0"/>
      <w:marRight w:val="0"/>
      <w:marTop w:val="0"/>
      <w:marBottom w:val="0"/>
      <w:divBdr>
        <w:top w:val="none" w:sz="0" w:space="0" w:color="auto"/>
        <w:left w:val="none" w:sz="0" w:space="0" w:color="auto"/>
        <w:bottom w:val="none" w:sz="0" w:space="0" w:color="auto"/>
        <w:right w:val="none" w:sz="0" w:space="0" w:color="auto"/>
      </w:divBdr>
    </w:div>
    <w:div w:id="503279387">
      <w:bodyDiv w:val="1"/>
      <w:marLeft w:val="0"/>
      <w:marRight w:val="0"/>
      <w:marTop w:val="0"/>
      <w:marBottom w:val="0"/>
      <w:divBdr>
        <w:top w:val="none" w:sz="0" w:space="0" w:color="auto"/>
        <w:left w:val="none" w:sz="0" w:space="0" w:color="auto"/>
        <w:bottom w:val="none" w:sz="0" w:space="0" w:color="auto"/>
        <w:right w:val="none" w:sz="0" w:space="0" w:color="auto"/>
      </w:divBdr>
    </w:div>
    <w:div w:id="567035072">
      <w:bodyDiv w:val="1"/>
      <w:marLeft w:val="0"/>
      <w:marRight w:val="0"/>
      <w:marTop w:val="0"/>
      <w:marBottom w:val="0"/>
      <w:divBdr>
        <w:top w:val="none" w:sz="0" w:space="0" w:color="auto"/>
        <w:left w:val="none" w:sz="0" w:space="0" w:color="auto"/>
        <w:bottom w:val="none" w:sz="0" w:space="0" w:color="auto"/>
        <w:right w:val="none" w:sz="0" w:space="0" w:color="auto"/>
      </w:divBdr>
      <w:divsChild>
        <w:div w:id="1294481459">
          <w:marLeft w:val="0"/>
          <w:marRight w:val="0"/>
          <w:marTop w:val="0"/>
          <w:marBottom w:val="0"/>
          <w:divBdr>
            <w:top w:val="none" w:sz="0" w:space="0" w:color="auto"/>
            <w:left w:val="none" w:sz="0" w:space="0" w:color="auto"/>
            <w:bottom w:val="none" w:sz="0" w:space="0" w:color="auto"/>
            <w:right w:val="none" w:sz="0" w:space="0" w:color="auto"/>
          </w:divBdr>
        </w:div>
      </w:divsChild>
    </w:div>
    <w:div w:id="669023205">
      <w:bodyDiv w:val="1"/>
      <w:marLeft w:val="0"/>
      <w:marRight w:val="0"/>
      <w:marTop w:val="0"/>
      <w:marBottom w:val="0"/>
      <w:divBdr>
        <w:top w:val="none" w:sz="0" w:space="0" w:color="auto"/>
        <w:left w:val="none" w:sz="0" w:space="0" w:color="auto"/>
        <w:bottom w:val="none" w:sz="0" w:space="0" w:color="auto"/>
        <w:right w:val="none" w:sz="0" w:space="0" w:color="auto"/>
      </w:divBdr>
    </w:div>
    <w:div w:id="721250821">
      <w:bodyDiv w:val="1"/>
      <w:marLeft w:val="0"/>
      <w:marRight w:val="0"/>
      <w:marTop w:val="0"/>
      <w:marBottom w:val="0"/>
      <w:divBdr>
        <w:top w:val="none" w:sz="0" w:space="0" w:color="auto"/>
        <w:left w:val="none" w:sz="0" w:space="0" w:color="auto"/>
        <w:bottom w:val="none" w:sz="0" w:space="0" w:color="auto"/>
        <w:right w:val="none" w:sz="0" w:space="0" w:color="auto"/>
      </w:divBdr>
    </w:div>
    <w:div w:id="769817748">
      <w:bodyDiv w:val="1"/>
      <w:marLeft w:val="0"/>
      <w:marRight w:val="0"/>
      <w:marTop w:val="0"/>
      <w:marBottom w:val="0"/>
      <w:divBdr>
        <w:top w:val="none" w:sz="0" w:space="0" w:color="auto"/>
        <w:left w:val="none" w:sz="0" w:space="0" w:color="auto"/>
        <w:bottom w:val="none" w:sz="0" w:space="0" w:color="auto"/>
        <w:right w:val="none" w:sz="0" w:space="0" w:color="auto"/>
      </w:divBdr>
    </w:div>
    <w:div w:id="1059985730">
      <w:bodyDiv w:val="1"/>
      <w:marLeft w:val="0"/>
      <w:marRight w:val="0"/>
      <w:marTop w:val="0"/>
      <w:marBottom w:val="0"/>
      <w:divBdr>
        <w:top w:val="none" w:sz="0" w:space="0" w:color="auto"/>
        <w:left w:val="none" w:sz="0" w:space="0" w:color="auto"/>
        <w:bottom w:val="none" w:sz="0" w:space="0" w:color="auto"/>
        <w:right w:val="none" w:sz="0" w:space="0" w:color="auto"/>
      </w:divBdr>
    </w:div>
    <w:div w:id="1151099104">
      <w:bodyDiv w:val="1"/>
      <w:marLeft w:val="0"/>
      <w:marRight w:val="0"/>
      <w:marTop w:val="0"/>
      <w:marBottom w:val="0"/>
      <w:divBdr>
        <w:top w:val="none" w:sz="0" w:space="0" w:color="auto"/>
        <w:left w:val="none" w:sz="0" w:space="0" w:color="auto"/>
        <w:bottom w:val="none" w:sz="0" w:space="0" w:color="auto"/>
        <w:right w:val="none" w:sz="0" w:space="0" w:color="auto"/>
      </w:divBdr>
    </w:div>
    <w:div w:id="1228757899">
      <w:bodyDiv w:val="1"/>
      <w:marLeft w:val="0"/>
      <w:marRight w:val="0"/>
      <w:marTop w:val="0"/>
      <w:marBottom w:val="0"/>
      <w:divBdr>
        <w:top w:val="none" w:sz="0" w:space="0" w:color="auto"/>
        <w:left w:val="none" w:sz="0" w:space="0" w:color="auto"/>
        <w:bottom w:val="none" w:sz="0" w:space="0" w:color="auto"/>
        <w:right w:val="none" w:sz="0" w:space="0" w:color="auto"/>
      </w:divBdr>
      <w:divsChild>
        <w:div w:id="1764762949">
          <w:marLeft w:val="0"/>
          <w:marRight w:val="0"/>
          <w:marTop w:val="0"/>
          <w:marBottom w:val="0"/>
          <w:divBdr>
            <w:top w:val="none" w:sz="0" w:space="0" w:color="auto"/>
            <w:left w:val="none" w:sz="0" w:space="0" w:color="auto"/>
            <w:bottom w:val="none" w:sz="0" w:space="0" w:color="auto"/>
            <w:right w:val="none" w:sz="0" w:space="0" w:color="auto"/>
          </w:divBdr>
          <w:divsChild>
            <w:div w:id="1689597285">
              <w:marLeft w:val="0"/>
              <w:marRight w:val="0"/>
              <w:marTop w:val="0"/>
              <w:marBottom w:val="0"/>
              <w:divBdr>
                <w:top w:val="none" w:sz="0" w:space="0" w:color="auto"/>
                <w:left w:val="none" w:sz="0" w:space="0" w:color="auto"/>
                <w:bottom w:val="none" w:sz="0" w:space="0" w:color="auto"/>
                <w:right w:val="none" w:sz="0" w:space="0" w:color="auto"/>
              </w:divBdr>
              <w:divsChild>
                <w:div w:id="754782278">
                  <w:marLeft w:val="0"/>
                  <w:marRight w:val="0"/>
                  <w:marTop w:val="0"/>
                  <w:marBottom w:val="0"/>
                  <w:divBdr>
                    <w:top w:val="none" w:sz="0" w:space="0" w:color="auto"/>
                    <w:left w:val="none" w:sz="0" w:space="0" w:color="auto"/>
                    <w:bottom w:val="none" w:sz="0" w:space="0" w:color="auto"/>
                    <w:right w:val="none" w:sz="0" w:space="0" w:color="auto"/>
                  </w:divBdr>
                  <w:divsChild>
                    <w:div w:id="20970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555913">
      <w:bodyDiv w:val="1"/>
      <w:marLeft w:val="0"/>
      <w:marRight w:val="0"/>
      <w:marTop w:val="0"/>
      <w:marBottom w:val="0"/>
      <w:divBdr>
        <w:top w:val="none" w:sz="0" w:space="0" w:color="auto"/>
        <w:left w:val="none" w:sz="0" w:space="0" w:color="auto"/>
        <w:bottom w:val="none" w:sz="0" w:space="0" w:color="auto"/>
        <w:right w:val="none" w:sz="0" w:space="0" w:color="auto"/>
      </w:divBdr>
      <w:divsChild>
        <w:div w:id="1132287915">
          <w:marLeft w:val="240"/>
          <w:marRight w:val="240"/>
          <w:marTop w:val="0"/>
          <w:marBottom w:val="0"/>
          <w:divBdr>
            <w:top w:val="none" w:sz="0" w:space="0" w:color="auto"/>
            <w:left w:val="none" w:sz="0" w:space="0" w:color="auto"/>
            <w:bottom w:val="none" w:sz="0" w:space="0" w:color="auto"/>
            <w:right w:val="none" w:sz="0" w:space="0" w:color="auto"/>
          </w:divBdr>
          <w:divsChild>
            <w:div w:id="2001541574">
              <w:marLeft w:val="0"/>
              <w:marRight w:val="0"/>
              <w:marTop w:val="0"/>
              <w:marBottom w:val="120"/>
              <w:divBdr>
                <w:top w:val="none" w:sz="0" w:space="0" w:color="auto"/>
                <w:left w:val="none" w:sz="0" w:space="0" w:color="auto"/>
                <w:bottom w:val="single" w:sz="6" w:space="0" w:color="A7A9AC"/>
                <w:right w:val="none" w:sz="0" w:space="0" w:color="auto"/>
              </w:divBdr>
            </w:div>
          </w:divsChild>
        </w:div>
      </w:divsChild>
    </w:div>
    <w:div w:id="1334607600">
      <w:bodyDiv w:val="1"/>
      <w:marLeft w:val="0"/>
      <w:marRight w:val="0"/>
      <w:marTop w:val="0"/>
      <w:marBottom w:val="0"/>
      <w:divBdr>
        <w:top w:val="none" w:sz="0" w:space="0" w:color="auto"/>
        <w:left w:val="none" w:sz="0" w:space="0" w:color="auto"/>
        <w:bottom w:val="none" w:sz="0" w:space="0" w:color="auto"/>
        <w:right w:val="none" w:sz="0" w:space="0" w:color="auto"/>
      </w:divBdr>
    </w:div>
    <w:div w:id="1449738080">
      <w:bodyDiv w:val="1"/>
      <w:marLeft w:val="0"/>
      <w:marRight w:val="0"/>
      <w:marTop w:val="0"/>
      <w:marBottom w:val="0"/>
      <w:divBdr>
        <w:top w:val="none" w:sz="0" w:space="0" w:color="auto"/>
        <w:left w:val="none" w:sz="0" w:space="0" w:color="auto"/>
        <w:bottom w:val="none" w:sz="0" w:space="0" w:color="auto"/>
        <w:right w:val="none" w:sz="0" w:space="0" w:color="auto"/>
      </w:divBdr>
    </w:div>
    <w:div w:id="1465393858">
      <w:bodyDiv w:val="1"/>
      <w:marLeft w:val="0"/>
      <w:marRight w:val="0"/>
      <w:marTop w:val="0"/>
      <w:marBottom w:val="0"/>
      <w:divBdr>
        <w:top w:val="none" w:sz="0" w:space="0" w:color="auto"/>
        <w:left w:val="none" w:sz="0" w:space="0" w:color="auto"/>
        <w:bottom w:val="none" w:sz="0" w:space="0" w:color="auto"/>
        <w:right w:val="none" w:sz="0" w:space="0" w:color="auto"/>
      </w:divBdr>
    </w:div>
    <w:div w:id="1523275988">
      <w:bodyDiv w:val="1"/>
      <w:marLeft w:val="0"/>
      <w:marRight w:val="0"/>
      <w:marTop w:val="0"/>
      <w:marBottom w:val="0"/>
      <w:divBdr>
        <w:top w:val="none" w:sz="0" w:space="0" w:color="auto"/>
        <w:left w:val="none" w:sz="0" w:space="0" w:color="auto"/>
        <w:bottom w:val="none" w:sz="0" w:space="0" w:color="auto"/>
        <w:right w:val="none" w:sz="0" w:space="0" w:color="auto"/>
      </w:divBdr>
    </w:div>
    <w:div w:id="1640960128">
      <w:bodyDiv w:val="1"/>
      <w:marLeft w:val="0"/>
      <w:marRight w:val="0"/>
      <w:marTop w:val="0"/>
      <w:marBottom w:val="0"/>
      <w:divBdr>
        <w:top w:val="none" w:sz="0" w:space="0" w:color="auto"/>
        <w:left w:val="none" w:sz="0" w:space="0" w:color="auto"/>
        <w:bottom w:val="none" w:sz="0" w:space="0" w:color="auto"/>
        <w:right w:val="none" w:sz="0" w:space="0" w:color="auto"/>
      </w:divBdr>
    </w:div>
    <w:div w:id="1736472099">
      <w:bodyDiv w:val="1"/>
      <w:marLeft w:val="0"/>
      <w:marRight w:val="0"/>
      <w:marTop w:val="0"/>
      <w:marBottom w:val="0"/>
      <w:divBdr>
        <w:top w:val="none" w:sz="0" w:space="0" w:color="auto"/>
        <w:left w:val="none" w:sz="0" w:space="0" w:color="auto"/>
        <w:bottom w:val="none" w:sz="0" w:space="0" w:color="auto"/>
        <w:right w:val="none" w:sz="0" w:space="0" w:color="auto"/>
      </w:divBdr>
    </w:div>
    <w:div w:id="1752582637">
      <w:bodyDiv w:val="1"/>
      <w:marLeft w:val="0"/>
      <w:marRight w:val="0"/>
      <w:marTop w:val="0"/>
      <w:marBottom w:val="0"/>
      <w:divBdr>
        <w:top w:val="none" w:sz="0" w:space="0" w:color="auto"/>
        <w:left w:val="none" w:sz="0" w:space="0" w:color="auto"/>
        <w:bottom w:val="none" w:sz="0" w:space="0" w:color="auto"/>
        <w:right w:val="none" w:sz="0" w:space="0" w:color="auto"/>
      </w:divBdr>
    </w:div>
    <w:div w:id="1821458686">
      <w:bodyDiv w:val="1"/>
      <w:marLeft w:val="0"/>
      <w:marRight w:val="0"/>
      <w:marTop w:val="0"/>
      <w:marBottom w:val="0"/>
      <w:divBdr>
        <w:top w:val="none" w:sz="0" w:space="0" w:color="auto"/>
        <w:left w:val="none" w:sz="0" w:space="0" w:color="auto"/>
        <w:bottom w:val="none" w:sz="0" w:space="0" w:color="auto"/>
        <w:right w:val="none" w:sz="0" w:space="0" w:color="auto"/>
      </w:divBdr>
    </w:div>
    <w:div w:id="1929189253">
      <w:bodyDiv w:val="1"/>
      <w:marLeft w:val="0"/>
      <w:marRight w:val="0"/>
      <w:marTop w:val="0"/>
      <w:marBottom w:val="0"/>
      <w:divBdr>
        <w:top w:val="none" w:sz="0" w:space="0" w:color="auto"/>
        <w:left w:val="none" w:sz="0" w:space="0" w:color="auto"/>
        <w:bottom w:val="none" w:sz="0" w:space="0" w:color="auto"/>
        <w:right w:val="none" w:sz="0" w:space="0" w:color="auto"/>
      </w:divBdr>
    </w:div>
    <w:div w:id="2005039560">
      <w:bodyDiv w:val="1"/>
      <w:marLeft w:val="0"/>
      <w:marRight w:val="0"/>
      <w:marTop w:val="0"/>
      <w:marBottom w:val="0"/>
      <w:divBdr>
        <w:top w:val="none" w:sz="0" w:space="0" w:color="auto"/>
        <w:left w:val="none" w:sz="0" w:space="0" w:color="auto"/>
        <w:bottom w:val="none" w:sz="0" w:space="0" w:color="auto"/>
        <w:right w:val="none" w:sz="0" w:space="0" w:color="auto"/>
      </w:divBdr>
    </w:div>
    <w:div w:id="2062440967">
      <w:bodyDiv w:val="1"/>
      <w:marLeft w:val="0"/>
      <w:marRight w:val="0"/>
      <w:marTop w:val="0"/>
      <w:marBottom w:val="0"/>
      <w:divBdr>
        <w:top w:val="none" w:sz="0" w:space="0" w:color="auto"/>
        <w:left w:val="none" w:sz="0" w:space="0" w:color="auto"/>
        <w:bottom w:val="none" w:sz="0" w:space="0" w:color="auto"/>
        <w:right w:val="none" w:sz="0" w:space="0" w:color="auto"/>
      </w:divBdr>
    </w:div>
    <w:div w:id="2072146161">
      <w:bodyDiv w:val="1"/>
      <w:marLeft w:val="0"/>
      <w:marRight w:val="0"/>
      <w:marTop w:val="0"/>
      <w:marBottom w:val="0"/>
      <w:divBdr>
        <w:top w:val="none" w:sz="0" w:space="0" w:color="auto"/>
        <w:left w:val="none" w:sz="0" w:space="0" w:color="auto"/>
        <w:bottom w:val="none" w:sz="0" w:space="0" w:color="auto"/>
        <w:right w:val="none" w:sz="0" w:space="0" w:color="auto"/>
      </w:divBdr>
    </w:div>
    <w:div w:id="2078552652">
      <w:bodyDiv w:val="1"/>
      <w:marLeft w:val="0"/>
      <w:marRight w:val="0"/>
      <w:marTop w:val="0"/>
      <w:marBottom w:val="0"/>
      <w:divBdr>
        <w:top w:val="none" w:sz="0" w:space="0" w:color="auto"/>
        <w:left w:val="none" w:sz="0" w:space="0" w:color="auto"/>
        <w:bottom w:val="none" w:sz="0" w:space="0" w:color="auto"/>
        <w:right w:val="none" w:sz="0" w:space="0" w:color="auto"/>
      </w:divBdr>
      <w:divsChild>
        <w:div w:id="1512406735">
          <w:marLeft w:val="0"/>
          <w:marRight w:val="0"/>
          <w:marTop w:val="0"/>
          <w:marBottom w:val="0"/>
          <w:divBdr>
            <w:top w:val="none" w:sz="0" w:space="0" w:color="auto"/>
            <w:left w:val="none" w:sz="0" w:space="0" w:color="auto"/>
            <w:bottom w:val="none" w:sz="0" w:space="0" w:color="auto"/>
            <w:right w:val="none" w:sz="0" w:space="0" w:color="auto"/>
          </w:divBdr>
          <w:divsChild>
            <w:div w:id="1991667719">
              <w:marLeft w:val="0"/>
              <w:marRight w:val="0"/>
              <w:marTop w:val="0"/>
              <w:marBottom w:val="0"/>
              <w:divBdr>
                <w:top w:val="none" w:sz="0" w:space="0" w:color="auto"/>
                <w:left w:val="none" w:sz="0" w:space="0" w:color="auto"/>
                <w:bottom w:val="none" w:sz="0" w:space="0" w:color="auto"/>
                <w:right w:val="none" w:sz="0" w:space="0" w:color="auto"/>
              </w:divBdr>
              <w:divsChild>
                <w:div w:id="1413895954">
                  <w:marLeft w:val="0"/>
                  <w:marRight w:val="0"/>
                  <w:marTop w:val="0"/>
                  <w:marBottom w:val="0"/>
                  <w:divBdr>
                    <w:top w:val="none" w:sz="0" w:space="0" w:color="auto"/>
                    <w:left w:val="none" w:sz="0" w:space="0" w:color="auto"/>
                    <w:bottom w:val="none" w:sz="0" w:space="0" w:color="auto"/>
                    <w:right w:val="none" w:sz="0" w:space="0" w:color="auto"/>
                  </w:divBdr>
                  <w:divsChild>
                    <w:div w:id="8728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729B-2C0B-4744-B1C1-F0F8E5B8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13647</Words>
  <Characters>77788</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М И Н И С Т Е Р С Т В О   Н А   Ф И Н А Н С И Т Е</vt:lpstr>
    </vt:vector>
  </TitlesOfParts>
  <Company>MoF</Company>
  <LinksUpToDate>false</LinksUpToDate>
  <CharactersWithSpaces>91253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Ф И Н А Н С И Т Е</dc:title>
  <dc:creator>Любомир Малчев</dc:creator>
  <cp:lastModifiedBy>Радина Христова</cp:lastModifiedBy>
  <cp:revision>2</cp:revision>
  <cp:lastPrinted>2025-08-01T07:54:00Z</cp:lastPrinted>
  <dcterms:created xsi:type="dcterms:W3CDTF">2026-02-19T10:30:00Z</dcterms:created>
  <dcterms:modified xsi:type="dcterms:W3CDTF">2026-02-19T10:30:00Z</dcterms:modified>
</cp:coreProperties>
</file>